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legh-20240930x10q.htm"/>
        <w:bookmarkStart w:id="1" w:name="kslegh2024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4"/>
        </w:rPr>
      </w:pPr>
      <w:bookmarkStart w:id="2" w:name="_4cea965d_d733_425b_9017_436b2843fa18"/>
      <w:bookmarkEnd w:id="2"/>
      <w:r>
        <w:rPr>
          <w:rFonts w:ascii="Times New Roman;Times;serif" w:hAnsi="Times New Roman;Times;serif"/>
          <w:b/>
          <w:sz w:val="34"/>
        </w:rPr>
        <w:t>UNITED STATES</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FORM 10-Q</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60"/>
              <w:jc w:val="left"/>
              <w:rPr/>
            </w:pPr>
            <w:r>
              <w:rPr/>
              <w:t>☒</w:t>
            </w:r>
          </w:p>
        </w:tc>
        <w:tc>
          <w:tcPr>
            <w:tcW w:w="9874" w:type="dxa"/>
            <w:tcBorders/>
            <w:vAlign w:val="center"/>
          </w:tcPr>
          <w:p>
            <w:pPr>
              <w:pStyle w:val="TableContents"/>
              <w:bidi w:val="0"/>
              <w:spacing w:before="0" w:after="60"/>
              <w:jc w:val="left"/>
              <w:rPr>
                <w:rFonts w:ascii="Times New Roman;Times;serif" w:hAnsi="Times New Roman;Times;serif"/>
                <w:b/>
                <w:sz w:val="22"/>
              </w:rPr>
            </w:pPr>
            <w:r>
              <w:rPr>
                <w:rFonts w:ascii="Times New Roman;Times;serif" w:hAnsi="Times New Roman;Times;serif"/>
                <w:b/>
                <w:sz w:val="22"/>
              </w:rPr>
              <w:t>QUARTERLY REPORT PURSUANT TO SECTION 13 OR 15(d) OF THE SECURITIES EXCHANGE ACT OF 1934</w:t>
            </w:r>
          </w:p>
        </w:tc>
      </w:tr>
    </w:tbl>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September 30, 2024</w:t>
      </w:r>
    </w:p>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OR</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60"/>
              <w:jc w:val="left"/>
              <w:rPr/>
            </w:pPr>
            <w:r>
              <w:rPr/>
              <w:t>☐</w:t>
            </w:r>
          </w:p>
        </w:tc>
        <w:tc>
          <w:tcPr>
            <w:tcW w:w="9874" w:type="dxa"/>
            <w:tcBorders/>
            <w:vAlign w:val="center"/>
          </w:tcPr>
          <w:p>
            <w:pPr>
              <w:pStyle w:val="TableContents"/>
              <w:bidi w:val="0"/>
              <w:spacing w:before="0" w:after="60"/>
              <w:jc w:val="left"/>
              <w:rPr>
                <w:rFonts w:ascii="Times New Roman;Times;serif" w:hAnsi="Times New Roman;Times;serif"/>
                <w:b/>
                <w:sz w:val="22"/>
              </w:rPr>
            </w:pPr>
            <w:r>
              <w:rPr>
                <w:rFonts w:ascii="Times New Roman;Times;serif" w:hAnsi="Times New Roman;Times;serif"/>
                <w:b/>
                <w:sz w:val="22"/>
              </w:rPr>
              <w:t>TRANSITION REPORT PURSUANT TO SECTION 13 OR 15(d) OF THE SECURITIES EXCHANGE ACT OF 1934</w:t>
            </w:r>
          </w:p>
        </w:tc>
      </w:tr>
    </w:tbl>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to</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001-38761</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Legacy Housing Corporation</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otoycOlaQkqVGpu8Wrkm0Q_2_1"/>
      <w:bookmarkStart w:id="4" w:name="Tc_alMqgsitGUaTefyqWnllwQ_2_0"/>
      <w:bookmarkStart w:id="5" w:name="Tc_L1miUi43hkO8RKDh-Yzixg_1_1"/>
      <w:bookmarkStart w:id="6" w:name="Tc_9sUKaO82P0W-Q6e9SbdMBA_1_0"/>
      <w:bookmarkStart w:id="7" w:name="_f8212589_33c9_46f4_8ee5_d937c00ae8a9"/>
      <w:bookmarkStart w:id="8" w:name="Tc_otoycOlaQkqVGpu8Wrkm0Q_2_1"/>
      <w:bookmarkStart w:id="9" w:name="Tc_alMqgsitGUaTefyqWnllwQ_2_0"/>
      <w:bookmarkStart w:id="10" w:name="Tc_L1miUi43hkO8RKDh-Yzixg_1_1"/>
      <w:bookmarkStart w:id="11" w:name="Tc_9sUKaO82P0W-Q6e9SbdMBA_1_0"/>
      <w:bookmarkStart w:id="12" w:name="_f8212589_33c9_46f4_8ee5_d937c00ae8a9"/>
      <w:bookmarkEnd w:id="8"/>
      <w:bookmarkEnd w:id="9"/>
      <w:bookmarkEnd w:id="10"/>
      <w:bookmarkEnd w:id="11"/>
      <w:bookmarkEnd w:id="12"/>
    </w:p>
    <w:tbl>
      <w:tblPr>
        <w:tblW w:w="3692" w:type="dxa"/>
        <w:jc w:val="left"/>
        <w:tblInd w:w="0" w:type="dxa"/>
        <w:tblLayout w:type="fixed"/>
        <w:tblCellMar>
          <w:top w:w="0" w:type="dxa"/>
          <w:left w:w="0" w:type="dxa"/>
          <w:bottom w:w="0" w:type="dxa"/>
          <w:right w:w="0" w:type="dxa"/>
        </w:tblCellMar>
      </w:tblPr>
      <w:tblGrid>
        <w:gridCol w:w="2236"/>
        <w:gridCol w:w="1456"/>
      </w:tblGrid>
      <w:tr>
        <w:trPr/>
        <w:tc>
          <w:tcPr>
            <w:tcW w:w="223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Texas</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20-2897516</w: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w: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incorporation or organization)</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1600 Airport Freeway, #100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Bedford, Texas</w:t>
      </w:r>
      <w:r>
        <w:rPr>
          <w:rFonts w:ascii="Times New Roman;Times;serif" w:hAnsi="Times New Roman;Times;serif"/>
          <w:sz w:val="20"/>
        </w:rPr>
        <w:t xml:space="preserve"> </w:t>
      </w:r>
      <w:r>
        <w:rPr>
          <w:rFonts w:ascii="Times New Roman;Times;serif" w:hAnsi="Times New Roman;Times;serif"/>
          <w:b/>
          <w:sz w:val="18"/>
        </w:rPr>
        <w:t>76022</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p>
      <w:pPr>
        <w:pStyle w:val="TextBody"/>
        <w:bidi w:val="0"/>
        <w:spacing w:before="0" w:after="120"/>
        <w:ind w:left="0" w:right="0" w:hanging="0"/>
        <w:jc w:val="center"/>
        <w:rPr>
          <w:rFonts w:ascii="Times New Roman;Times;serif" w:hAnsi="Times New Roman;Times;serif"/>
          <w:sz w:val="18"/>
        </w:rPr>
      </w:pPr>
      <w:r>
        <w:rPr>
          <w:rFonts w:ascii="Times New Roman;Times;serif" w:hAnsi="Times New Roman;Times;serif"/>
          <w:sz w:val="18"/>
        </w:rPr>
        <w:t>(Zip Code)</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(817) 799-4900</w:t>
      </w:r>
    </w:p>
    <w:p>
      <w:pPr>
        <w:pStyle w:val="TextBody"/>
        <w:bidi w:val="0"/>
        <w:spacing w:before="0" w:after="12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6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341" w:type="dxa"/>
        <w:jc w:val="left"/>
        <w:tblInd w:w="0" w:type="dxa"/>
        <w:tblLayout w:type="fixed"/>
        <w:tblCellMar>
          <w:top w:w="0" w:type="dxa"/>
          <w:left w:w="0" w:type="dxa"/>
          <w:bottom w:w="0" w:type="dxa"/>
          <w:right w:w="0" w:type="dxa"/>
        </w:tblCellMar>
      </w:tblPr>
      <w:tblGrid>
        <w:gridCol w:w="1876"/>
        <w:gridCol w:w="109"/>
        <w:gridCol w:w="2356"/>
      </w:tblGrid>
      <w:tr>
        <w:trPr/>
        <w:tc>
          <w:tcPr>
            <w:tcW w:w="187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Large accelerated filer ☐</w:t>
            </w:r>
          </w:p>
        </w:tc>
        <w:tc>
          <w:tcPr>
            <w:tcW w:w="109" w:type="dxa"/>
            <w:tcBorders/>
            <w:vAlign w:val="center"/>
          </w:tcPr>
          <w:p>
            <w:pPr>
              <w:pStyle w:val="TableContents"/>
              <w:bidi w:val="0"/>
              <w:spacing w:before="0" w:after="200"/>
              <w:ind w:left="0" w:right="0" w:hanging="0"/>
              <w:jc w:val="center"/>
              <w:rPr/>
            </w:pPr>
            <w:r>
              <w:rPr/>
              <w:t>​</w:t>
            </w:r>
          </w:p>
        </w:tc>
        <w:tc>
          <w:tcPr>
            <w:tcW w:w="2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Accelerated filer</w:t>
            </w:r>
            <w:r>
              <w:rPr>
                <w:rFonts w:ascii="Times New Roman;Times;serif" w:hAnsi="Times New Roman;Times;serif"/>
                <w:sz w:val="20"/>
              </w:rPr>
              <w:t xml:space="preserve"> ☒ </w:t>
            </w:r>
          </w:p>
        </w:tc>
      </w:tr>
      <w:tr>
        <w:trPr/>
        <w:tc>
          <w:tcPr>
            <w:tcW w:w="1876" w:type="dxa"/>
            <w:tcBorders/>
            <w:vAlign w:val="center"/>
          </w:tcPr>
          <w:p>
            <w:pPr>
              <w:pStyle w:val="TableContents"/>
              <w:bidi w:val="0"/>
              <w:spacing w:before="0" w:after="200"/>
              <w:ind w:left="0" w:right="0" w:hanging="0"/>
              <w:jc w:val="center"/>
              <w:rPr/>
            </w:pPr>
            <w:r>
              <w:rPr/>
              <w:t>​</w:t>
            </w:r>
          </w:p>
        </w:tc>
        <w:tc>
          <w:tcPr>
            <w:tcW w:w="109" w:type="dxa"/>
            <w:tcBorders/>
            <w:vAlign w:val="center"/>
          </w:tcPr>
          <w:p>
            <w:pPr>
              <w:pStyle w:val="TableContents"/>
              <w:bidi w:val="0"/>
              <w:spacing w:before="0" w:after="200"/>
              <w:ind w:left="0" w:right="0" w:hanging="0"/>
              <w:jc w:val="center"/>
              <w:rPr/>
            </w:pPr>
            <w:r>
              <w:rPr/>
              <w:t>​</w:t>
            </w:r>
          </w:p>
        </w:tc>
        <w:tc>
          <w:tcPr>
            <w:tcW w:w="2356" w:type="dxa"/>
            <w:tcBorders/>
            <w:vAlign w:val="center"/>
          </w:tcPr>
          <w:p>
            <w:pPr>
              <w:pStyle w:val="TableContents"/>
              <w:bidi w:val="0"/>
              <w:spacing w:before="0" w:after="200"/>
              <w:ind w:left="0" w:right="0" w:hanging="0"/>
              <w:jc w:val="center"/>
              <w:rPr/>
            </w:pPr>
            <w:r>
              <w:rPr/>
              <w:t>​</w:t>
            </w:r>
          </w:p>
        </w:tc>
      </w:tr>
      <w:tr>
        <w:trPr/>
        <w:tc>
          <w:tcPr>
            <w:tcW w:w="187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Non-accelerated filer ☐</w:t>
            </w:r>
          </w:p>
        </w:tc>
        <w:tc>
          <w:tcPr>
            <w:tcW w:w="109" w:type="dxa"/>
            <w:tcBorders/>
            <w:vAlign w:val="center"/>
          </w:tcPr>
          <w:p>
            <w:pPr>
              <w:pStyle w:val="TableContents"/>
              <w:bidi w:val="0"/>
              <w:spacing w:before="0" w:after="200"/>
              <w:ind w:left="0" w:right="0" w:hanging="0"/>
              <w:jc w:val="center"/>
              <w:rPr/>
            </w:pPr>
            <w:r>
              <w:rPr/>
              <w:t>​</w:t>
            </w:r>
          </w:p>
        </w:tc>
        <w:tc>
          <w:tcPr>
            <w:tcW w:w="2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Smaller reporting company </w:t>
            </w:r>
            <w:r>
              <w:rPr>
                <w:rFonts w:ascii="Times New Roman;Times;serif" w:hAnsi="Times New Roman;Times;serif"/>
                <w:sz w:val="20"/>
              </w:rPr>
              <w:t>☒</w:t>
            </w:r>
          </w:p>
        </w:tc>
      </w:tr>
      <w:tr>
        <w:trPr/>
        <w:tc>
          <w:tcPr>
            <w:tcW w:w="187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00"/>
              <w:ind w:left="0" w:right="0" w:hanging="0"/>
              <w:jc w:val="center"/>
              <w:rPr/>
            </w:pPr>
            <w:r>
              <w:rPr/>
              <w:t>​</w:t>
            </w:r>
          </w:p>
        </w:tc>
        <w:tc>
          <w:tcPr>
            <w:tcW w:w="2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 xml:space="preserve">☐ </w:t>
            </w:r>
          </w:p>
        </w:tc>
      </w:tr>
    </w:tbl>
    <w:p>
      <w:pPr>
        <w:pStyle w:val="TextBody"/>
        <w:bidi w:val="0"/>
        <w:spacing w:before="0" w:after="60"/>
        <w:ind w:left="0" w:right="0" w:hanging="0"/>
        <w:jc w:val="left"/>
        <w:rPr/>
      </w:pPr>
      <w:r>
        <w:rPr/>
        <w:t>​</w:t>
      </w:r>
    </w:p>
    <w:p>
      <w:pPr>
        <w:pStyle w:val="TextBody"/>
        <w:bidi w:val="0"/>
        <w:spacing w:before="0" w:after="60"/>
        <w:ind w:left="0" w:right="0" w:hanging="0"/>
        <w:jc w:val="left"/>
        <w:rPr>
          <w:rFonts w:ascii="Times New Roman;Times;serif" w:hAnsi="Times New Roman;Times;serif"/>
          <w:sz w:val="18"/>
        </w:rPr>
      </w:pPr>
      <w:r>
        <w:rPr>
          <w:rFonts w:ascii="Times New Roman;Times;serif" w:hAnsi="Times New Roman;Times;serif"/>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18"/>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8"/>
        </w:rPr>
        <w:t>No  </w:t>
      </w:r>
      <w:r>
        <w:rPr>
          <w:rFonts w:ascii="Times New Roman;Times;serif" w:hAnsi="Times New Roman;Times;serif"/>
          <w:sz w:val="20"/>
        </w:rPr>
        <w:t>☒</w:t>
      </w:r>
      <w:r>
        <w:rPr>
          <w:rFonts w:ascii="Times New Roman;Times;serif" w:hAnsi="Times New Roman;Times;serif"/>
          <w:sz w:val="18"/>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200"/>
        <w:ind w:left="0" w:right="0" w:hanging="0"/>
        <w:jc w:val="left"/>
        <w:rPr/>
      </w:pPr>
      <w:r>
        <w:rPr/>
        <w:t>​</w:t>
      </w:r>
    </w:p>
    <w:p>
      <w:pPr>
        <w:pStyle w:val="Normal"/>
        <w:bidi w:val="0"/>
        <w:spacing w:before="0" w:after="0"/>
        <w:jc w:val="left"/>
        <w:rPr>
          <w:sz w:val="4"/>
          <w:szCs w:val="4"/>
        </w:rPr>
      </w:pPr>
      <w:r>
        <w:rPr>
          <w:sz w:val="4"/>
          <w:szCs w:val="4"/>
        </w:rPr>
      </w:r>
      <w:bookmarkStart w:id="13" w:name="Tc_5bPUGmVmpk6Qd7JDtidQEA_1_4"/>
      <w:bookmarkStart w:id="14" w:name="Tc_IzqDibowkUiZsLPmmFPB7w_1_2"/>
      <w:bookmarkStart w:id="15" w:name="Tc_K0bwfF-LqUiJicI5glfsBg_1_0"/>
      <w:bookmarkStart w:id="16" w:name="_aaf4b83e_9dc9_4c74_9c83_000c221d0fa6"/>
      <w:bookmarkStart w:id="17" w:name="Tc_5bPUGmVmpk6Qd7JDtidQEA_1_4"/>
      <w:bookmarkStart w:id="18" w:name="Tc_IzqDibowkUiZsLPmmFPB7w_1_2"/>
      <w:bookmarkStart w:id="19" w:name="Tc_K0bwfF-LqUiJicI5glfsBg_1_0"/>
      <w:bookmarkStart w:id="20" w:name="_aaf4b83e_9dc9_4c74_9c83_000c221d0fa6"/>
      <w:bookmarkEnd w:id="17"/>
      <w:bookmarkEnd w:id="18"/>
      <w:bookmarkEnd w:id="19"/>
      <w:bookmarkEnd w:id="20"/>
    </w:p>
    <w:tbl>
      <w:tblPr>
        <w:tblW w:w="7855" w:type="dxa"/>
        <w:jc w:val="left"/>
        <w:tblInd w:w="0" w:type="dxa"/>
        <w:tblLayout w:type="fixed"/>
        <w:tblCellMar>
          <w:top w:w="0" w:type="dxa"/>
          <w:left w:w="0" w:type="dxa"/>
          <w:bottom w:w="0" w:type="dxa"/>
          <w:right w:w="0" w:type="dxa"/>
        </w:tblCellMar>
      </w:tblPr>
      <w:tblGrid>
        <w:gridCol w:w="2551"/>
        <w:gridCol w:w="326"/>
        <w:gridCol w:w="1276"/>
        <w:gridCol w:w="326"/>
        <w:gridCol w:w="3376"/>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27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3376" w:type="dxa"/>
            <w:tcBorders/>
            <w:vAlign w:val="center"/>
          </w:tcPr>
          <w:p>
            <w:pPr>
              <w:pStyle w:val="TableContents"/>
              <w:bidi w:val="0"/>
              <w:spacing w:before="0" w:after="283"/>
              <w:ind w:left="0" w:right="0" w:hanging="0"/>
              <w:jc w:val="left"/>
              <w:rPr>
                <w:sz w:val="4"/>
                <w:szCs w:val="4"/>
              </w:rPr>
            </w:pPr>
            <w:r>
              <w:rPr>
                <w:sz w:val="4"/>
                <w:szCs w:val="4"/>
              </w:rPr>
            </w:r>
          </w:p>
        </w:tc>
      </w:tr>
      <w:tr>
        <w:trPr/>
        <w:tc>
          <w:tcPr>
            <w:tcW w:w="2551"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vAlign w:val="center"/>
          </w:tcPr>
          <w:p>
            <w:pPr>
              <w:pStyle w:val="TableContents"/>
              <w:bidi w:val="0"/>
              <w:spacing w:before="0" w:after="0"/>
              <w:ind w:left="0" w:right="0" w:hanging="0"/>
              <w:jc w:val="center"/>
              <w:rPr/>
            </w:pPr>
            <w:r>
              <w:rPr/>
              <w:t>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33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25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 ($0.001 par value)</w:t>
            </w:r>
          </w:p>
        </w:tc>
        <w:tc>
          <w:tcPr>
            <w:tcW w:w="326" w:type="dxa"/>
            <w:tcBorders/>
            <w:vAlign w:val="center"/>
          </w:tcPr>
          <w:p>
            <w:pPr>
              <w:pStyle w:val="TableContents"/>
              <w:bidi w:val="0"/>
              <w:spacing w:before="0" w:after="0"/>
              <w:ind w:left="0" w:right="0" w:hanging="0"/>
              <w:jc w:val="left"/>
              <w:rPr/>
            </w:pPr>
            <w:r>
              <w:rPr/>
              <w:t>​</w:t>
            </w:r>
          </w:p>
        </w:tc>
        <w:tc>
          <w:tcPr>
            <w:tcW w:w="127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LEGH</w:t>
            </w:r>
          </w:p>
        </w:tc>
        <w:tc>
          <w:tcPr>
            <w:tcW w:w="326" w:type="dxa"/>
            <w:tcBorders/>
            <w:vAlign w:val="center"/>
          </w:tcPr>
          <w:p>
            <w:pPr>
              <w:pStyle w:val="TableContents"/>
              <w:bidi w:val="0"/>
              <w:spacing w:before="0" w:after="0"/>
              <w:ind w:left="0" w:right="0" w:hanging="0"/>
              <w:jc w:val="left"/>
              <w:rPr/>
            </w:pPr>
            <w:r>
              <w:rPr/>
              <w:t>​</w:t>
            </w:r>
          </w:p>
        </w:tc>
        <w:tc>
          <w:tcPr>
            <w:tcW w:w="337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NASDAQ Global Market</w:t>
            </w:r>
          </w:p>
        </w:tc>
      </w:tr>
    </w:tbl>
    <w:p>
      <w:pPr>
        <w:pStyle w:val="TextBody"/>
        <w:bidi w:val="0"/>
        <w:spacing w:before="0" w:after="0"/>
        <w:ind w:left="0" w:right="0" w:firstLine="720"/>
        <w:jc w:val="left"/>
        <w:rPr>
          <w:rFonts w:ascii="Times New Roman;Times;serif" w:hAnsi="Times New Roman;Times;serif"/>
          <w:sz w:val="18"/>
        </w:rPr>
      </w:pPr>
      <w:r>
        <w:rPr>
          <w:rFonts w:ascii="Times New Roman;Times;serif" w:hAnsi="Times New Roman;Times;serif"/>
          <w:sz w:val="18"/>
        </w:rPr>
        <w:t>There were 24,158,311 shares of Common Stock ($0.001 par value) outstanding as of November 6, 2024.</w:t>
      </w:r>
    </w:p>
    <w:p>
      <w:pPr>
        <w:pStyle w:val="TextBody"/>
        <w:bidi w:val="0"/>
        <w:spacing w:before="0" w:after="200"/>
        <w:ind w:left="0" w:right="0" w:hanging="0"/>
        <w:jc w:val="left"/>
        <w:rPr/>
      </w:pPr>
      <w:r>
        <w:rPr/>
        <w:t>​</w:t>
      </w:r>
    </w:p>
    <w:p>
      <w:pPr>
        <w:pStyle w:val="TextBody"/>
        <w:pBdr>
          <w:top w:val="single" w:sz="8" w:space="1" w:color="000000"/>
          <w:bottom w:val="single" w:sz="24" w:space="1" w:color="000000"/>
        </w:pBdr>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1" w:name="_ccf9402a_188e_48aa_92e4_0e11a5b744c8"/>
      <w:bookmarkEnd w:id="21"/>
      <w:r>
        <w:rPr>
          <w:rFonts w:ascii="Times New Roman;Times;serif" w:hAnsi="Times New Roman;Times;serif"/>
          <w:b/>
          <w:sz w:val="20"/>
        </w:rPr>
        <w:t>LEGACY HOUSING CORPORATION</w:t>
      </w:r>
    </w:p>
    <w:p>
      <w:pPr>
        <w:pStyle w:val="TextBody"/>
        <w:bidi w:val="0"/>
        <w:spacing w:before="0" w:after="200"/>
        <w:ind w:left="0" w:right="0" w:hanging="0"/>
        <w:jc w:val="center"/>
        <w:rPr>
          <w:rFonts w:ascii="Times New Roman;Times;serif" w:hAnsi="Times New Roman;Times;serif"/>
          <w:b/>
          <w:sz w:val="20"/>
        </w:rPr>
      </w:pPr>
      <w:bookmarkStart w:id="22" w:name="TOC"/>
      <w:bookmarkEnd w:id="22"/>
      <w:r>
        <w:rPr>
          <w:rFonts w:ascii="Times New Roman;Times;serif" w:hAnsi="Times New Roman;Times;serif"/>
          <w:b/>
          <w:sz w:val="20"/>
        </w:rPr>
        <w:t>TABLE OF CONTENTS</w:t>
      </w:r>
    </w:p>
    <w:p>
      <w:pPr>
        <w:pStyle w:val="TextBody"/>
        <w:bidi w:val="0"/>
        <w:spacing w:before="0" w:after="200"/>
        <w:ind w:left="0" w:right="0" w:hanging="0"/>
        <w:jc w:val="left"/>
        <w:rPr/>
      </w:pPr>
      <w:r>
        <w:rPr/>
        <w:t>​</w:t>
      </w:r>
    </w:p>
    <w:tbl>
      <w:tblPr>
        <w:tblW w:w="8722" w:type="dxa"/>
        <w:jc w:val="left"/>
        <w:tblInd w:w="0" w:type="dxa"/>
        <w:tblLayout w:type="fixed"/>
        <w:tblCellMar>
          <w:top w:w="0" w:type="dxa"/>
          <w:left w:w="0" w:type="dxa"/>
          <w:bottom w:w="0" w:type="dxa"/>
          <w:right w:w="0" w:type="dxa"/>
        </w:tblCellMar>
      </w:tblPr>
      <w:tblGrid>
        <w:gridCol w:w="124"/>
        <w:gridCol w:w="661"/>
        <w:gridCol w:w="7366"/>
        <w:gridCol w:w="57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78740" cy="175260"/>
                      <wp:effectExtent l="0" t="0" r="0" b="0"/>
                      <wp:wrapNone/>
                      <wp:docPr id="1" name="Frame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419735" cy="175260"/>
                      <wp:effectExtent l="0" t="0" r="0" b="0"/>
                      <wp:wrapNone/>
                      <wp:docPr id="2" name="Frame2"/>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4677410" cy="175260"/>
                      <wp:effectExtent l="0" t="0" r="0" b="0"/>
                      <wp:wrapNone/>
                      <wp:docPr id="3" name="Frame3"/>
                      <a:graphic xmlns:a="http://schemas.openxmlformats.org/drawingml/2006/main">
                        <a:graphicData uri="http://schemas.microsoft.com/office/word/2010/wordprocessingShape">
                          <wps:wsp>
                            <wps:cNvSpPr txBox="1"/>
                            <wps:spPr>
                              <a:xfrm>
                                <a:off x="0" y="0"/>
                                <a:ext cx="467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362585" cy="29210"/>
                      <wp:effectExtent l="0" t="0" r="0" b="0"/>
                      <wp:wrapNone/>
                      <wp:docPr id="4" name="Frame4"/>
                      <a:graphic xmlns:a="http://schemas.openxmlformats.org/drawingml/2006/main">
                        <a:graphicData uri="http://schemas.microsoft.com/office/word/2010/wordprocessingShape">
                          <wps:wsp>
                            <wps:cNvSpPr txBox="1"/>
                            <wps:spPr>
                              <a:xfrm>
                                <a:off x="0" y="0"/>
                                <a:ext cx="362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8151" w:type="dxa"/>
            <w:gridSpan w:val="3"/>
            <w:tcBorders/>
            <w:vAlign w:val="center"/>
          </w:tcPr>
          <w:p>
            <w:pPr>
              <w:pStyle w:val="TableContents"/>
              <w:bidi w:val="0"/>
              <w:spacing w:before="0" w:after="0"/>
              <w:ind w:left="0" w:right="0" w:hanging="0"/>
              <w:jc w:val="left"/>
              <w:rPr/>
            </w:pPr>
            <w:hyperlink w:anchor="PARTIFINANCIALINFORMATION_124370">
              <w:r>
                <w:rPr>
                  <w:rStyle w:val="InternetLink"/>
                  <w:rFonts w:ascii="Times New Roman;Times;serif" w:hAnsi="Times New Roman;Times;serif"/>
                  <w:b w:val="false"/>
                  <w:i w:val="false"/>
                  <w:caps w:val="false"/>
                  <w:smallCaps w:val="false"/>
                  <w:sz w:val="20"/>
                </w:rPr>
                <w:t>PART I - FINANCIAL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hyperlink w:anchor="Item1FinancialStatements_613532">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FinancialStatements_613532">
              <w:r>
                <w:rPr>
                  <w:rStyle w:val="InternetLink"/>
                  <w:rFonts w:ascii="Times New Roman;Times;serif" w:hAnsi="Times New Roman;Times;serif"/>
                  <w:b w:val="false"/>
                  <w:i w:val="false"/>
                  <w:caps w:val="false"/>
                  <w:smallCaps w:val="false"/>
                  <w:sz w:val="20"/>
                </w:rPr>
                <w:t>Financial Statements (Unaudited)</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hyperlink w:anchor="Item4ControlsandProcedures_709968">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ControlsandProcedures_709968">
              <w:r>
                <w:rPr>
                  <w:rStyle w:val="InternetLink"/>
                  <w:rFonts w:ascii="Times New Roman;Times;serif" w:hAnsi="Times New Roman;Times;serif"/>
                  <w:b w:val="false"/>
                  <w:i w:val="false"/>
                  <w:caps w:val="false"/>
                  <w:smallCaps w:val="false"/>
                  <w:sz w:val="20"/>
                </w:rPr>
                <w:t>Controls and Procedures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8151" w:type="dxa"/>
            <w:gridSpan w:val="3"/>
            <w:tcBorders/>
            <w:vAlign w:val="center"/>
          </w:tcPr>
          <w:p>
            <w:pPr>
              <w:pStyle w:val="TableContents"/>
              <w:bidi w:val="0"/>
              <w:spacing w:before="0" w:after="0"/>
              <w:ind w:left="0" w:right="0" w:hanging="0"/>
              <w:jc w:val="left"/>
              <w:rPr/>
            </w:pPr>
            <w:hyperlink w:anchor="PARTIIOTHERINFORMATION_170690">
              <w:r>
                <w:rPr>
                  <w:rStyle w:val="InternetLink"/>
                  <w:rFonts w:ascii="Times New Roman;Times;serif" w:hAnsi="Times New Roman;Times;serif"/>
                  <w:b w:val="false"/>
                  <w:i w:val="false"/>
                  <w:caps w:val="false"/>
                  <w:smallCaps w:val="false"/>
                  <w:sz w:val="20"/>
                </w:rPr>
                <w:t>PART II - OTHER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hyperlink w:anchor="Item1LegalProceedings_348887">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LegalProceedings_348887">
              <w:r>
                <w:rPr>
                  <w:rStyle w:val="InternetLink"/>
                  <w:rFonts w:ascii="Times New Roman;Times;serif" w:hAnsi="Times New Roman;Times;serif"/>
                  <w:b w:val="false"/>
                  <w:i w:val="false"/>
                  <w:caps w:val="false"/>
                  <w:smallCaps w:val="false"/>
                  <w:sz w:val="20"/>
                </w:rPr>
                <w:t>Legal Proceedings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hyperlink w:anchor="DefaultsUpon_535854">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DefaultsUpon_535854">
              <w:r>
                <w:rPr>
                  <w:rStyle w:val="InternetLink"/>
                  <w:rFonts w:ascii="Times New Roman;Times;serif" w:hAnsi="Times New Roman;Times;serif"/>
                  <w:b w:val="false"/>
                  <w:i w:val="false"/>
                  <w:caps w:val="false"/>
                  <w:smallCaps w:val="false"/>
                  <w:sz w:val="20"/>
                </w:rPr>
                <w:t>Defaults Upon Senior Securities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hyperlink w:anchor="MineSafety_773765">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MineSafety_773765">
              <w:r>
                <w:rPr>
                  <w:rStyle w:val="InternetLink"/>
                  <w:rFonts w:ascii="Times New Roman;Times;serif" w:hAnsi="Times New Roman;Times;serif"/>
                  <w:b w:val="false"/>
                  <w:i w:val="false"/>
                  <w:caps w:val="false"/>
                  <w:smallCaps w:val="false"/>
                  <w:sz w:val="20"/>
                </w:rPr>
                <w:t>Mine Safety Disclosures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hyperlink w:anchor="OtherInformation_946294">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before="0" w:after="0"/>
              <w:ind w:left="0" w:right="0" w:hanging="0"/>
              <w:jc w:val="left"/>
              <w:rPr/>
            </w:pPr>
            <w:hyperlink w:anchor="OtherInformation_946294">
              <w:r>
                <w:rPr>
                  <w:rStyle w:val="InternetLink"/>
                  <w:rFonts w:ascii="Times New Roman;Times;serif" w:hAnsi="Times New Roman;Times;serif"/>
                  <w:b w:val="false"/>
                  <w:i w:val="false"/>
                  <w:caps w:val="false"/>
                  <w:smallCaps w:val="false"/>
                  <w:sz w:val="20"/>
                </w:rPr>
                <w:t>Other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hyperlink w:anchor="Item6Exhibits_809988">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before="0" w:after="0"/>
              <w:ind w:left="0" w:right="0" w:hanging="0"/>
              <w:jc w:val="left"/>
              <w:rPr/>
            </w:pPr>
            <w:hyperlink w:anchor="Item6Exhibits_809988">
              <w:r>
                <w:rPr>
                  <w:rStyle w:val="InternetLink"/>
                  <w:rFonts w:ascii="Times New Roman;Times;serif" w:hAnsi="Times New Roman;Times;serif"/>
                  <w:b w:val="false"/>
                  <w:i w:val="false"/>
                  <w:caps w:val="false"/>
                  <w:smallCaps w:val="false"/>
                  <w:sz w:val="20"/>
                </w:rPr>
                <w:t>Exhibits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124"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8151" w:type="dxa"/>
            <w:gridSpan w:val="3"/>
            <w:tcBorders/>
            <w:vAlign w:val="center"/>
          </w:tcPr>
          <w:p>
            <w:pPr>
              <w:pStyle w:val="TableContents"/>
              <w:bidi w:val="0"/>
              <w:spacing w:before="0" w:after="0"/>
              <w:ind w:left="0" w:right="0" w:hanging="0"/>
              <w:jc w:val="left"/>
              <w:rPr/>
            </w:pPr>
            <w:hyperlink w:anchor="SIGNATURES_65971">
              <w:r>
                <w:rPr>
                  <w:rStyle w:val="InternetLink"/>
                  <w:rFonts w:ascii="Times New Roman;Times;serif" w:hAnsi="Times New Roman;Times;serif"/>
                  <w:b w:val="false"/>
                  <w:i w:val="false"/>
                  <w:caps w:val="false"/>
                  <w:smallCaps w:val="false"/>
                  <w:sz w:val="20"/>
                </w:rPr>
                <w:t>SIGNATURES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firstLine="720"/>
        <w:jc w:val="left"/>
        <w:rPr/>
      </w:pPr>
      <w:r>
        <w:rPr/>
        <w:t>​</w:t>
      </w:r>
    </w:p>
    <w:p>
      <w:pPr>
        <w:pStyle w:val="TextBody"/>
        <w:bidi w:val="0"/>
        <w:spacing w:before="480" w:after="0"/>
        <w:ind w:left="0" w:right="0" w:hanging="0"/>
        <w:jc w:val="center"/>
        <w:rPr/>
      </w:pPr>
      <w:r>
        <w:rPr/>
        <w:t>​</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23" w:name="PARTIFINANCIALINFORMATION_124370"/>
      <w:bookmarkStart w:id="24" w:name="_0ecbe342_79a1_4046_878f_8a98b8f67eb2"/>
      <w:bookmarkEnd w:id="23"/>
      <w:bookmarkEnd w:id="24"/>
      <w:r>
        <w:rPr>
          <w:rFonts w:ascii="Times New Roman;Times;serif" w:hAnsi="Times New Roman;Times;serif"/>
          <w:b/>
          <w:sz w:val="20"/>
        </w:rPr>
        <w:t>PART I – FINANCIAL INFORMATION</w:t>
      </w:r>
    </w:p>
    <w:p>
      <w:pPr>
        <w:pStyle w:val="TextBody"/>
        <w:bidi w:val="0"/>
        <w:spacing w:before="0" w:after="120"/>
        <w:ind w:left="0" w:right="0" w:hanging="0"/>
        <w:jc w:val="left"/>
        <w:rPr>
          <w:rFonts w:ascii="Times New Roman;Times;serif" w:hAnsi="Times New Roman;Times;serif"/>
          <w:b/>
          <w:sz w:val="20"/>
        </w:rPr>
      </w:pPr>
      <w:bookmarkStart w:id="25" w:name="Item1FinancialStatements_613532"/>
      <w:bookmarkEnd w:id="25"/>
      <w:r>
        <w:rPr>
          <w:rFonts w:ascii="Times New Roman;Times;serif" w:hAnsi="Times New Roman;Times;serif"/>
          <w:b/>
          <w:i w:val="false"/>
          <w:caps w:val="false"/>
          <w:smallCaps w:val="false"/>
          <w:sz w:val="20"/>
        </w:rPr>
        <w:t>Item 1.</w:t>
      </w:r>
      <w:r>
        <w:rPr>
          <w:rFonts w:ascii="Times New Roman;Times;serif" w:hAnsi="Times New Roman;Times;serif"/>
          <w:b/>
          <w:sz w:val="20"/>
        </w:rPr>
        <w:t>Financial Statements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CONDENSED BALANCE SHEETS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26" w:name="Tc_PRALooJpIkqgZ9mqG0BQSQ_45_5"/>
      <w:bookmarkStart w:id="27" w:name="Tc_f321wXiWOkqdss2QE8jArQ_45_2"/>
      <w:bookmarkStart w:id="28" w:name="Tc_7Xu9t0sjBUKK7im-C4hbVw_45_0"/>
      <w:bookmarkStart w:id="29" w:name="Tc_UAp3y2kulkuGgXvMeknZow_44_0"/>
      <w:bookmarkStart w:id="30" w:name="Tc_yV2tmBXmjkCEClljWPI-tg_43_0"/>
      <w:bookmarkStart w:id="31" w:name="Tc_Pu4twO6vIkiXMgAqsy5pGQ_42_0"/>
      <w:bookmarkStart w:id="32" w:name="Tc_C2QZX7YYsEiGvlQZX5nf4Q_41_0"/>
      <w:bookmarkStart w:id="33" w:name="Tc_YIHUaL9V8UisJlAhlpctlA_40_0"/>
      <w:bookmarkStart w:id="34" w:name="_191f470e_7dca_4553_a380_fa192ed1e35c_3"/>
      <w:bookmarkStart w:id="35" w:name="_191f470e_7dca_4553_a380_fa192ed1e35c_2"/>
      <w:bookmarkStart w:id="36" w:name="_191f470e_7dca_4553_a380_fa192ed1e35c"/>
      <w:bookmarkStart w:id="37" w:name="Tc_olf_7O1IWE6s-wuve2g3EQ_39_0"/>
      <w:bookmarkStart w:id="38" w:name="Tc_BNzbvj5f2EuvdZYG3gRY_g_38_0"/>
      <w:bookmarkStart w:id="39" w:name="Tc_C5dbHpcc4kO4FLPbLbTc1w_37_0"/>
      <w:bookmarkStart w:id="40" w:name="Tc_PtrELl8br0SzLlKO3zTS3w_36_0"/>
      <w:bookmarkStart w:id="41" w:name="Tc_q5fgqVPUyE2vW84Uj29PZA_35_0"/>
      <w:bookmarkStart w:id="42" w:name="Tc_zzH5QQ0SLEeABSQhF8kvqA_34_0"/>
      <w:bookmarkStart w:id="43" w:name="Tc_dFvmXA6VWEiSnEG1YDrNEA_33_0"/>
      <w:bookmarkStart w:id="44" w:name="Tc_RyhHnG9gcEKAMmgbdJL8MQ_32_0"/>
      <w:bookmarkStart w:id="45" w:name="Tc_lMDEaIGCxkCyaCBmokJI4A_31_0"/>
      <w:bookmarkStart w:id="46" w:name="Tc_ndyhvbUrNk2y25YMbGIsnw_30_0"/>
      <w:bookmarkStart w:id="47" w:name="Tc_gPWarP_780KEjUmdkUiT9A_29_0"/>
      <w:bookmarkStart w:id="48" w:name="Tc_FgNL051440S1zOVULFI8LQ_28_0"/>
      <w:bookmarkStart w:id="49" w:name="Tc_dvo1C26JPUi9O_gMgXHqdQ_27_0"/>
      <w:bookmarkStart w:id="50" w:name="Tc_pVbzwk5AM0CE5yhrxKjxPA_26_0"/>
      <w:bookmarkStart w:id="51" w:name="Tc_1EkAENlLUEiarLwxbZEQ3g_25_5"/>
      <w:bookmarkStart w:id="52" w:name="Tc_eotJjU8pRU2uH19kH6pZgA_25_2"/>
      <w:bookmarkStart w:id="53" w:name="Tc_wZmTITMfsUCDWWqUqmjyPw_25_0"/>
      <w:bookmarkStart w:id="54" w:name="Tc_ScDb0FwtPk6Y-r25BCRvXQ_24_0"/>
      <w:bookmarkStart w:id="55" w:name="Tc_8A7rJHsKrkWz2e6-phhlyA_23_0"/>
      <w:bookmarkStart w:id="56" w:name="Tc_6H4s8N56J0SrFwYac6D8hQ_22_5"/>
      <w:bookmarkStart w:id="57" w:name="Tc_E1camKpXJ028WXIpmapUOA_22_2"/>
      <w:bookmarkStart w:id="58" w:name="Tc_zpUpDQ3fUEWjYAnj58AcjA_22_0"/>
      <w:bookmarkStart w:id="59" w:name="Tc_n6re9wh6c0-wOqLFbdZ2lw_21_0"/>
      <w:bookmarkStart w:id="60" w:name="Tc_rWlOk7cUUE6v9eT52LgnPA_20_0"/>
      <w:bookmarkStart w:id="61" w:name="Tc_eIWDWQ3JG0iFT1cdtPW_eQ_19_0"/>
      <w:bookmarkStart w:id="62" w:name="Tc_zzCQVdR0P0GM2QzKIHlgoQ_18_0"/>
      <w:bookmarkStart w:id="63" w:name="Tc_OL5xadzwF0eFBPhxUrgfXA_17_0"/>
      <w:bookmarkStart w:id="64" w:name="Tc_m7IS4byhx0mmd8wjzG6itw_16_0"/>
      <w:bookmarkStart w:id="65" w:name="Tc_waX5lZ4Suk6uD7QoAfstrA_15_0"/>
      <w:bookmarkStart w:id="66" w:name="Tc_1sDhJ5VjbUu_BzqmhwQUdQ_14_0"/>
      <w:bookmarkStart w:id="67" w:name="Tc_GQsUVotYvEuedTQfoBseYw_13_0"/>
      <w:bookmarkStart w:id="68" w:name="Tc_YEYwKcfQREyyZabLnVYAzw_12_0"/>
      <w:bookmarkStart w:id="69" w:name="Tc_vfJcZGC3WU25atOs4-AGYQ_11_0"/>
      <w:bookmarkStart w:id="70" w:name="Tc_1JPfqAzSpkOftzk3J1XdlA_10_0"/>
      <w:bookmarkStart w:id="71" w:name="Tc_gXZFkcFIb0iCA896Bx_8wA_9_0"/>
      <w:bookmarkStart w:id="72" w:name="Tc_dWhFgF8_70eK8bavOzR8qw_8_0"/>
      <w:bookmarkStart w:id="73" w:name="Tc_Z8YQUbEW1EWmEaugOBTjDA_7_0"/>
      <w:bookmarkStart w:id="74" w:name="Tc_CZdELjbWok6TY15mF0XmLw_6_0"/>
      <w:bookmarkStart w:id="75" w:name="Tc_yEak_4Hl9UmvrLqmJWbrtQ_5_5"/>
      <w:bookmarkStart w:id="76" w:name="Tc_dlO39SNGmEycv5MmxyLtLg_5_2"/>
      <w:bookmarkStart w:id="77" w:name="Tc_3I8_XTX2QkeQ4c2HaTfHKA_5_0"/>
      <w:bookmarkStart w:id="78" w:name="Tc_yw5v_2-NpkqyCa5aLsZ7Dw_4_0"/>
      <w:bookmarkStart w:id="79" w:name="Tc_jZsra4QZtEuBzZzzSybocQ_3_0"/>
      <w:bookmarkStart w:id="80" w:name="Tc_aghM_eSPjESZEZStLBG9YA_2_5"/>
      <w:bookmarkStart w:id="81" w:name="Tc_sQ2aDcYC9Eq6_BOE2qLdCg_2_2"/>
      <w:bookmarkStart w:id="82" w:name="Tc_QWpXoDH_T0-25nCUZain6Q_1_5"/>
      <w:bookmarkStart w:id="83" w:name="Tc_iAo27GHmGkqAXKVlMZuNYQ_1_2"/>
      <w:bookmarkStart w:id="84" w:name="_b40e166b_744b_4d24_82ee_483a34b92615"/>
      <w:bookmarkStart w:id="85" w:name="Tc_PRALooJpIkqgZ9mqG0BQSQ_45_5"/>
      <w:bookmarkStart w:id="86" w:name="Tc_f321wXiWOkqdss2QE8jArQ_45_2"/>
      <w:bookmarkStart w:id="87" w:name="Tc_7Xu9t0sjBUKK7im-C4hbVw_45_0"/>
      <w:bookmarkStart w:id="88" w:name="Tc_UAp3y2kulkuGgXvMeknZow_44_0"/>
      <w:bookmarkStart w:id="89" w:name="Tc_yV2tmBXmjkCEClljWPI-tg_43_0"/>
      <w:bookmarkStart w:id="90" w:name="Tc_Pu4twO6vIkiXMgAqsy5pGQ_42_0"/>
      <w:bookmarkStart w:id="91" w:name="Tc_C2QZX7YYsEiGvlQZX5nf4Q_41_0"/>
      <w:bookmarkStart w:id="92" w:name="Tc_YIHUaL9V8UisJlAhlpctlA_40_0"/>
      <w:bookmarkStart w:id="93" w:name="_191f470e_7dca_4553_a380_fa192ed1e35c_3"/>
      <w:bookmarkStart w:id="94" w:name="_191f470e_7dca_4553_a380_fa192ed1e35c_2"/>
      <w:bookmarkStart w:id="95" w:name="_191f470e_7dca_4553_a380_fa192ed1e35c"/>
      <w:bookmarkStart w:id="96" w:name="Tc_olf_7O1IWE6s-wuve2g3EQ_39_0"/>
      <w:bookmarkStart w:id="97" w:name="Tc_BNzbvj5f2EuvdZYG3gRY_g_38_0"/>
      <w:bookmarkStart w:id="98" w:name="Tc_C5dbHpcc4kO4FLPbLbTc1w_37_0"/>
      <w:bookmarkStart w:id="99" w:name="Tc_PtrELl8br0SzLlKO3zTS3w_36_0"/>
      <w:bookmarkStart w:id="100" w:name="Tc_q5fgqVPUyE2vW84Uj29PZA_35_0"/>
      <w:bookmarkStart w:id="101" w:name="Tc_zzH5QQ0SLEeABSQhF8kvqA_34_0"/>
      <w:bookmarkStart w:id="102" w:name="Tc_dFvmXA6VWEiSnEG1YDrNEA_33_0"/>
      <w:bookmarkStart w:id="103" w:name="Tc_RyhHnG9gcEKAMmgbdJL8MQ_32_0"/>
      <w:bookmarkStart w:id="104" w:name="Tc_lMDEaIGCxkCyaCBmokJI4A_31_0"/>
      <w:bookmarkStart w:id="105" w:name="Tc_ndyhvbUrNk2y25YMbGIsnw_30_0"/>
      <w:bookmarkStart w:id="106" w:name="Tc_gPWarP_780KEjUmdkUiT9A_29_0"/>
      <w:bookmarkStart w:id="107" w:name="Tc_FgNL051440S1zOVULFI8LQ_28_0"/>
      <w:bookmarkStart w:id="108" w:name="Tc_dvo1C26JPUi9O_gMgXHqdQ_27_0"/>
      <w:bookmarkStart w:id="109" w:name="Tc_pVbzwk5AM0CE5yhrxKjxPA_26_0"/>
      <w:bookmarkStart w:id="110" w:name="Tc_1EkAENlLUEiarLwxbZEQ3g_25_5"/>
      <w:bookmarkStart w:id="111" w:name="Tc_eotJjU8pRU2uH19kH6pZgA_25_2"/>
      <w:bookmarkStart w:id="112" w:name="Tc_wZmTITMfsUCDWWqUqmjyPw_25_0"/>
      <w:bookmarkStart w:id="113" w:name="Tc_ScDb0FwtPk6Y-r25BCRvXQ_24_0"/>
      <w:bookmarkStart w:id="114" w:name="Tc_8A7rJHsKrkWz2e6-phhlyA_23_0"/>
      <w:bookmarkStart w:id="115" w:name="Tc_6H4s8N56J0SrFwYac6D8hQ_22_5"/>
      <w:bookmarkStart w:id="116" w:name="Tc_E1camKpXJ028WXIpmapUOA_22_2"/>
      <w:bookmarkStart w:id="117" w:name="Tc_zpUpDQ3fUEWjYAnj58AcjA_22_0"/>
      <w:bookmarkStart w:id="118" w:name="Tc_n6re9wh6c0-wOqLFbdZ2lw_21_0"/>
      <w:bookmarkStart w:id="119" w:name="Tc_rWlOk7cUUE6v9eT52LgnPA_20_0"/>
      <w:bookmarkStart w:id="120" w:name="Tc_eIWDWQ3JG0iFT1cdtPW_eQ_19_0"/>
      <w:bookmarkStart w:id="121" w:name="Tc_zzCQVdR0P0GM2QzKIHlgoQ_18_0"/>
      <w:bookmarkStart w:id="122" w:name="Tc_OL5xadzwF0eFBPhxUrgfXA_17_0"/>
      <w:bookmarkStart w:id="123" w:name="Tc_m7IS4byhx0mmd8wjzG6itw_16_0"/>
      <w:bookmarkStart w:id="124" w:name="Tc_waX5lZ4Suk6uD7QoAfstrA_15_0"/>
      <w:bookmarkStart w:id="125" w:name="Tc_1sDhJ5VjbUu_BzqmhwQUdQ_14_0"/>
      <w:bookmarkStart w:id="126" w:name="Tc_GQsUVotYvEuedTQfoBseYw_13_0"/>
      <w:bookmarkStart w:id="127" w:name="Tc_YEYwKcfQREyyZabLnVYAzw_12_0"/>
      <w:bookmarkStart w:id="128" w:name="Tc_vfJcZGC3WU25atOs4-AGYQ_11_0"/>
      <w:bookmarkStart w:id="129" w:name="Tc_1JPfqAzSpkOftzk3J1XdlA_10_0"/>
      <w:bookmarkStart w:id="130" w:name="Tc_gXZFkcFIb0iCA896Bx_8wA_9_0"/>
      <w:bookmarkStart w:id="131" w:name="Tc_dWhFgF8_70eK8bavOzR8qw_8_0"/>
      <w:bookmarkStart w:id="132" w:name="Tc_Z8YQUbEW1EWmEaugOBTjDA_7_0"/>
      <w:bookmarkStart w:id="133" w:name="Tc_CZdELjbWok6TY15mF0XmLw_6_0"/>
      <w:bookmarkStart w:id="134" w:name="Tc_yEak_4Hl9UmvrLqmJWbrtQ_5_5"/>
      <w:bookmarkStart w:id="135" w:name="Tc_dlO39SNGmEycv5MmxyLtLg_5_2"/>
      <w:bookmarkStart w:id="136" w:name="Tc_3I8_XTX2QkeQ4c2HaTfHKA_5_0"/>
      <w:bookmarkStart w:id="137" w:name="Tc_yw5v_2-NpkqyCa5aLsZ7Dw_4_0"/>
      <w:bookmarkStart w:id="138" w:name="Tc_jZsra4QZtEuBzZzzSybocQ_3_0"/>
      <w:bookmarkStart w:id="139" w:name="Tc_aghM_eSPjESZEZStLBG9YA_2_5"/>
      <w:bookmarkStart w:id="140" w:name="Tc_sQ2aDcYC9Eq6_BOE2qLdCg_2_2"/>
      <w:bookmarkStart w:id="141" w:name="Tc_QWpXoDH_T0-25nCUZain6Q_1_5"/>
      <w:bookmarkStart w:id="142" w:name="Tc_iAo27GHmGkqAXKVlMZuNYQ_1_2"/>
      <w:bookmarkStart w:id="143" w:name="_b40e166b_744b_4d24_82ee_483a34b92615"/>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tbl>
      <w:tblPr>
        <w:tblW w:w="10205" w:type="dxa"/>
        <w:jc w:val="left"/>
        <w:tblInd w:w="0" w:type="dxa"/>
        <w:tblLayout w:type="fixed"/>
        <w:tblCellMar>
          <w:top w:w="0" w:type="dxa"/>
          <w:left w:w="0" w:type="dxa"/>
          <w:bottom w:w="0" w:type="dxa"/>
          <w:right w:w="0" w:type="dxa"/>
        </w:tblCellMar>
      </w:tblPr>
      <w:tblGrid>
        <w:gridCol w:w="7280"/>
        <w:gridCol w:w="326"/>
        <w:gridCol w:w="250"/>
        <w:gridCol w:w="885"/>
        <w:gridCol w:w="326"/>
        <w:gridCol w:w="223"/>
        <w:gridCol w:w="915"/>
      </w:tblGrid>
      <w:tr>
        <w:trPr/>
        <w:tc>
          <w:tcPr>
            <w:tcW w:w="7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622800" cy="175260"/>
                      <wp:effectExtent l="0" t="0" r="0" b="0"/>
                      <wp:wrapNone/>
                      <wp:docPr id="5" name="Frame5"/>
                      <a:graphic xmlns:a="http://schemas.openxmlformats.org/drawingml/2006/main">
                        <a:graphicData uri="http://schemas.microsoft.com/office/word/2010/wordprocessingShape">
                          <wps:wsp>
                            <wps:cNvSpPr txBox="1"/>
                            <wps:spPr>
                              <a:xfrm>
                                <a:off x="0" y="0"/>
                                <a:ext cx="4622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6" name="Frame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58750" cy="175260"/>
                      <wp:effectExtent l="0" t="0" r="0" b="0"/>
                      <wp:wrapNone/>
                      <wp:docPr id="7" name="Frame7"/>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61975" cy="175260"/>
                      <wp:effectExtent l="0" t="0" r="0" b="0"/>
                      <wp:wrapNone/>
                      <wp:docPr id="8" name="Frame8"/>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41605" cy="175260"/>
                      <wp:effectExtent l="0" t="0" r="0" b="0"/>
                      <wp:wrapNone/>
                      <wp:docPr id="10" name="Frame10"/>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81025" cy="175260"/>
                      <wp:effectExtent l="0" t="0" r="0" b="0"/>
                      <wp:wrapNone/>
                      <wp:docPr id="11" name="Frame11"/>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8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3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    </w:t>
            </w:r>
          </w:p>
        </w:tc>
        <w:tc>
          <w:tcPr>
            <w:tcW w:w="113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28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w:t>
            </w:r>
          </w:p>
        </w:tc>
        <w:tc>
          <w:tcPr>
            <w:tcW w:w="11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280"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left"/>
              <w:rPr/>
            </w:pPr>
            <w:r>
              <w:rPr/>
              <w:t>​</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26" w:type="dxa"/>
            <w:tcBorders/>
            <w:vAlign w:val="center"/>
          </w:tcPr>
          <w:p>
            <w:pPr>
              <w:pStyle w:val="TableContents"/>
              <w:bidi w:val="0"/>
              <w:spacing w:before="0" w:after="1"/>
              <w:ind w:left="0" w:right="0" w:hanging="0"/>
              <w:jc w:val="left"/>
              <w:rPr/>
            </w:pPr>
            <w:r>
              <w:rPr/>
              <w:t> </w:t>
            </w:r>
          </w:p>
        </w:tc>
        <w:tc>
          <w:tcPr>
            <w:tcW w:w="250"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23"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pPr>
            <w:r>
              <w:rPr/>
              <w:t>  </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570</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748</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receivable, net</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4,986</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4,656</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portion of contracts - dealer financed</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31,690</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32,538</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portion of consumer loans receivable</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8,372</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7,682</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portion of notes receivable from mobile home parks (“MHP”)</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30,378</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18,156</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portion of other notes receivable</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3,422</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6,013</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29,223</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33,176</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2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3,846</w:t>
            </w:r>
          </w:p>
        </w:tc>
        <w:tc>
          <w:tcPr>
            <w:tcW w:w="326"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4,915</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112,487</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107,884</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Consumer loans receivable, net</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158,449</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148,818</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Notes receivable from mobile home parks (“MHP”), net</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171,106</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163,824</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notes receivable, net</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4,424</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28,577</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Inventories, net</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9,803</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7,793</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assets - leased mobile homes</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4,549</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7,601</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ROU assets - operating leases</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1,435</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1,794</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9,888</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2,571</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plant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49,264</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37,880</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26" w:type="dxa"/>
            <w:tcBorders/>
            <w:vAlign w:val="center"/>
          </w:tcPr>
          <w:p>
            <w:pPr>
              <w:pStyle w:val="TableContents"/>
              <w:bidi w:val="0"/>
              <w:spacing w:before="0" w:after="1"/>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521,405</w:t>
            </w:r>
          </w:p>
        </w:tc>
        <w:tc>
          <w:tcPr>
            <w:tcW w:w="326" w:type="dxa"/>
            <w:tcBorders/>
            <w:vAlign w:val="center"/>
          </w:tcPr>
          <w:p>
            <w:pPr>
              <w:pStyle w:val="TableContents"/>
              <w:bidi w:val="0"/>
              <w:spacing w:before="0" w:after="1"/>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506,742</w:t>
            </w:r>
          </w:p>
        </w:tc>
      </w:tr>
      <w:tr>
        <w:trPr/>
        <w:tc>
          <w:tcPr>
            <w:tcW w:w="7280"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pPr>
            <w:r>
              <w:rPr/>
              <w:t>  </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pPr>
            <w:r>
              <w:rPr/>
              <w:t>  </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3,450</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4,090</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liabilities</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13,256</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18,504</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Customer deposits</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2,489</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4,146</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Escrow liability</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12,700</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10,104</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obligation</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478</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489</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32,373</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37,333</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w:t>
              <w:noBreakHyphen/>
              <w:t>term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pPr>
            <w:r>
              <w:rPr/>
              <w:t>  </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obligation, less current portion</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1,036</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1,396</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Lines of credit</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2,111</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23,680</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income taxes, net</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2,338</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2,338</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Dealer incentive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4,275</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5,260</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42,133</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70,007</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Commitments and contingencies (Note 15)</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915" w:type="dxa"/>
            <w:tcBorders/>
            <w:shd w:fill="CCEEFF" w:val="clear"/>
            <w:vAlign w:val="center"/>
          </w:tcPr>
          <w:p>
            <w:pPr>
              <w:pStyle w:val="TableContents"/>
              <w:bidi w:val="0"/>
              <w:spacing w:before="0" w:after="1"/>
              <w:ind w:left="0" w:right="0" w:hanging="0"/>
              <w:jc w:val="right"/>
              <w:rPr/>
            </w:pPr>
            <w:r>
              <w:rPr/>
              <w:t>  </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pPr>
            <w:r>
              <w:rPr/>
              <w:t>​</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Preferred stock, $.001 par value, 10,000,000 shares authorized: no shares issued or outstanding</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$.001 par value, 90,000,000 shares authorized; 24,865,906 and 24,843,494 issued and 24,158,311 and 24,398,429 outstanding at September 30, 2024 and December 31, 2023, respectively</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Treasury stock at cost, 707,595 and 445,065 shares at September 30, 2024 and December 31, 2023,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(9,875)</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9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(4,477)</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Additional paid-in-capital</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182,226</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9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181,424</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Retained earnings</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306,890</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259,758</w:t>
            </w:r>
          </w:p>
        </w:tc>
      </w:tr>
      <w:tr>
        <w:trPr/>
        <w:tc>
          <w:tcPr>
            <w:tcW w:w="728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2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479,272</w:t>
            </w:r>
          </w:p>
        </w:tc>
        <w:tc>
          <w:tcPr>
            <w:tcW w:w="326"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436,735</w:t>
            </w:r>
          </w:p>
        </w:tc>
      </w:tr>
      <w:tr>
        <w:trPr/>
        <w:tc>
          <w:tcPr>
            <w:tcW w:w="7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521,405</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506,742</w:t>
            </w:r>
          </w:p>
        </w:tc>
      </w:tr>
    </w:tbl>
    <w:p>
      <w:pPr>
        <w:pStyle w:val="TextBody"/>
        <w:bidi w:val="0"/>
        <w:spacing w:lineRule="atLeast" w:line="240"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unaudited interim condensed financial statements.</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144" w:name="_8cb1e284_75d4_42ad_bd4d_2681b2f2490b"/>
      <w:bookmarkEnd w:id="144"/>
      <w:r>
        <w:rPr>
          <w:rFonts w:ascii="Times New Roman;Times;serif" w:hAnsi="Times New Roman;Times;serif"/>
          <w:b/>
          <w:sz w:val="20"/>
        </w:rPr>
        <w:t>LEGACY HOUSING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STATEMENTS OF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45" w:name="Tc_IyD1lPoI5kauvAQpm9rVZw_28_11"/>
      <w:bookmarkStart w:id="146" w:name="Tc_Rw0bxdUEekmbueg8gwOZgQ_28_8"/>
      <w:bookmarkStart w:id="147" w:name="Tc_UwCsj4eKjkWawSvgvJGVcg_28_5"/>
      <w:bookmarkStart w:id="148" w:name="Tc__4BU-YKZlEWknb-tu1IhuQ_28_2"/>
      <w:bookmarkStart w:id="149" w:name="Tc_TvqyWaR2akiJxAh7SQemBQ_28_0"/>
      <w:bookmarkStart w:id="150" w:name="Tc_9ZPyCTKSgUSjq9jzj6H5kw_27_11"/>
      <w:bookmarkStart w:id="151" w:name="Tc_CGMS1yzEGkuM-QMgaRCTRg_27_8"/>
      <w:bookmarkStart w:id="152" w:name="Tc_LajDGHUu2Em_bR52SLHAJQ_27_5"/>
      <w:bookmarkStart w:id="153" w:name="Tc_7feKT3LHTU-ZSw90Rn-DQQ_27_2"/>
      <w:bookmarkStart w:id="154" w:name="Tc_wKgt-RueJ06DuDHUW6mnKA_27_0"/>
      <w:bookmarkStart w:id="155" w:name="Tc_N4fanuH_LUynCeBW6bswyQ_26_0"/>
      <w:bookmarkStart w:id="156" w:name="Tc_DOwQaroC90u89cTfHHEyzg_25_0"/>
      <w:bookmarkStart w:id="157" w:name="Tc_YBaTudSgbUyoRpfj5IjymA_24_0"/>
      <w:bookmarkStart w:id="158" w:name="Tc_t6UOXt5VaUi54peDk6ricg_23_0"/>
      <w:bookmarkStart w:id="159" w:name="Tc_UZRPPxX12kOxwyBI_78FiA_22_11"/>
      <w:bookmarkStart w:id="160" w:name="Tc_42LRaE20AU6iGGFLecVZ9w_22_8"/>
      <w:bookmarkStart w:id="161" w:name="Tc_BWd6TrCZ-ESPc1Z6IGh73w_22_5"/>
      <w:bookmarkStart w:id="162" w:name="Tc_oT7z_MKkJkCQPFeABL370A_22_2"/>
      <w:bookmarkStart w:id="163" w:name="Tc_r0ohwxK_AkGzB6z1AzauXQ_22_0"/>
      <w:bookmarkStart w:id="164" w:name="Tc_28QxGEU0vkS4g4LkLtsg6g_21_0"/>
      <w:bookmarkStart w:id="165" w:name="Tc_OGNjZzmNhEKHJLsZVPKEUg_20_0"/>
      <w:bookmarkStart w:id="166" w:name="Tc_7CErftmvk0KyRIgC-ZIrMA_19_0"/>
      <w:bookmarkStart w:id="167" w:name="Tc_wUC2HhCJiEaY38ogCt7x_w_18_0"/>
      <w:bookmarkStart w:id="168" w:name="Tc_RrlyM1H5mEG9hKLRgnPZxg_17_0"/>
      <w:bookmarkStart w:id="169" w:name="Tc_mXzTwQbAB02175U_2cPL6g_16_0"/>
      <w:bookmarkStart w:id="170" w:name="Tc_t65S1_tM9kSWV6PAFnDkOA_15_0"/>
      <w:bookmarkStart w:id="171" w:name="Tc_2VNDyymSDEytEHc2bLWPoQ_14_0"/>
      <w:bookmarkStart w:id="172" w:name="Tc_Dva8wbywlUqZAUceUXAIJw_13_0"/>
      <w:bookmarkStart w:id="173" w:name="Tc_Pj19t1d0GkSqnbZC6ALyGA_12_0"/>
      <w:bookmarkStart w:id="174" w:name="Tc_2hwSwG5pD0eU6lzYkrx9uQ_11_0"/>
      <w:bookmarkStart w:id="175" w:name="Tc_JIwb6wJ_IUyMt-F3cw30LA_10_12"/>
      <w:bookmarkStart w:id="176" w:name="Tc_-ydUoYtjs0WZgxqSvBRsxQ_10_6"/>
      <w:bookmarkStart w:id="177" w:name="Tc_0aDB7zAWZ0aUo3YnCMW4xg_10_0"/>
      <w:bookmarkStart w:id="178" w:name="Tc_ucxD59KWukWeej9nxCiFwg_9_0"/>
      <w:bookmarkStart w:id="179" w:name="Tc_1kIt5n-DQ0qHl0mfxihOJw_8_0"/>
      <w:bookmarkStart w:id="180" w:name="Tc_HA_GmJb8H0qidgstPJFJVg_7_0"/>
      <w:bookmarkStart w:id="181" w:name="Tc_tH8Q7tcy9Ue8rHwCrcbEsw_6_0"/>
      <w:bookmarkStart w:id="182" w:name="Tc_qtCZTQw1rkOCzybJ0_6rkw_5_0"/>
      <w:bookmarkStart w:id="183" w:name="Tc_Q1LhbUkjWUyRhTyNF95W0A_4_11"/>
      <w:bookmarkStart w:id="184" w:name="Tc_3lMy3ae2g06k8SwTVdZX_Q_4_8"/>
      <w:bookmarkStart w:id="185" w:name="Tc_Yz02QbSpB0Wf_YFvj9qveA_4_5"/>
      <w:bookmarkStart w:id="186" w:name="Tc_VRK4HzIB_0KnkU_MgJ17ig_4_2"/>
      <w:bookmarkStart w:id="187" w:name="Tc_y4OgKXRAjESPsFXBxy3XMg_4_0"/>
      <w:bookmarkStart w:id="188" w:name="Tc_tLeAflcBeU2x3nCg6xnx4w_3_0"/>
      <w:bookmarkStart w:id="189" w:name="Tc_-IQZJ1tAokq-Sh_BmMW-Zw_2_11"/>
      <w:bookmarkStart w:id="190" w:name="Tc_Hi8ZDwsC40KCVvWdixELow_2_8"/>
      <w:bookmarkStart w:id="191" w:name="Tc_AjPDv_eQPUWWfoCLLGsk7g_2_5"/>
      <w:bookmarkStart w:id="192" w:name="Tc_v4wRDEA6sEKIqVAHP0NE9w_2_2"/>
      <w:bookmarkStart w:id="193" w:name="Tc_rE6SQqXCYk621-XUuZCOEQ_1_8"/>
      <w:bookmarkStart w:id="194" w:name="Tc_sbrAUMw7nUmNdoO47a8SIw_1_2"/>
      <w:bookmarkStart w:id="195" w:name="_7a29ed4b_e30f_4141_83ab_845cd2833d92"/>
      <w:bookmarkStart w:id="196" w:name="Tc_IyD1lPoI5kauvAQpm9rVZw_28_11"/>
      <w:bookmarkStart w:id="197" w:name="Tc_Rw0bxdUEekmbueg8gwOZgQ_28_8"/>
      <w:bookmarkStart w:id="198" w:name="Tc_UwCsj4eKjkWawSvgvJGVcg_28_5"/>
      <w:bookmarkStart w:id="199" w:name="Tc__4BU-YKZlEWknb-tu1IhuQ_28_2"/>
      <w:bookmarkStart w:id="200" w:name="Tc_TvqyWaR2akiJxAh7SQemBQ_28_0"/>
      <w:bookmarkStart w:id="201" w:name="Tc_9ZPyCTKSgUSjq9jzj6H5kw_27_11"/>
      <w:bookmarkStart w:id="202" w:name="Tc_CGMS1yzEGkuM-QMgaRCTRg_27_8"/>
      <w:bookmarkStart w:id="203" w:name="Tc_LajDGHUu2Em_bR52SLHAJQ_27_5"/>
      <w:bookmarkStart w:id="204" w:name="Tc_7feKT3LHTU-ZSw90Rn-DQQ_27_2"/>
      <w:bookmarkStart w:id="205" w:name="Tc_wKgt-RueJ06DuDHUW6mnKA_27_0"/>
      <w:bookmarkStart w:id="206" w:name="Tc_N4fanuH_LUynCeBW6bswyQ_26_0"/>
      <w:bookmarkStart w:id="207" w:name="Tc_DOwQaroC90u89cTfHHEyzg_25_0"/>
      <w:bookmarkStart w:id="208" w:name="Tc_YBaTudSgbUyoRpfj5IjymA_24_0"/>
      <w:bookmarkStart w:id="209" w:name="Tc_t6UOXt5VaUi54peDk6ricg_23_0"/>
      <w:bookmarkStart w:id="210" w:name="Tc_UZRPPxX12kOxwyBI_78FiA_22_11"/>
      <w:bookmarkStart w:id="211" w:name="Tc_42LRaE20AU6iGGFLecVZ9w_22_8"/>
      <w:bookmarkStart w:id="212" w:name="Tc_BWd6TrCZ-ESPc1Z6IGh73w_22_5"/>
      <w:bookmarkStart w:id="213" w:name="Tc_oT7z_MKkJkCQPFeABL370A_22_2"/>
      <w:bookmarkStart w:id="214" w:name="Tc_r0ohwxK_AkGzB6z1AzauXQ_22_0"/>
      <w:bookmarkStart w:id="215" w:name="Tc_28QxGEU0vkS4g4LkLtsg6g_21_0"/>
      <w:bookmarkStart w:id="216" w:name="Tc_OGNjZzmNhEKHJLsZVPKEUg_20_0"/>
      <w:bookmarkStart w:id="217" w:name="Tc_7CErftmvk0KyRIgC-ZIrMA_19_0"/>
      <w:bookmarkStart w:id="218" w:name="Tc_wUC2HhCJiEaY38ogCt7x_w_18_0"/>
      <w:bookmarkStart w:id="219" w:name="Tc_RrlyM1H5mEG9hKLRgnPZxg_17_0"/>
      <w:bookmarkStart w:id="220" w:name="Tc_mXzTwQbAB02175U_2cPL6g_16_0"/>
      <w:bookmarkStart w:id="221" w:name="Tc_t65S1_tM9kSWV6PAFnDkOA_15_0"/>
      <w:bookmarkStart w:id="222" w:name="Tc_2VNDyymSDEytEHc2bLWPoQ_14_0"/>
      <w:bookmarkStart w:id="223" w:name="Tc_Dva8wbywlUqZAUceUXAIJw_13_0"/>
      <w:bookmarkStart w:id="224" w:name="Tc_Pj19t1d0GkSqnbZC6ALyGA_12_0"/>
      <w:bookmarkStart w:id="225" w:name="Tc_2hwSwG5pD0eU6lzYkrx9uQ_11_0"/>
      <w:bookmarkStart w:id="226" w:name="Tc_JIwb6wJ_IUyMt-F3cw30LA_10_12"/>
      <w:bookmarkStart w:id="227" w:name="Tc_-ydUoYtjs0WZgxqSvBRsxQ_10_6"/>
      <w:bookmarkStart w:id="228" w:name="Tc_0aDB7zAWZ0aUo3YnCMW4xg_10_0"/>
      <w:bookmarkStart w:id="229" w:name="Tc_ucxD59KWukWeej9nxCiFwg_9_0"/>
      <w:bookmarkStart w:id="230" w:name="Tc_1kIt5n-DQ0qHl0mfxihOJw_8_0"/>
      <w:bookmarkStart w:id="231" w:name="Tc_HA_GmJb8H0qidgstPJFJVg_7_0"/>
      <w:bookmarkStart w:id="232" w:name="Tc_tH8Q7tcy9Ue8rHwCrcbEsw_6_0"/>
      <w:bookmarkStart w:id="233" w:name="Tc_qtCZTQw1rkOCzybJ0_6rkw_5_0"/>
      <w:bookmarkStart w:id="234" w:name="Tc_Q1LhbUkjWUyRhTyNF95W0A_4_11"/>
      <w:bookmarkStart w:id="235" w:name="Tc_3lMy3ae2g06k8SwTVdZX_Q_4_8"/>
      <w:bookmarkStart w:id="236" w:name="Tc_Yz02QbSpB0Wf_YFvj9qveA_4_5"/>
      <w:bookmarkStart w:id="237" w:name="Tc_VRK4HzIB_0KnkU_MgJ17ig_4_2"/>
      <w:bookmarkStart w:id="238" w:name="Tc_y4OgKXRAjESPsFXBxy3XMg_4_0"/>
      <w:bookmarkStart w:id="239" w:name="Tc_tLeAflcBeU2x3nCg6xnx4w_3_0"/>
      <w:bookmarkStart w:id="240" w:name="Tc_-IQZJ1tAokq-Sh_BmMW-Zw_2_11"/>
      <w:bookmarkStart w:id="241" w:name="Tc_Hi8ZDwsC40KCVvWdixELow_2_8"/>
      <w:bookmarkStart w:id="242" w:name="Tc_AjPDv_eQPUWWfoCLLGsk7g_2_5"/>
      <w:bookmarkStart w:id="243" w:name="Tc_v4wRDEA6sEKIqVAHP0NE9w_2_2"/>
      <w:bookmarkStart w:id="244" w:name="Tc_rE6SQqXCYk621-XUuZCOEQ_1_8"/>
      <w:bookmarkStart w:id="245" w:name="Tc_sbrAUMw7nUmNdoO47a8SIw_1_2"/>
      <w:bookmarkStart w:id="246" w:name="_7a29ed4b_e30f_4141_83ab_845cd2833d92"/>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tbl>
      <w:tblPr>
        <w:tblW w:w="9903" w:type="dxa"/>
        <w:jc w:val="left"/>
        <w:tblInd w:w="0" w:type="dxa"/>
        <w:tblLayout w:type="fixed"/>
        <w:tblCellMar>
          <w:top w:w="0" w:type="dxa"/>
          <w:left w:w="0" w:type="dxa"/>
          <w:bottom w:w="0" w:type="dxa"/>
          <w:right w:w="0" w:type="dxa"/>
        </w:tblCellMar>
      </w:tblPr>
      <w:tblGrid>
        <w:gridCol w:w="3736"/>
        <w:gridCol w:w="146"/>
        <w:gridCol w:w="214"/>
        <w:gridCol w:w="1054"/>
        <w:gridCol w:w="148"/>
        <w:gridCol w:w="214"/>
        <w:gridCol w:w="1054"/>
        <w:gridCol w:w="326"/>
        <w:gridCol w:w="211"/>
        <w:gridCol w:w="1036"/>
        <w:gridCol w:w="326"/>
        <w:gridCol w:w="211"/>
        <w:gridCol w:w="1036"/>
        <w:gridCol w:w="191"/>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372360" cy="175260"/>
                      <wp:effectExtent l="0" t="0" r="0" b="0"/>
                      <wp:wrapNone/>
                      <wp:docPr id="12" name="Frame12"/>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92710" cy="175260"/>
                      <wp:effectExtent l="0" t="0" r="0" b="0"/>
                      <wp:wrapNone/>
                      <wp:docPr id="13" name="Frame1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5890" cy="175260"/>
                      <wp:effectExtent l="0" t="0" r="0" b="0"/>
                      <wp:wrapNone/>
                      <wp:docPr id="14" name="Frame14"/>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69290" cy="175260"/>
                      <wp:effectExtent l="0" t="0" r="0" b="0"/>
                      <wp:wrapNone/>
                      <wp:docPr id="15" name="Frame15"/>
                      <a:graphic xmlns:a="http://schemas.openxmlformats.org/drawingml/2006/main">
                        <a:graphicData uri="http://schemas.microsoft.com/office/word/2010/wordprocessingShape">
                          <wps:wsp>
                            <wps:cNvSpPr txBox="1"/>
                            <wps:spPr>
                              <a:xfrm>
                                <a:off x="0" y="0"/>
                                <a:ext cx="669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93980" cy="175260"/>
                      <wp:effectExtent l="0" t="0" r="0" b="0"/>
                      <wp:wrapNone/>
                      <wp:docPr id="16" name="Frame16"/>
                      <a:graphic xmlns:a="http://schemas.openxmlformats.org/drawingml/2006/main">
                        <a:graphicData uri="http://schemas.microsoft.com/office/word/2010/wordprocessingShape">
                          <wps:wsp>
                            <wps:cNvSpPr txBox="1"/>
                            <wps:spPr>
                              <a:xfrm>
                                <a:off x="0" y="0"/>
                                <a:ext cx="93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5890" cy="175260"/>
                      <wp:effectExtent l="0" t="0" r="0" b="0"/>
                      <wp:wrapNone/>
                      <wp:docPr id="17" name="Frame17"/>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69290" cy="175260"/>
                      <wp:effectExtent l="0" t="0" r="0" b="0"/>
                      <wp:wrapNone/>
                      <wp:docPr id="18" name="Frame18"/>
                      <a:graphic xmlns:a="http://schemas.openxmlformats.org/drawingml/2006/main">
                        <a:graphicData uri="http://schemas.microsoft.com/office/word/2010/wordprocessingShape">
                          <wps:wsp>
                            <wps:cNvSpPr txBox="1"/>
                            <wps:spPr>
                              <a:xfrm>
                                <a:off x="0" y="0"/>
                                <a:ext cx="669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57860" cy="175260"/>
                      <wp:effectExtent l="0" t="0" r="0" b="0"/>
                      <wp:wrapNone/>
                      <wp:docPr id="21" name="Frame2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57860" cy="175260"/>
                      <wp:effectExtent l="0" t="0" r="0" b="0"/>
                      <wp:wrapNone/>
                      <wp:docPr id="24" name="Frame2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21285" cy="175260"/>
                      <wp:effectExtent l="0" t="0" r="0" b="0"/>
                      <wp:wrapNone/>
                      <wp:docPr id="25" name="Frame25"/>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6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0"/>
              <w:ind w:left="0" w:right="0" w:hanging="0"/>
              <w:jc w:val="left"/>
              <w:rPr/>
            </w:pPr>
            <w:r>
              <w:rPr/>
              <w:t>​</w:t>
            </w:r>
          </w:p>
        </w:tc>
        <w:tc>
          <w:tcPr>
            <w:tcW w:w="2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2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48" w:type="dxa"/>
            <w:tcBorders/>
            <w:vAlign w:val="center"/>
          </w:tcPr>
          <w:p>
            <w:pPr>
              <w:pStyle w:val="TableContents"/>
              <w:bidi w:val="0"/>
              <w:spacing w:before="0" w:after="0"/>
              <w:ind w:left="0" w:right="0" w:hanging="0"/>
              <w:jc w:val="left"/>
              <w:rPr/>
            </w:pPr>
            <w:r>
              <w:rPr/>
              <w:t>​</w:t>
            </w:r>
          </w:p>
        </w:tc>
        <w:tc>
          <w:tcPr>
            <w:tcW w:w="12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14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1054" w:type="dxa"/>
            <w:tcBorders/>
            <w:shd w:fill="CCEEFF" w:val="clear"/>
            <w:vAlign w:val="center"/>
          </w:tcPr>
          <w:p>
            <w:pPr>
              <w:pStyle w:val="TableContents"/>
              <w:bidi w:val="0"/>
              <w:spacing w:before="0" w:after="0"/>
              <w:ind w:left="0" w:right="0" w:hanging="0"/>
              <w:jc w:val="right"/>
              <w:rPr/>
            </w:pPr>
            <w:r>
              <w:rPr/>
              <w:t>  </w:t>
            </w:r>
          </w:p>
        </w:tc>
        <w:tc>
          <w:tcPr>
            <w:tcW w:w="148"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1054"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1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30,169</w:t>
            </w:r>
          </w:p>
        </w:tc>
        <w:tc>
          <w:tcPr>
            <w:tcW w:w="148"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37,008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92,653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122,505</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Consumer, MHP and dealer loans interest</w:t>
            </w:r>
          </w:p>
        </w:tc>
        <w:tc>
          <w:tcPr>
            <w:tcW w:w="1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0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10,330</w:t>
            </w:r>
          </w:p>
        </w:tc>
        <w:tc>
          <w:tcPr>
            <w:tcW w:w="148"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0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24,996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1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3,767</w:t>
            </w:r>
          </w:p>
        </w:tc>
        <w:tc>
          <w:tcPr>
            <w:tcW w:w="148"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7,929</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revenue</w:t>
            </w:r>
          </w:p>
        </w:tc>
        <w:tc>
          <w:tcPr>
            <w:tcW w:w="14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44,266</w:t>
            </w:r>
          </w:p>
        </w:tc>
        <w:tc>
          <w:tcPr>
            <w:tcW w:w="148"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155,430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1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54" w:type="dxa"/>
            <w:tcBorders/>
            <w:vAlign w:val="center"/>
          </w:tcPr>
          <w:p>
            <w:pPr>
              <w:pStyle w:val="TableContents"/>
              <w:bidi w:val="0"/>
              <w:spacing w:before="0" w:after="0"/>
              <w:ind w:left="0" w:right="0" w:hanging="0"/>
              <w:jc w:val="right"/>
              <w:rPr/>
            </w:pPr>
            <w:r>
              <w:rPr/>
              <w:t>  </w:t>
            </w:r>
          </w:p>
        </w:tc>
        <w:tc>
          <w:tcPr>
            <w:tcW w:w="148"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5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1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0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21,364</w:t>
            </w:r>
          </w:p>
        </w:tc>
        <w:tc>
          <w:tcPr>
            <w:tcW w:w="148"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0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83,490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other sales</w:t>
            </w:r>
          </w:p>
        </w:tc>
        <w:tc>
          <w:tcPr>
            <w:tcW w:w="1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10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1,988</w:t>
            </w:r>
          </w:p>
        </w:tc>
        <w:tc>
          <w:tcPr>
            <w:tcW w:w="148"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10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1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0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6,065</w:t>
            </w:r>
          </w:p>
        </w:tc>
        <w:tc>
          <w:tcPr>
            <w:tcW w:w="148"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0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17,046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Dealer incentive</w:t>
            </w:r>
          </w:p>
        </w:tc>
        <w:tc>
          <w:tcPr>
            <w:tcW w:w="1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w:t>
            </w:r>
          </w:p>
        </w:tc>
        <w:tc>
          <w:tcPr>
            <w:tcW w:w="148"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14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28,942</w:t>
            </w:r>
          </w:p>
        </w:tc>
        <w:tc>
          <w:tcPr>
            <w:tcW w:w="148"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100,563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1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15,324</w:t>
            </w:r>
          </w:p>
        </w:tc>
        <w:tc>
          <w:tcPr>
            <w:tcW w:w="148"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54,867</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1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054" w:type="dxa"/>
            <w:tcBorders/>
            <w:shd w:fill="CCEEFF" w:val="clear"/>
            <w:vAlign w:val="center"/>
          </w:tcPr>
          <w:p>
            <w:pPr>
              <w:pStyle w:val="TableContents"/>
              <w:bidi w:val="0"/>
              <w:spacing w:before="0" w:after="0"/>
              <w:ind w:left="0" w:right="0" w:hanging="0"/>
              <w:jc w:val="right"/>
              <w:rPr/>
            </w:pPr>
            <w:r>
              <w:rPr/>
              <w:t>  </w:t>
            </w:r>
          </w:p>
        </w:tc>
        <w:tc>
          <w:tcPr>
            <w:tcW w:w="148"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05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w:t>
              <w:noBreakHyphen/>
              <w:t>operating interest income</w:t>
            </w:r>
          </w:p>
        </w:tc>
        <w:tc>
          <w:tcPr>
            <w:tcW w:w="1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148"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Miscellaneous, net</w:t>
            </w:r>
          </w:p>
        </w:tc>
        <w:tc>
          <w:tcPr>
            <w:tcW w:w="1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0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4,193</w:t>
            </w:r>
          </w:p>
        </w:tc>
        <w:tc>
          <w:tcPr>
            <w:tcW w:w="148"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10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148"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w:t>
            </w:r>
          </w:p>
        </w:tc>
        <w:tc>
          <w:tcPr>
            <w:tcW w:w="14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4,001</w:t>
            </w:r>
          </w:p>
        </w:tc>
        <w:tc>
          <w:tcPr>
            <w:tcW w:w="148"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 expense</w:t>
            </w:r>
          </w:p>
        </w:tc>
        <w:tc>
          <w:tcPr>
            <w:tcW w:w="1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19,325</w:t>
            </w:r>
          </w:p>
        </w:tc>
        <w:tc>
          <w:tcPr>
            <w:tcW w:w="148"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10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19,468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57,633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57,269</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14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(3,522)</w:t>
            </w:r>
          </w:p>
        </w:tc>
        <w:tc>
          <w:tcPr>
            <w:tcW w:w="148"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4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15,803</w:t>
            </w:r>
          </w:p>
        </w:tc>
        <w:tc>
          <w:tcPr>
            <w:tcW w:w="148"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16,088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47,131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47,384</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w:t>
            </w:r>
          </w:p>
        </w:tc>
        <w:tc>
          <w:tcPr>
            <w:tcW w:w="1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1054" w:type="dxa"/>
            <w:tcBorders/>
            <w:shd w:fill="CCEEFF" w:val="clear"/>
            <w:vAlign w:val="center"/>
          </w:tcPr>
          <w:p>
            <w:pPr>
              <w:pStyle w:val="TableContents"/>
              <w:bidi w:val="0"/>
              <w:spacing w:before="0" w:after="0"/>
              <w:ind w:left="0" w:right="0" w:hanging="0"/>
              <w:jc w:val="right"/>
              <w:rPr/>
            </w:pPr>
            <w:r>
              <w:rPr/>
              <w:t>​</w:t>
            </w:r>
          </w:p>
        </w:tc>
        <w:tc>
          <w:tcPr>
            <w:tcW w:w="148"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105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1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10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24,154,779</w:t>
            </w:r>
          </w:p>
        </w:tc>
        <w:tc>
          <w:tcPr>
            <w:tcW w:w="148"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10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24,391,797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24,237,405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24,382,519</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1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10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24,810,816</w:t>
            </w:r>
          </w:p>
        </w:tc>
        <w:tc>
          <w:tcPr>
            <w:tcW w:w="148"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10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25,128,679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24,870,712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25,099,985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share:</w:t>
            </w:r>
          </w:p>
        </w:tc>
        <w:tc>
          <w:tcPr>
            <w:tcW w:w="1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1054" w:type="dxa"/>
            <w:tcBorders/>
            <w:vAlign w:val="center"/>
          </w:tcPr>
          <w:p>
            <w:pPr>
              <w:pStyle w:val="TableContents"/>
              <w:bidi w:val="0"/>
              <w:spacing w:before="0" w:after="0"/>
              <w:ind w:left="0" w:right="0" w:hanging="0"/>
              <w:jc w:val="right"/>
              <w:rPr/>
            </w:pPr>
            <w:r>
              <w:rPr/>
              <w:t>​</w:t>
            </w:r>
          </w:p>
        </w:tc>
        <w:tc>
          <w:tcPr>
            <w:tcW w:w="148"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10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1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0.65</w:t>
            </w:r>
          </w:p>
        </w:tc>
        <w:tc>
          <w:tcPr>
            <w:tcW w:w="148"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1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0.64</w:t>
            </w:r>
          </w:p>
        </w:tc>
        <w:tc>
          <w:tcPr>
            <w:tcW w:w="148"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firstLine="720"/>
        <w:jc w:val="center"/>
        <w:rPr>
          <w:rFonts w:ascii="Times New Roman;Times;serif" w:hAnsi="Times New Roman;Times;serif"/>
          <w:sz w:val="20"/>
        </w:rPr>
      </w:pPr>
      <w:r>
        <w:rPr>
          <w:rFonts w:ascii="Times New Roman;Times;serif" w:hAnsi="Times New Roman;Times;serif"/>
          <w:sz w:val="20"/>
        </w:rPr>
        <w:t>See accompanying notes to unaudited interim condensed financial statements.</w:t>
      </w:r>
    </w:p>
    <w:p>
      <w:pPr>
        <w:pStyle w:val="TextBody"/>
        <w:bidi w:val="0"/>
        <w:spacing w:before="0" w:after="0"/>
        <w:ind w:left="0" w:right="0" w:hanging="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80"/>
        <w:ind w:left="0" w:right="0" w:hanging="0"/>
        <w:jc w:val="center"/>
        <w:rPr>
          <w:rFonts w:ascii="Times New Roman;Times;serif" w:hAnsi="Times New Roman;Times;serif"/>
          <w:b/>
          <w:sz w:val="20"/>
        </w:rPr>
      </w:pPr>
      <w:bookmarkStart w:id="247" w:name="_d505695a_54d2_41d9_9288_5bc196a25133"/>
      <w:bookmarkEnd w:id="247"/>
      <w:r>
        <w:rPr>
          <w:rFonts w:ascii="Times New Roman;Times;serif" w:hAnsi="Times New Roman;Times;serif"/>
          <w:b/>
          <w:sz w:val="20"/>
        </w:rPr>
        <w:t>LEGACY HOUSING CORPORATION</w:t>
      </w:r>
    </w:p>
    <w:p>
      <w:pPr>
        <w:pStyle w:val="TextBody"/>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CONDENSED STATEMENTS OF CASH FLOWS</w:t>
      </w:r>
    </w:p>
    <w:p>
      <w:pPr>
        <w:pStyle w:val="TextBody"/>
        <w:bidi w:val="0"/>
        <w:spacing w:lineRule="atLeast" w:line="200" w:before="0" w:after="200"/>
        <w:ind w:left="0" w:right="0" w:hanging="0"/>
        <w:jc w:val="center"/>
        <w:rPr>
          <w:rFonts w:ascii="Times New Roman;Times;serif" w:hAnsi="Times New Roman;Times;serif"/>
          <w:b/>
          <w:sz w:val="20"/>
        </w:rPr>
      </w:pPr>
      <w:r>
        <w:rPr>
          <w:rFonts w:ascii="Times New Roman;Times;serif" w:hAnsi="Times New Roman;Times;serif"/>
          <w:b/>
          <w:sz w:val="20"/>
        </w:rPr>
        <w:t xml:space="preserve">(unaudited, in thousands) </w:t>
      </w:r>
    </w:p>
    <w:p>
      <w:pPr>
        <w:pStyle w:val="Normal"/>
        <w:bidi w:val="0"/>
        <w:spacing w:before="0" w:after="0"/>
        <w:jc w:val="left"/>
        <w:rPr>
          <w:sz w:val="4"/>
          <w:szCs w:val="4"/>
        </w:rPr>
      </w:pPr>
      <w:r>
        <w:rPr>
          <w:sz w:val="4"/>
          <w:szCs w:val="4"/>
        </w:rPr>
      </w:r>
      <w:bookmarkStart w:id="248" w:name="Tc_yDP8StH68UO6M6ppVd2-ig_50_5"/>
      <w:bookmarkStart w:id="249" w:name="Tc_BVJBpCkjuUilNxiPovZ9Ew_50_2"/>
      <w:bookmarkStart w:id="250" w:name="Tc_p2DEPo_4KEatoJlJLMxsiQ_50_0"/>
      <w:bookmarkStart w:id="251" w:name="Tc_HymLHGfbt0qCzAGiHT7lTQ_49_5"/>
      <w:bookmarkStart w:id="252" w:name="Tc_YRC-xPbJlUu1wxUf3WtenA_49_2"/>
      <w:bookmarkStart w:id="253" w:name="Tc_lXicXiqB1kyG1whqbHU5Hw_49_0"/>
      <w:bookmarkStart w:id="254" w:name="Tc_PIHXZeTAqU680X53b3sHKA_48_0"/>
      <w:bookmarkStart w:id="255" w:name="Tc_UU_9V4v9i0uEQsvgNLtDCg_47_5"/>
      <w:bookmarkStart w:id="256" w:name="Tc_TwDYVy-Oykeb5dJOvCSGtw_47_2"/>
      <w:bookmarkStart w:id="257" w:name="Tc_3gdaBfLUbEqr4_2kFrKSpg_47_0"/>
      <w:bookmarkStart w:id="258" w:name="Tc_hpF8Tp2fZ0S4oTaTTz6JLw_46_0"/>
      <w:bookmarkStart w:id="259" w:name="Tc_cIfj9YVxkUKVPr890HQ8oQ_45_0"/>
      <w:bookmarkStart w:id="260" w:name="Tc_GADnyoR4nk6UrF3xoec3OQ_44_0"/>
      <w:bookmarkStart w:id="261" w:name="Tc_FKebyw_KLk6_Cdewz7-ElA_43_0"/>
      <w:bookmarkStart w:id="262" w:name="Tc_7aNyTgpLAkCzX7gVnQpsIQ_42_0"/>
      <w:bookmarkStart w:id="263" w:name="Tc_p9c8W5tfm0-jWedzFyc5PQ_41_6"/>
      <w:bookmarkStart w:id="264" w:name="Tc_NBwjnubeIUaYQGOGfQWbvw_41_0"/>
      <w:bookmarkStart w:id="265" w:name="Tc_VjiA9Nyo50WF6_-HZgol3w_40_0"/>
      <w:bookmarkStart w:id="266" w:name="Tc_-c6Oh2FxzkWmayZ9b0KkDw_39_0"/>
      <w:bookmarkStart w:id="267" w:name="Tc_JvYSK26_lEelA_KtZwELzQ_38_0"/>
      <w:bookmarkStart w:id="268" w:name="Tc_RVpqQX-xvE61aaua9hH2AQ_37_0"/>
      <w:bookmarkStart w:id="269" w:name="Tc_DuUpDRtBiU6WPHsocdnPeA_36_0"/>
      <w:bookmarkStart w:id="270" w:name="Tc_CCeJ4MjdVEmgEJ5be5cmDA_35_0"/>
      <w:bookmarkStart w:id="271" w:name="Tc_1f6c0RbZWE2DQ3ssxRuWaA_34_3"/>
      <w:bookmarkStart w:id="272" w:name="Tc_xydbdO8VX0GHo6CYxr_sRQ_34_0"/>
      <w:bookmarkStart w:id="273" w:name="Tc_LzbYyWd2nEWB-xIeeX-4HQ_33_6"/>
      <w:bookmarkStart w:id="274" w:name="Tc_pnoRPGuzQE62xgfObw9xfQ_33_0"/>
      <w:bookmarkStart w:id="275" w:name="Tc_JpYFOuxSg06-JH7WMa_mZQ_32_3"/>
      <w:bookmarkStart w:id="276" w:name="Tc_qPOshWhx-Uic2pM3u0bnkg_32_0"/>
      <w:bookmarkStart w:id="277" w:name="Tc_t23-9hi8PkyVVi8HVRstTA_31_0"/>
      <w:bookmarkStart w:id="278" w:name="Tc_BgHNV4fa3kCjXfJ6_9KXgw_30_0"/>
      <w:bookmarkStart w:id="279" w:name="Tc_zdBHeKM3_ESphsRKfZMCHg_29_0"/>
      <w:bookmarkStart w:id="280" w:name="Tc_71TldrelakC8Zy9ejtBjQA_28_0"/>
      <w:bookmarkStart w:id="281" w:name="Tc_n7TxgEUo7UGnK1MwwJU8nA_27_0"/>
      <w:bookmarkStart w:id="282" w:name="Tc_X9oFCRl_tkmz59SYUo2_Fg_26_0"/>
      <w:bookmarkStart w:id="283" w:name="Tc_nU2-rnDeDU24RwMl2g6x5Q_25_0"/>
      <w:bookmarkStart w:id="284" w:name="Tc_EHsFK_w4ZE6HiTT2ynQmYQ_24_0"/>
      <w:bookmarkStart w:id="285" w:name="Tc_mnWC-VyAPk-KOY6SNs-5fg_23_0"/>
      <w:bookmarkStart w:id="286" w:name="Tc_xpiLEwJD1Eir_pnCr4ueLw_22_6"/>
      <w:bookmarkStart w:id="287" w:name="Tc_TETAfihp-UCNkdVwBiH10A_22_0"/>
      <w:bookmarkStart w:id="288" w:name="Tc_3XmET0EXLkW0TR-PMWYvnA_21_0"/>
      <w:bookmarkStart w:id="289" w:name="Tc_G6uajlULf0iQrqRTKrYfrQ_20_0"/>
      <w:bookmarkStart w:id="290" w:name="Tc_PqW6KiLDok-pf-RHt9ehZg_19_0"/>
      <w:bookmarkStart w:id="291" w:name="Tc_ac2w4HfJJUaI_9H6ksM2Ew_18_0"/>
      <w:bookmarkStart w:id="292" w:name="Tc_d-5cmhCxskaY6O60hxlxXQ_17_0"/>
      <w:bookmarkStart w:id="293" w:name="Tc_ffWgxtHqpUOqo5_VavKWvg_16_0"/>
      <w:bookmarkStart w:id="294" w:name="Tc_AVL4BbWi8kuHIHgOoHgjXw_15_0"/>
      <w:bookmarkStart w:id="295" w:name="Tc_yOVWldlcBUiDeeXgAemGmg_14_0"/>
      <w:bookmarkStart w:id="296" w:name="Tc__ENrzwmnpEygPeT0pyFdVA_13_0"/>
      <w:bookmarkStart w:id="297" w:name="Tc_O52SYN4gqkeF43g7ZDMK9w_12_0"/>
      <w:bookmarkStart w:id="298" w:name="Tc_M1PMMDoZ2Uy3g8ePEuMsMQ_11_6"/>
      <w:bookmarkStart w:id="299" w:name="Tc_kBNqTUdzx06MWLX5MTOmyA_11_0"/>
      <w:bookmarkStart w:id="300" w:name="Tc_dUQiwAEe80qe6Hy0NaQ2oQ_10_0"/>
      <w:bookmarkStart w:id="301" w:name="Tc_I13yAIOqa0iEG-mx9LYZ9Q_9_0"/>
      <w:bookmarkStart w:id="302" w:name="Tc_ViyETtLXVkGhBwD472YeEA_8_0"/>
      <w:bookmarkStart w:id="303" w:name="Tc_uprPI7ASskmtJ1PAXNcQxA_7_0"/>
      <w:bookmarkStart w:id="304" w:name="Tc_uDklCMZOaEiWE8PAhg3Wgw_6_0"/>
      <w:bookmarkStart w:id="305" w:name="Tc_SufdAkJiR0WqmBvUp8TGZA_5_0"/>
      <w:bookmarkStart w:id="306" w:name="Tc_JCV3_aOqu0S8L9OIn1FjXQ_4_5"/>
      <w:bookmarkStart w:id="307" w:name="Tc_exUdfw1KP0O6Ob--iHR25A_4_2"/>
      <w:bookmarkStart w:id="308" w:name="Tc_VbYTJYoqQk6phhtjyT2d2w_4_0"/>
      <w:bookmarkStart w:id="309" w:name="Tc_1zjxL96OyEKThHI_XhsOBQ_3_0"/>
      <w:bookmarkStart w:id="310" w:name="Tc_cXMyf3qWTkeo6cWJvTpHrQ_2_5"/>
      <w:bookmarkStart w:id="311" w:name="Tc_QpjkYeF2LkaQw5cFLYzkiA_2_2"/>
      <w:bookmarkStart w:id="312" w:name="Tc_rX_8I4DkDUGXTShzUKgdBQ_1_2"/>
      <w:bookmarkStart w:id="313" w:name="_8aca14f0_f3f2_42d5_b562_baefeb3465e8"/>
      <w:bookmarkStart w:id="314" w:name="Tc_yDP8StH68UO6M6ppVd2-ig_50_5"/>
      <w:bookmarkStart w:id="315" w:name="Tc_BVJBpCkjuUilNxiPovZ9Ew_50_2"/>
      <w:bookmarkStart w:id="316" w:name="Tc_p2DEPo_4KEatoJlJLMxsiQ_50_0"/>
      <w:bookmarkStart w:id="317" w:name="Tc_HymLHGfbt0qCzAGiHT7lTQ_49_5"/>
      <w:bookmarkStart w:id="318" w:name="Tc_YRC-xPbJlUu1wxUf3WtenA_49_2"/>
      <w:bookmarkStart w:id="319" w:name="Tc_lXicXiqB1kyG1whqbHU5Hw_49_0"/>
      <w:bookmarkStart w:id="320" w:name="Tc_PIHXZeTAqU680X53b3sHKA_48_0"/>
      <w:bookmarkStart w:id="321" w:name="Tc_UU_9V4v9i0uEQsvgNLtDCg_47_5"/>
      <w:bookmarkStart w:id="322" w:name="Tc_TwDYVy-Oykeb5dJOvCSGtw_47_2"/>
      <w:bookmarkStart w:id="323" w:name="Tc_3gdaBfLUbEqr4_2kFrKSpg_47_0"/>
      <w:bookmarkStart w:id="324" w:name="Tc_hpF8Tp2fZ0S4oTaTTz6JLw_46_0"/>
      <w:bookmarkStart w:id="325" w:name="Tc_cIfj9YVxkUKVPr890HQ8oQ_45_0"/>
      <w:bookmarkStart w:id="326" w:name="Tc_GADnyoR4nk6UrF3xoec3OQ_44_0"/>
      <w:bookmarkStart w:id="327" w:name="Tc_FKebyw_KLk6_Cdewz7-ElA_43_0"/>
      <w:bookmarkStart w:id="328" w:name="Tc_7aNyTgpLAkCzX7gVnQpsIQ_42_0"/>
      <w:bookmarkStart w:id="329" w:name="Tc_p9c8W5tfm0-jWedzFyc5PQ_41_6"/>
      <w:bookmarkStart w:id="330" w:name="Tc_NBwjnubeIUaYQGOGfQWbvw_41_0"/>
      <w:bookmarkStart w:id="331" w:name="Tc_VjiA9Nyo50WF6_-HZgol3w_40_0"/>
      <w:bookmarkStart w:id="332" w:name="Tc_-c6Oh2FxzkWmayZ9b0KkDw_39_0"/>
      <w:bookmarkStart w:id="333" w:name="Tc_JvYSK26_lEelA_KtZwELzQ_38_0"/>
      <w:bookmarkStart w:id="334" w:name="Tc_RVpqQX-xvE61aaua9hH2AQ_37_0"/>
      <w:bookmarkStart w:id="335" w:name="Tc_DuUpDRtBiU6WPHsocdnPeA_36_0"/>
      <w:bookmarkStart w:id="336" w:name="Tc_CCeJ4MjdVEmgEJ5be5cmDA_35_0"/>
      <w:bookmarkStart w:id="337" w:name="Tc_1f6c0RbZWE2DQ3ssxRuWaA_34_3"/>
      <w:bookmarkStart w:id="338" w:name="Tc_xydbdO8VX0GHo6CYxr_sRQ_34_0"/>
      <w:bookmarkStart w:id="339" w:name="Tc_LzbYyWd2nEWB-xIeeX-4HQ_33_6"/>
      <w:bookmarkStart w:id="340" w:name="Tc_pnoRPGuzQE62xgfObw9xfQ_33_0"/>
      <w:bookmarkStart w:id="341" w:name="Tc_JpYFOuxSg06-JH7WMa_mZQ_32_3"/>
      <w:bookmarkStart w:id="342" w:name="Tc_qPOshWhx-Uic2pM3u0bnkg_32_0"/>
      <w:bookmarkStart w:id="343" w:name="Tc_t23-9hi8PkyVVi8HVRstTA_31_0"/>
      <w:bookmarkStart w:id="344" w:name="Tc_BgHNV4fa3kCjXfJ6_9KXgw_30_0"/>
      <w:bookmarkStart w:id="345" w:name="Tc_zdBHeKM3_ESphsRKfZMCHg_29_0"/>
      <w:bookmarkStart w:id="346" w:name="Tc_71TldrelakC8Zy9ejtBjQA_28_0"/>
      <w:bookmarkStart w:id="347" w:name="Tc_n7TxgEUo7UGnK1MwwJU8nA_27_0"/>
      <w:bookmarkStart w:id="348" w:name="Tc_X9oFCRl_tkmz59SYUo2_Fg_26_0"/>
      <w:bookmarkStart w:id="349" w:name="Tc_nU2-rnDeDU24RwMl2g6x5Q_25_0"/>
      <w:bookmarkStart w:id="350" w:name="Tc_EHsFK_w4ZE6HiTT2ynQmYQ_24_0"/>
      <w:bookmarkStart w:id="351" w:name="Tc_mnWC-VyAPk-KOY6SNs-5fg_23_0"/>
      <w:bookmarkStart w:id="352" w:name="Tc_xpiLEwJD1Eir_pnCr4ueLw_22_6"/>
      <w:bookmarkStart w:id="353" w:name="Tc_TETAfihp-UCNkdVwBiH10A_22_0"/>
      <w:bookmarkStart w:id="354" w:name="Tc_3XmET0EXLkW0TR-PMWYvnA_21_0"/>
      <w:bookmarkStart w:id="355" w:name="Tc_G6uajlULf0iQrqRTKrYfrQ_20_0"/>
      <w:bookmarkStart w:id="356" w:name="Tc_PqW6KiLDok-pf-RHt9ehZg_19_0"/>
      <w:bookmarkStart w:id="357" w:name="Tc_ac2w4HfJJUaI_9H6ksM2Ew_18_0"/>
      <w:bookmarkStart w:id="358" w:name="Tc_d-5cmhCxskaY6O60hxlxXQ_17_0"/>
      <w:bookmarkStart w:id="359" w:name="Tc_ffWgxtHqpUOqo5_VavKWvg_16_0"/>
      <w:bookmarkStart w:id="360" w:name="Tc_AVL4BbWi8kuHIHgOoHgjXw_15_0"/>
      <w:bookmarkStart w:id="361" w:name="Tc_yOVWldlcBUiDeeXgAemGmg_14_0"/>
      <w:bookmarkStart w:id="362" w:name="Tc__ENrzwmnpEygPeT0pyFdVA_13_0"/>
      <w:bookmarkStart w:id="363" w:name="Tc_O52SYN4gqkeF43g7ZDMK9w_12_0"/>
      <w:bookmarkStart w:id="364" w:name="Tc_M1PMMDoZ2Uy3g8ePEuMsMQ_11_6"/>
      <w:bookmarkStart w:id="365" w:name="Tc_kBNqTUdzx06MWLX5MTOmyA_11_0"/>
      <w:bookmarkStart w:id="366" w:name="Tc_dUQiwAEe80qe6Hy0NaQ2oQ_10_0"/>
      <w:bookmarkStart w:id="367" w:name="Tc_I13yAIOqa0iEG-mx9LYZ9Q_9_0"/>
      <w:bookmarkStart w:id="368" w:name="Tc_ViyETtLXVkGhBwD472YeEA_8_0"/>
      <w:bookmarkStart w:id="369" w:name="Tc_uprPI7ASskmtJ1PAXNcQxA_7_0"/>
      <w:bookmarkStart w:id="370" w:name="Tc_uDklCMZOaEiWE8PAhg3Wgw_6_0"/>
      <w:bookmarkStart w:id="371" w:name="Tc_SufdAkJiR0WqmBvUp8TGZA_5_0"/>
      <w:bookmarkStart w:id="372" w:name="Tc_JCV3_aOqu0S8L9OIn1FjXQ_4_5"/>
      <w:bookmarkStart w:id="373" w:name="Tc_exUdfw1KP0O6Ob--iHR25A_4_2"/>
      <w:bookmarkStart w:id="374" w:name="Tc_VbYTJYoqQk6phhtjyT2d2w_4_0"/>
      <w:bookmarkStart w:id="375" w:name="Tc_1zjxL96OyEKThHI_XhsOBQ_3_0"/>
      <w:bookmarkStart w:id="376" w:name="Tc_cXMyf3qWTkeo6cWJvTpHrQ_2_5"/>
      <w:bookmarkStart w:id="377" w:name="Tc_QpjkYeF2LkaQw5cFLYzkiA_2_2"/>
      <w:bookmarkStart w:id="378" w:name="Tc_rX_8I4DkDUGXTShzUKgdBQ_1_2"/>
      <w:bookmarkStart w:id="379" w:name="_8aca14f0_f3f2_42d5_b562_baefeb3465e8"/>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tbl>
      <w:tblPr>
        <w:tblW w:w="9636" w:type="dxa"/>
        <w:jc w:val="left"/>
        <w:tblInd w:w="0" w:type="dxa"/>
        <w:tblLayout w:type="fixed"/>
        <w:tblCellMar>
          <w:top w:w="0" w:type="dxa"/>
          <w:left w:w="0" w:type="dxa"/>
          <w:bottom w:w="0" w:type="dxa"/>
          <w:right w:w="0" w:type="dxa"/>
        </w:tblCellMar>
      </w:tblPr>
      <w:tblGrid>
        <w:gridCol w:w="6466"/>
        <w:gridCol w:w="326"/>
        <w:gridCol w:w="235"/>
        <w:gridCol w:w="866"/>
        <w:gridCol w:w="391"/>
        <w:gridCol w:w="235"/>
        <w:gridCol w:w="866"/>
        <w:gridCol w:w="251"/>
      </w:tblGrid>
      <w:tr>
        <w:trPr/>
        <w:tc>
          <w:tcPr>
            <w:tcW w:w="6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105910" cy="175260"/>
                      <wp:effectExtent l="0" t="0" r="0" b="0"/>
                      <wp:wrapNone/>
                      <wp:docPr id="26" name="Frame26"/>
                      <a:graphic xmlns:a="http://schemas.openxmlformats.org/drawingml/2006/main">
                        <a:graphicData uri="http://schemas.microsoft.com/office/word/2010/wordprocessingShape">
                          <wps:wsp>
                            <wps:cNvSpPr txBox="1"/>
                            <wps:spPr>
                              <a:xfrm>
                                <a:off x="0" y="0"/>
                                <a:ext cx="410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49225" cy="175260"/>
                      <wp:effectExtent l="0" t="0" r="0" b="0"/>
                      <wp:wrapNone/>
                      <wp:docPr id="28" name="Frame28"/>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549910" cy="175260"/>
                      <wp:effectExtent l="0" t="0" r="0" b="0"/>
                      <wp:wrapNone/>
                      <wp:docPr id="29" name="Frame29"/>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48285" cy="175260"/>
                      <wp:effectExtent l="0" t="0" r="0" b="0"/>
                      <wp:wrapNone/>
                      <wp:docPr id="30" name="Frame3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49225" cy="175260"/>
                      <wp:effectExtent l="0" t="0" r="0" b="0"/>
                      <wp:wrapNone/>
                      <wp:docPr id="31" name="Frame31"/>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49910" cy="175260"/>
                      <wp:effectExtent l="0" t="0" r="0" b="0"/>
                      <wp:wrapNone/>
                      <wp:docPr id="32" name="Frame32"/>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59385" cy="175260"/>
                      <wp:effectExtent l="0" t="0" r="0" b="0"/>
                      <wp:wrapNone/>
                      <wp:docPr id="33" name="Frame33"/>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251" w:type="dxa"/>
            <w:tcBorders/>
            <w:vAlign w:val="center"/>
          </w:tcPr>
          <w:p>
            <w:pPr>
              <w:pStyle w:val="TableContents"/>
              <w:bidi w:val="0"/>
              <w:spacing w:before="0" w:after="0"/>
              <w:ind w:left="0" w:right="0" w:hanging="0"/>
              <w:jc w:val="left"/>
              <w:rPr/>
            </w:pPr>
            <w:r>
              <w:rPr/>
              <w:t>​</w:t>
            </w:r>
          </w:p>
        </w:tc>
      </w:tr>
      <w:tr>
        <w:trPr/>
        <w:tc>
          <w:tcPr>
            <w:tcW w:w="6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1" w:type="dxa"/>
            <w:tcBorders/>
            <w:vAlign w:val="center"/>
          </w:tcPr>
          <w:p>
            <w:pPr>
              <w:pStyle w:val="TableContents"/>
              <w:bidi w:val="0"/>
              <w:spacing w:before="0" w:after="0"/>
              <w:ind w:left="0" w:right="0" w:hanging="0"/>
              <w:jc w:val="left"/>
              <w:rPr/>
            </w:pPr>
            <w:r>
              <w:rPr/>
              <w:t>    </w:t>
            </w:r>
          </w:p>
        </w:tc>
        <w:tc>
          <w:tcPr>
            <w:tcW w:w="11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51" w:type="dxa"/>
            <w:tcBorders/>
            <w:vAlign w:val="center"/>
          </w:tcPr>
          <w:p>
            <w:pPr>
              <w:pStyle w:val="TableContents"/>
              <w:bidi w:val="0"/>
              <w:spacing w:before="0" w:after="0"/>
              <w:ind w:left="0" w:right="0" w:hanging="0"/>
              <w:jc w:val="left"/>
              <w:rPr/>
            </w:pPr>
            <w:r>
              <w:rPr/>
              <w:t>  </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235"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pPr>
            <w:r>
              <w:rPr/>
              <w:t>  </w:t>
            </w:r>
          </w:p>
        </w:tc>
        <w:tc>
          <w:tcPr>
            <w:tcW w:w="391" w:type="dxa"/>
            <w:tcBorders/>
            <w:shd w:fill="CCEEFF" w:val="clear"/>
            <w:vAlign w:val="center"/>
          </w:tcPr>
          <w:p>
            <w:pPr>
              <w:pStyle w:val="TableContents"/>
              <w:bidi w:val="0"/>
              <w:spacing w:before="0" w:after="0"/>
              <w:ind w:left="0" w:right="0" w:hanging="0"/>
              <w:jc w:val="left"/>
              <w:rPr/>
            </w:pPr>
            <w:r>
              <w:rPr/>
              <w:t> </w:t>
            </w:r>
          </w:p>
        </w:tc>
        <w:tc>
          <w:tcPr>
            <w:tcW w:w="235"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center"/>
              <w:rPr/>
            </w:pPr>
            <w:r>
              <w:rPr/>
              <w:t>​</w:t>
            </w:r>
          </w:p>
        </w:tc>
        <w:tc>
          <w:tcPr>
            <w:tcW w:w="251" w:type="dxa"/>
            <w:tcBorders/>
            <w:shd w:fill="CCEEFF" w:val="clear"/>
            <w:vAlign w:val="center"/>
          </w:tcPr>
          <w:p>
            <w:pPr>
              <w:pStyle w:val="TableContents"/>
              <w:bidi w:val="0"/>
              <w:spacing w:before="0" w:after="0"/>
              <w:ind w:left="0" w:right="0" w:hanging="0"/>
              <w:jc w:val="left"/>
              <w:rPr/>
            </w:pPr>
            <w:r>
              <w:rPr/>
              <w:t> </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47,131</w:t>
            </w:r>
          </w:p>
        </w:tc>
        <w:tc>
          <w:tcPr>
            <w:tcW w:w="39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47,384</w:t>
            </w:r>
          </w:p>
        </w:tc>
        <w:tc>
          <w:tcPr>
            <w:tcW w:w="251" w:type="dxa"/>
            <w:tcBorders/>
            <w:vAlign w:val="center"/>
          </w:tcPr>
          <w:p>
            <w:pPr>
              <w:pStyle w:val="TableContents"/>
              <w:bidi w:val="0"/>
              <w:spacing w:before="0" w:after="0"/>
              <w:ind w:left="0" w:right="0" w:hanging="0"/>
              <w:jc w:val="left"/>
              <w:rPr/>
            </w:pPr>
            <w:r>
              <w:rPr/>
              <w:t>​</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income to net cash provided by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pPr>
            <w:r>
              <w:rPr/>
              <w:t>  </w:t>
            </w:r>
          </w:p>
        </w:tc>
        <w:tc>
          <w:tcPr>
            <w:tcW w:w="39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pPr>
            <w:r>
              <w:rPr/>
              <w:t>  </w:t>
            </w:r>
          </w:p>
        </w:tc>
        <w:tc>
          <w:tcPr>
            <w:tcW w:w="251" w:type="dxa"/>
            <w:tcBorders/>
            <w:shd w:fill="CCEEFF" w:val="clear"/>
            <w:vAlign w:val="center"/>
          </w:tcPr>
          <w:p>
            <w:pPr>
              <w:pStyle w:val="TableContents"/>
              <w:bidi w:val="0"/>
              <w:spacing w:before="0" w:after="0"/>
              <w:ind w:left="0" w:right="0" w:hanging="0"/>
              <w:jc w:val="left"/>
              <w:rPr/>
            </w:pPr>
            <w:r>
              <w:rPr/>
              <w:t>​</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 expense</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1,402</w:t>
            </w:r>
          </w:p>
        </w:tc>
        <w:tc>
          <w:tcPr>
            <w:tcW w:w="39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1,279</w:t>
            </w:r>
          </w:p>
        </w:tc>
        <w:tc>
          <w:tcPr>
            <w:tcW w:w="251" w:type="dxa"/>
            <w:tcBorders/>
            <w:vAlign w:val="center"/>
          </w:tcPr>
          <w:p>
            <w:pPr>
              <w:pStyle w:val="TableContents"/>
              <w:bidi w:val="0"/>
              <w:spacing w:before="0" w:after="0"/>
              <w:ind w:left="0" w:right="0" w:hanging="0"/>
              <w:jc w:val="left"/>
              <w:rPr/>
            </w:pPr>
            <w:r>
              <w:rPr/>
              <w:t>​</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(1,641)</w:t>
            </w:r>
          </w:p>
        </w:tc>
        <w:tc>
          <w:tcPr>
            <w:tcW w:w="39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(956)</w:t>
            </w:r>
          </w:p>
        </w:tc>
        <w:tc>
          <w:tcPr>
            <w:tcW w:w="251" w:type="dxa"/>
            <w:tcBorders/>
            <w:shd w:fill="CCEEFF" w:val="clear"/>
            <w:vAlign w:val="center"/>
          </w:tcPr>
          <w:p>
            <w:pPr>
              <w:pStyle w:val="TableContents"/>
              <w:bidi w:val="0"/>
              <w:spacing w:before="0" w:after="0"/>
              <w:ind w:left="0" w:right="0" w:hanging="0"/>
              <w:jc w:val="left"/>
              <w:rPr/>
            </w:pPr>
            <w:r>
              <w:rPr/>
              <w:t>​</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 for accounts and notes receivable</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w:t>
            </w:r>
          </w:p>
        </w:tc>
        <w:tc>
          <w:tcPr>
            <w:tcW w:w="39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955</w:t>
            </w:r>
          </w:p>
        </w:tc>
        <w:tc>
          <w:tcPr>
            <w:tcW w:w="251" w:type="dxa"/>
            <w:tcBorders/>
            <w:vAlign w:val="center"/>
          </w:tcPr>
          <w:p>
            <w:pPr>
              <w:pStyle w:val="TableContents"/>
              <w:bidi w:val="0"/>
              <w:spacing w:before="0" w:after="0"/>
              <w:ind w:left="0" w:right="0" w:hanging="0"/>
              <w:jc w:val="left"/>
              <w:rPr/>
            </w:pPr>
            <w:r>
              <w:rPr/>
              <w:t>​</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 for long term inventory</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w:t>
            </w:r>
          </w:p>
        </w:tc>
        <w:tc>
          <w:tcPr>
            <w:tcW w:w="39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251" w:type="dxa"/>
            <w:tcBorders/>
            <w:shd w:fill="CCEEFF" w:val="clear"/>
            <w:vAlign w:val="center"/>
          </w:tcPr>
          <w:p>
            <w:pPr>
              <w:pStyle w:val="TableContents"/>
              <w:bidi w:val="0"/>
              <w:spacing w:before="0" w:after="0"/>
              <w:ind w:left="0" w:right="0" w:hanging="0"/>
              <w:jc w:val="left"/>
              <w:rPr/>
            </w:pPr>
            <w:r>
              <w:rPr/>
              <w:t>​</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Gain from sale of assets</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(1,341)</w:t>
            </w:r>
          </w:p>
        </w:tc>
        <w:tc>
          <w:tcPr>
            <w:tcW w:w="39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(507)</w:t>
            </w:r>
          </w:p>
        </w:tc>
        <w:tc>
          <w:tcPr>
            <w:tcW w:w="251" w:type="dxa"/>
            <w:tcBorders/>
            <w:vAlign w:val="center"/>
          </w:tcPr>
          <w:p>
            <w:pPr>
              <w:pStyle w:val="TableContents"/>
              <w:bidi w:val="0"/>
              <w:spacing w:before="0" w:after="0"/>
              <w:ind w:left="0" w:right="0" w:hanging="0"/>
              <w:jc w:val="left"/>
              <w:rPr/>
            </w:pPr>
            <w:r>
              <w:rPr/>
              <w:t>​</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Gain from loan settlements</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(3,448)</w:t>
            </w:r>
          </w:p>
        </w:tc>
        <w:tc>
          <w:tcPr>
            <w:tcW w:w="39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pPr>
            <w:r>
              <w:rPr/>
              <w:t>—</w:t>
            </w:r>
          </w:p>
        </w:tc>
        <w:tc>
          <w:tcPr>
            <w:tcW w:w="251" w:type="dxa"/>
            <w:tcBorders/>
            <w:shd w:fill="CCEEFF" w:val="clear"/>
            <w:vAlign w:val="center"/>
          </w:tcPr>
          <w:p>
            <w:pPr>
              <w:pStyle w:val="TableContents"/>
              <w:bidi w:val="0"/>
              <w:spacing w:before="0" w:after="0"/>
              <w:ind w:left="0" w:right="0" w:hanging="0"/>
              <w:jc w:val="left"/>
              <w:rPr/>
            </w:pPr>
            <w:r>
              <w:rPr/>
              <w:t>​</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operating lease expense</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w:t>
            </w:r>
          </w:p>
        </w:tc>
        <w:tc>
          <w:tcPr>
            <w:tcW w:w="39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w:t>
            </w:r>
          </w:p>
        </w:tc>
        <w:tc>
          <w:tcPr>
            <w:tcW w:w="251" w:type="dxa"/>
            <w:tcBorders/>
            <w:vAlign w:val="center"/>
          </w:tcPr>
          <w:p>
            <w:pPr>
              <w:pStyle w:val="TableContents"/>
              <w:bidi w:val="0"/>
              <w:spacing w:before="0" w:after="0"/>
              <w:ind w:left="0" w:right="0" w:hanging="0"/>
              <w:jc w:val="left"/>
              <w:rPr/>
            </w:pPr>
            <w:r>
              <w:rPr/>
              <w:t>​</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 based payment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604</w:t>
            </w:r>
          </w:p>
        </w:tc>
        <w:tc>
          <w:tcPr>
            <w:tcW w:w="39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586</w:t>
            </w:r>
          </w:p>
        </w:tc>
        <w:tc>
          <w:tcPr>
            <w:tcW w:w="251" w:type="dxa"/>
            <w:tcBorders/>
            <w:shd w:fill="CCEEFF" w:val="clear"/>
            <w:vAlign w:val="center"/>
          </w:tcPr>
          <w:p>
            <w:pPr>
              <w:pStyle w:val="TableContents"/>
              <w:bidi w:val="0"/>
              <w:spacing w:before="0" w:after="0"/>
              <w:ind w:left="0" w:right="0" w:hanging="0"/>
              <w:jc w:val="left"/>
              <w:rPr/>
            </w:pPr>
            <w:r>
              <w:rPr/>
              <w:t>​</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 cash items</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w:t>
            </w:r>
          </w:p>
        </w:tc>
        <w:tc>
          <w:tcPr>
            <w:tcW w:w="39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w:t>
            </w:r>
          </w:p>
        </w:tc>
        <w:tc>
          <w:tcPr>
            <w:tcW w:w="251" w:type="dxa"/>
            <w:tcBorders/>
            <w:vAlign w:val="center"/>
          </w:tcPr>
          <w:p>
            <w:pPr>
              <w:pStyle w:val="TableContents"/>
              <w:bidi w:val="0"/>
              <w:spacing w:before="0" w:after="0"/>
              <w:ind w:left="0" w:right="0" w:hanging="0"/>
              <w:jc w:val="left"/>
              <w:rPr/>
            </w:pPr>
            <w:r>
              <w:rPr/>
              <w:t>​</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pPr>
            <w:r>
              <w:rPr/>
              <w:t>​</w:t>
            </w:r>
          </w:p>
        </w:tc>
        <w:tc>
          <w:tcPr>
            <w:tcW w:w="251" w:type="dxa"/>
            <w:tcBorders/>
            <w:shd w:fill="CCEEFF" w:val="clear"/>
            <w:vAlign w:val="center"/>
          </w:tcPr>
          <w:p>
            <w:pPr>
              <w:pStyle w:val="TableContents"/>
              <w:bidi w:val="0"/>
              <w:spacing w:before="0" w:after="0"/>
              <w:ind w:left="0" w:right="0" w:hanging="0"/>
              <w:jc w:val="left"/>
              <w:rPr/>
            </w:pPr>
            <w:r>
              <w:rPr/>
              <w:t>​</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(388)</w:t>
            </w:r>
          </w:p>
        </w:tc>
        <w:tc>
          <w:tcPr>
            <w:tcW w:w="39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490</w:t>
            </w:r>
          </w:p>
        </w:tc>
        <w:tc>
          <w:tcPr>
            <w:tcW w:w="251" w:type="dxa"/>
            <w:tcBorders/>
            <w:vAlign w:val="center"/>
          </w:tcPr>
          <w:p>
            <w:pPr>
              <w:pStyle w:val="TableContents"/>
              <w:bidi w:val="0"/>
              <w:spacing w:before="0" w:after="0"/>
              <w:ind w:left="0" w:right="0" w:hanging="0"/>
              <w:jc w:val="left"/>
              <w:rPr/>
            </w:pPr>
            <w:r>
              <w:rPr/>
              <w:t>​</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Consumer loans activity, net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(10,058)</w:t>
            </w:r>
          </w:p>
        </w:tc>
        <w:tc>
          <w:tcPr>
            <w:tcW w:w="39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(12,199)</w:t>
            </w:r>
          </w:p>
        </w:tc>
        <w:tc>
          <w:tcPr>
            <w:tcW w:w="251" w:type="dxa"/>
            <w:tcBorders/>
            <w:shd w:fill="CCEEFF" w:val="clear"/>
            <w:vAlign w:val="center"/>
          </w:tcPr>
          <w:p>
            <w:pPr>
              <w:pStyle w:val="TableContents"/>
              <w:bidi w:val="0"/>
              <w:spacing w:before="0" w:after="0"/>
              <w:ind w:left="0" w:right="0" w:hanging="0"/>
              <w:jc w:val="left"/>
              <w:rPr/>
            </w:pPr>
            <w:r>
              <w:rPr/>
              <w:t>​</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Notes receivable MHP activity, net</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(3,765)</w:t>
            </w:r>
          </w:p>
        </w:tc>
        <w:tc>
          <w:tcPr>
            <w:tcW w:w="39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(36,868)</w:t>
            </w:r>
          </w:p>
        </w:tc>
        <w:tc>
          <w:tcPr>
            <w:tcW w:w="251" w:type="dxa"/>
            <w:tcBorders/>
            <w:vAlign w:val="center"/>
          </w:tcPr>
          <w:p>
            <w:pPr>
              <w:pStyle w:val="TableContents"/>
              <w:bidi w:val="0"/>
              <w:spacing w:before="0" w:after="0"/>
              <w:ind w:left="0" w:right="0" w:hanging="0"/>
              <w:jc w:val="left"/>
              <w:rPr/>
            </w:pPr>
            <w:r>
              <w:rPr/>
              <w:t>​</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Dealer inventory loan activity, net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1,110</w:t>
            </w:r>
          </w:p>
        </w:tc>
        <w:tc>
          <w:tcPr>
            <w:tcW w:w="39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(2,831)</w:t>
            </w:r>
          </w:p>
        </w:tc>
        <w:tc>
          <w:tcPr>
            <w:tcW w:w="251" w:type="dxa"/>
            <w:tcBorders/>
            <w:shd w:fill="CCEEFF" w:val="clear"/>
            <w:vAlign w:val="center"/>
          </w:tcPr>
          <w:p>
            <w:pPr>
              <w:pStyle w:val="TableContents"/>
              <w:bidi w:val="0"/>
              <w:spacing w:before="0" w:after="0"/>
              <w:ind w:left="0" w:right="0" w:hanging="0"/>
              <w:jc w:val="left"/>
              <w:rPr/>
            </w:pPr>
            <w:r>
              <w:rPr/>
              <w:t>​</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1,709</w:t>
            </w:r>
          </w:p>
        </w:tc>
        <w:tc>
          <w:tcPr>
            <w:tcW w:w="39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(3,011)</w:t>
            </w:r>
          </w:p>
        </w:tc>
        <w:tc>
          <w:tcPr>
            <w:tcW w:w="251" w:type="dxa"/>
            <w:tcBorders/>
            <w:vAlign w:val="center"/>
          </w:tcPr>
          <w:p>
            <w:pPr>
              <w:pStyle w:val="TableContents"/>
              <w:bidi w:val="0"/>
              <w:spacing w:before="0" w:after="0"/>
              <w:ind w:left="0" w:right="0" w:hanging="0"/>
              <w:jc w:val="left"/>
              <w:rPr/>
            </w:pPr>
            <w:r>
              <w:rPr/>
              <w:t>​</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1,116</w:t>
            </w:r>
          </w:p>
        </w:tc>
        <w:tc>
          <w:tcPr>
            <w:tcW w:w="39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(1,497)</w:t>
            </w:r>
          </w:p>
        </w:tc>
        <w:tc>
          <w:tcPr>
            <w:tcW w:w="251" w:type="dxa"/>
            <w:tcBorders/>
            <w:shd w:fill="CCEEFF" w:val="clear"/>
            <w:vAlign w:val="center"/>
          </w:tcPr>
          <w:p>
            <w:pPr>
              <w:pStyle w:val="TableContents"/>
              <w:bidi w:val="0"/>
              <w:spacing w:before="0" w:after="0"/>
              <w:ind w:left="0" w:right="0" w:hanging="0"/>
              <w:jc w:val="left"/>
              <w:rPr/>
            </w:pPr>
            <w:r>
              <w:rPr/>
              <w:t>​</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 - leased mobile homes</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2,560</w:t>
            </w:r>
          </w:p>
        </w:tc>
        <w:tc>
          <w:tcPr>
            <w:tcW w:w="39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w:t>
            </w:r>
          </w:p>
        </w:tc>
        <w:tc>
          <w:tcPr>
            <w:tcW w:w="251" w:type="dxa"/>
            <w:tcBorders/>
            <w:vAlign w:val="center"/>
          </w:tcPr>
          <w:p>
            <w:pPr>
              <w:pStyle w:val="TableContents"/>
              <w:bidi w:val="0"/>
              <w:spacing w:before="0" w:after="0"/>
              <w:ind w:left="0" w:right="0" w:hanging="0"/>
              <w:jc w:val="left"/>
              <w:rPr/>
            </w:pPr>
            <w:r>
              <w:rPr/>
              <w:t>​</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(1,008)</w:t>
            </w:r>
          </w:p>
        </w:tc>
        <w:tc>
          <w:tcPr>
            <w:tcW w:w="39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251" w:type="dxa"/>
            <w:tcBorders/>
            <w:shd w:fill="CCEEFF" w:val="clear"/>
            <w:vAlign w:val="center"/>
          </w:tcPr>
          <w:p>
            <w:pPr>
              <w:pStyle w:val="TableContents"/>
              <w:bidi w:val="0"/>
              <w:spacing w:before="0" w:after="0"/>
              <w:ind w:left="0" w:right="0" w:hanging="0"/>
              <w:jc w:val="left"/>
              <w:rPr/>
            </w:pPr>
            <w:r>
              <w:rPr/>
              <w:t>​</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 and accrued liabilities</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(5,903)</w:t>
            </w:r>
          </w:p>
        </w:tc>
        <w:tc>
          <w:tcPr>
            <w:tcW w:w="39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5,110</w:t>
            </w:r>
          </w:p>
        </w:tc>
        <w:tc>
          <w:tcPr>
            <w:tcW w:w="251" w:type="dxa"/>
            <w:tcBorders/>
            <w:vAlign w:val="center"/>
          </w:tcPr>
          <w:p>
            <w:pPr>
              <w:pStyle w:val="TableContents"/>
              <w:bidi w:val="0"/>
              <w:spacing w:before="0" w:after="0"/>
              <w:ind w:left="0" w:right="0" w:hanging="0"/>
              <w:jc w:val="left"/>
              <w:rPr/>
            </w:pPr>
            <w:r>
              <w:rPr/>
              <w:t>​</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Right of use activity, net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w:t>
            </w:r>
          </w:p>
        </w:tc>
        <w:tc>
          <w:tcPr>
            <w:tcW w:w="39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w:t>
            </w:r>
          </w:p>
        </w:tc>
        <w:tc>
          <w:tcPr>
            <w:tcW w:w="251" w:type="dxa"/>
            <w:tcBorders/>
            <w:shd w:fill="CCEEFF" w:val="clear"/>
            <w:vAlign w:val="center"/>
          </w:tcPr>
          <w:p>
            <w:pPr>
              <w:pStyle w:val="TableContents"/>
              <w:bidi w:val="0"/>
              <w:spacing w:before="0" w:after="0"/>
              <w:ind w:left="0" w:right="0" w:hanging="0"/>
              <w:jc w:val="left"/>
              <w:rPr/>
            </w:pPr>
            <w:r>
              <w:rPr/>
              <w:t>​</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Customer deposits</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(1,658)</w:t>
            </w:r>
          </w:p>
        </w:tc>
        <w:tc>
          <w:tcPr>
            <w:tcW w:w="39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(3,839)</w:t>
            </w:r>
          </w:p>
        </w:tc>
        <w:tc>
          <w:tcPr>
            <w:tcW w:w="251" w:type="dxa"/>
            <w:tcBorders/>
            <w:vAlign w:val="center"/>
          </w:tcPr>
          <w:p>
            <w:pPr>
              <w:pStyle w:val="TableContents"/>
              <w:bidi w:val="0"/>
              <w:spacing w:before="0" w:after="0"/>
              <w:ind w:left="0" w:right="0" w:hanging="0"/>
              <w:jc w:val="left"/>
              <w:rPr/>
            </w:pPr>
            <w:r>
              <w:rPr/>
              <w:t>​</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Escrow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2,596</w:t>
            </w:r>
          </w:p>
        </w:tc>
        <w:tc>
          <w:tcPr>
            <w:tcW w:w="39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1,355</w:t>
            </w:r>
          </w:p>
        </w:tc>
        <w:tc>
          <w:tcPr>
            <w:tcW w:w="251" w:type="dxa"/>
            <w:tcBorders/>
            <w:shd w:fill="CCEEFF" w:val="clear"/>
            <w:vAlign w:val="center"/>
          </w:tcPr>
          <w:p>
            <w:pPr>
              <w:pStyle w:val="TableContents"/>
              <w:bidi w:val="0"/>
              <w:spacing w:before="0" w:after="0"/>
              <w:ind w:left="0" w:right="0" w:hanging="0"/>
              <w:jc w:val="left"/>
              <w:rPr/>
            </w:pPr>
            <w:r>
              <w:rPr/>
              <w:t>​</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Dealer incentive liability</w:t>
            </w:r>
          </w:p>
        </w:tc>
        <w:tc>
          <w:tcPr>
            <w:tcW w:w="32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(985)</w:t>
            </w:r>
          </w:p>
        </w:tc>
        <w:tc>
          <w:tcPr>
            <w:tcW w:w="391"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(692)</w:t>
            </w:r>
          </w:p>
        </w:tc>
        <w:tc>
          <w:tcPr>
            <w:tcW w:w="251" w:type="dxa"/>
            <w:tcBorders/>
            <w:vAlign w:val="center"/>
          </w:tcPr>
          <w:p>
            <w:pPr>
              <w:pStyle w:val="TableContents"/>
              <w:bidi w:val="0"/>
              <w:spacing w:before="0" w:after="0"/>
              <w:ind w:left="0" w:right="0" w:hanging="0"/>
              <w:jc w:val="left"/>
              <w:rPr/>
            </w:pPr>
            <w:r>
              <w:rPr/>
              <w:t>​</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28,100</w:t>
            </w:r>
          </w:p>
        </w:tc>
        <w:tc>
          <w:tcPr>
            <w:tcW w:w="39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(5,284)</w:t>
            </w:r>
          </w:p>
        </w:tc>
        <w:tc>
          <w:tcPr>
            <w:tcW w:w="251" w:type="dxa"/>
            <w:tcBorders/>
            <w:shd w:fill="CCEEFF" w:val="clear"/>
            <w:vAlign w:val="center"/>
          </w:tcPr>
          <w:p>
            <w:pPr>
              <w:pStyle w:val="TableContents"/>
              <w:bidi w:val="0"/>
              <w:spacing w:before="0" w:after="0"/>
              <w:ind w:left="0" w:right="0" w:hanging="0"/>
              <w:jc w:val="left"/>
              <w:rPr/>
            </w:pPr>
            <w:r>
              <w:rPr/>
              <w:t>​</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Investing activities:</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pPr>
            <w:r>
              <w:rPr/>
              <w:t>  </w:t>
            </w:r>
          </w:p>
        </w:tc>
        <w:tc>
          <w:tcPr>
            <w:tcW w:w="251" w:type="dxa"/>
            <w:tcBorders/>
            <w:vAlign w:val="center"/>
          </w:tcPr>
          <w:p>
            <w:pPr>
              <w:pStyle w:val="TableContents"/>
              <w:bidi w:val="0"/>
              <w:spacing w:before="0" w:after="0"/>
              <w:ind w:left="0" w:right="0" w:hanging="0"/>
              <w:jc w:val="left"/>
              <w:rPr/>
            </w:pPr>
            <w:r>
              <w:rPr/>
              <w:t>​</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plant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(7,323)</w:t>
            </w:r>
          </w:p>
        </w:tc>
        <w:tc>
          <w:tcPr>
            <w:tcW w:w="39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(4,572)</w:t>
            </w:r>
          </w:p>
        </w:tc>
        <w:tc>
          <w:tcPr>
            <w:tcW w:w="251" w:type="dxa"/>
            <w:tcBorders/>
            <w:shd w:fill="CCEEFF" w:val="clear"/>
            <w:vAlign w:val="center"/>
          </w:tcPr>
          <w:p>
            <w:pPr>
              <w:pStyle w:val="TableContents"/>
              <w:bidi w:val="0"/>
              <w:spacing w:before="0" w:after="0"/>
              <w:ind w:left="0" w:right="0" w:hanging="0"/>
              <w:jc w:val="left"/>
              <w:rPr/>
            </w:pPr>
            <w:r>
              <w:rPr/>
              <w:t>​</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sale of leased property</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1,108</w:t>
            </w:r>
          </w:p>
        </w:tc>
        <w:tc>
          <w:tcPr>
            <w:tcW w:w="251" w:type="dxa"/>
            <w:tcBorders/>
            <w:vAlign w:val="center"/>
          </w:tcPr>
          <w:p>
            <w:pPr>
              <w:pStyle w:val="TableContents"/>
              <w:bidi w:val="0"/>
              <w:spacing w:before="0" w:after="0"/>
              <w:ind w:left="0" w:right="0" w:hanging="0"/>
              <w:jc w:val="left"/>
              <w:rPr/>
            </w:pPr>
            <w:r>
              <w:rPr/>
              <w:t>​</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sale of property</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1,573</w:t>
            </w:r>
          </w:p>
        </w:tc>
        <w:tc>
          <w:tcPr>
            <w:tcW w:w="39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pPr>
            <w:r>
              <w:rPr/>
              <w:t>—</w:t>
            </w:r>
          </w:p>
        </w:tc>
        <w:tc>
          <w:tcPr>
            <w:tcW w:w="251" w:type="dxa"/>
            <w:tcBorders/>
            <w:shd w:fill="CCEEFF" w:val="clear"/>
            <w:vAlign w:val="center"/>
          </w:tcPr>
          <w:p>
            <w:pPr>
              <w:pStyle w:val="TableContents"/>
              <w:bidi w:val="0"/>
              <w:spacing w:before="0" w:after="0"/>
              <w:ind w:left="0" w:right="0" w:hanging="0"/>
              <w:jc w:val="left"/>
              <w:rPr/>
            </w:pPr>
            <w:r>
              <w:rPr/>
              <w:t>​</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Sale of investments - treasury notes</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8,500</w:t>
            </w:r>
          </w:p>
        </w:tc>
        <w:tc>
          <w:tcPr>
            <w:tcW w:w="251" w:type="dxa"/>
            <w:tcBorders/>
            <w:vAlign w:val="center"/>
          </w:tcPr>
          <w:p>
            <w:pPr>
              <w:pStyle w:val="TableContents"/>
              <w:bidi w:val="0"/>
              <w:spacing w:before="0" w:after="0"/>
              <w:ind w:left="0" w:right="0" w:hanging="0"/>
              <w:jc w:val="left"/>
              <w:rPr/>
            </w:pPr>
            <w:r>
              <w:rPr/>
              <w:t>​</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notes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(1,700)</w:t>
            </w:r>
          </w:p>
        </w:tc>
        <w:tc>
          <w:tcPr>
            <w:tcW w:w="39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(13,946)</w:t>
            </w:r>
          </w:p>
        </w:tc>
        <w:tc>
          <w:tcPr>
            <w:tcW w:w="251" w:type="dxa"/>
            <w:tcBorders/>
            <w:shd w:fill="CCEEFF" w:val="clear"/>
            <w:vAlign w:val="center"/>
          </w:tcPr>
          <w:p>
            <w:pPr>
              <w:pStyle w:val="TableContents"/>
              <w:bidi w:val="0"/>
              <w:spacing w:before="0" w:after="0"/>
              <w:ind w:left="0" w:right="0" w:hanging="0"/>
              <w:jc w:val="left"/>
              <w:rPr/>
            </w:pPr>
            <w:r>
              <w:rPr/>
              <w:t>​</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Notes receivable collections</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5,775</w:t>
            </w:r>
          </w:p>
        </w:tc>
        <w:tc>
          <w:tcPr>
            <w:tcW w:w="39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1,028</w:t>
            </w:r>
          </w:p>
        </w:tc>
        <w:tc>
          <w:tcPr>
            <w:tcW w:w="251" w:type="dxa"/>
            <w:tcBorders/>
            <w:vAlign w:val="center"/>
          </w:tcPr>
          <w:p>
            <w:pPr>
              <w:pStyle w:val="TableContents"/>
              <w:bidi w:val="0"/>
              <w:spacing w:before="0" w:after="0"/>
              <w:ind w:left="0" w:right="0" w:hanging="0"/>
              <w:jc w:val="left"/>
              <w:rPr/>
            </w:pPr>
            <w:r>
              <w:rPr/>
              <w:t>​</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Collections from purchased loans</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w:t>
            </w:r>
          </w:p>
        </w:tc>
        <w:tc>
          <w:tcPr>
            <w:tcW w:w="391"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326</w:t>
            </w:r>
          </w:p>
        </w:tc>
        <w:tc>
          <w:tcPr>
            <w:tcW w:w="251" w:type="dxa"/>
            <w:tcBorders/>
            <w:shd w:fill="CCEEFF" w:val="clear"/>
            <w:vAlign w:val="center"/>
          </w:tcPr>
          <w:p>
            <w:pPr>
              <w:pStyle w:val="TableContents"/>
              <w:bidi w:val="0"/>
              <w:spacing w:before="0" w:after="0"/>
              <w:ind w:left="0" w:right="0" w:hanging="0"/>
              <w:jc w:val="left"/>
              <w:rPr/>
            </w:pPr>
            <w:r>
              <w:rPr/>
              <w:t>​</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(1,511)</w:t>
            </w:r>
          </w:p>
        </w:tc>
        <w:tc>
          <w:tcPr>
            <w:tcW w:w="39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(7,556)</w:t>
            </w:r>
          </w:p>
        </w:tc>
        <w:tc>
          <w:tcPr>
            <w:tcW w:w="251" w:type="dxa"/>
            <w:tcBorders/>
            <w:vAlign w:val="center"/>
          </w:tcPr>
          <w:p>
            <w:pPr>
              <w:pStyle w:val="TableContents"/>
              <w:bidi w:val="0"/>
              <w:spacing w:before="0" w:after="0"/>
              <w:ind w:left="0" w:right="0" w:hanging="0"/>
              <w:jc w:val="left"/>
              <w:rPr/>
            </w:pPr>
            <w:r>
              <w:rPr/>
              <w:t>​</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pPr>
            <w:r>
              <w:rPr/>
              <w:t>  </w:t>
            </w:r>
          </w:p>
        </w:tc>
        <w:tc>
          <w:tcPr>
            <w:tcW w:w="39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pPr>
            <w:r>
              <w:rPr/>
              <w:t>  </w:t>
            </w:r>
          </w:p>
        </w:tc>
        <w:tc>
          <w:tcPr>
            <w:tcW w:w="251" w:type="dxa"/>
            <w:tcBorders/>
            <w:shd w:fill="CCEEFF" w:val="clear"/>
            <w:vAlign w:val="center"/>
          </w:tcPr>
          <w:p>
            <w:pPr>
              <w:pStyle w:val="TableContents"/>
              <w:bidi w:val="0"/>
              <w:spacing w:before="0" w:after="0"/>
              <w:ind w:left="0" w:right="0" w:hanging="0"/>
              <w:jc w:val="left"/>
              <w:rPr/>
            </w:pPr>
            <w:r>
              <w:rPr/>
              <w:t>​</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exercise of stock options</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w:t>
            </w:r>
          </w:p>
        </w:tc>
        <w:tc>
          <w:tcPr>
            <w:tcW w:w="39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251" w:type="dxa"/>
            <w:tcBorders/>
            <w:vAlign w:val="center"/>
          </w:tcPr>
          <w:p>
            <w:pPr>
              <w:pStyle w:val="TableContents"/>
              <w:bidi w:val="0"/>
              <w:spacing w:before="0" w:after="0"/>
              <w:ind w:left="0" w:right="0" w:hanging="0"/>
              <w:jc w:val="left"/>
              <w:rPr/>
            </w:pPr>
            <w:r>
              <w:rPr/>
              <w:t>​</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treasury stock</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(5,398)</w:t>
            </w:r>
          </w:p>
        </w:tc>
        <w:tc>
          <w:tcPr>
            <w:tcW w:w="39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pPr>
            <w:r>
              <w:rPr/>
              <w:t>—</w:t>
            </w:r>
          </w:p>
        </w:tc>
        <w:tc>
          <w:tcPr>
            <w:tcW w:w="251" w:type="dxa"/>
            <w:tcBorders/>
            <w:shd w:fill="CCEEFF" w:val="clear"/>
            <w:vAlign w:val="center"/>
          </w:tcPr>
          <w:p>
            <w:pPr>
              <w:pStyle w:val="TableContents"/>
              <w:bidi w:val="0"/>
              <w:spacing w:before="0" w:after="0"/>
              <w:ind w:left="0" w:right="0" w:hanging="0"/>
              <w:jc w:val="left"/>
              <w:rPr/>
            </w:pPr>
            <w:r>
              <w:rPr/>
              <w:t>​</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lines of credit</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45,391</w:t>
            </w:r>
          </w:p>
        </w:tc>
        <w:tc>
          <w:tcPr>
            <w:tcW w:w="39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84,336</w:t>
            </w:r>
          </w:p>
        </w:tc>
        <w:tc>
          <w:tcPr>
            <w:tcW w:w="251" w:type="dxa"/>
            <w:tcBorders/>
            <w:vAlign w:val="center"/>
          </w:tcPr>
          <w:p>
            <w:pPr>
              <w:pStyle w:val="TableContents"/>
              <w:bidi w:val="0"/>
              <w:spacing w:before="0" w:after="0"/>
              <w:ind w:left="0" w:right="0" w:hanging="0"/>
              <w:jc w:val="left"/>
              <w:rPr/>
            </w:pPr>
            <w:r>
              <w:rPr/>
              <w:t>​</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on lines of credit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(66,960)</w:t>
            </w:r>
          </w:p>
        </w:tc>
        <w:tc>
          <w:tcPr>
            <w:tcW w:w="391"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(73,868)</w:t>
            </w:r>
          </w:p>
        </w:tc>
        <w:tc>
          <w:tcPr>
            <w:tcW w:w="251" w:type="dxa"/>
            <w:tcBorders/>
            <w:shd w:fill="CCEEFF" w:val="clear"/>
            <w:vAlign w:val="center"/>
          </w:tcPr>
          <w:p>
            <w:pPr>
              <w:pStyle w:val="TableContents"/>
              <w:bidi w:val="0"/>
              <w:spacing w:before="0" w:after="0"/>
              <w:ind w:left="0" w:right="0" w:hanging="0"/>
              <w:jc w:val="left"/>
              <w:rPr/>
            </w:pPr>
            <w:r>
              <w:rPr/>
              <w:t>​</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provided by financing activities</w:t>
            </w:r>
          </w:p>
        </w:tc>
        <w:tc>
          <w:tcPr>
            <w:tcW w:w="32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(26,767)</w:t>
            </w:r>
          </w:p>
        </w:tc>
        <w:tc>
          <w:tcPr>
            <w:tcW w:w="391"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10,568</w:t>
            </w:r>
          </w:p>
        </w:tc>
        <w:tc>
          <w:tcPr>
            <w:tcW w:w="251" w:type="dxa"/>
            <w:tcBorders/>
            <w:vAlign w:val="center"/>
          </w:tcPr>
          <w:p>
            <w:pPr>
              <w:pStyle w:val="TableContents"/>
              <w:bidi w:val="0"/>
              <w:spacing w:before="0" w:after="0"/>
              <w:ind w:left="0" w:right="0" w:hanging="0"/>
              <w:jc w:val="left"/>
              <w:rPr/>
            </w:pPr>
            <w:r>
              <w:rPr/>
              <w:t>​</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decrease in cash</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w:t>
            </w:r>
          </w:p>
        </w:tc>
        <w:tc>
          <w:tcPr>
            <w:tcW w:w="39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(2,272)</w:t>
            </w:r>
          </w:p>
        </w:tc>
        <w:tc>
          <w:tcPr>
            <w:tcW w:w="251" w:type="dxa"/>
            <w:tcBorders/>
            <w:shd w:fill="CCEEFF" w:val="clear"/>
            <w:vAlign w:val="center"/>
          </w:tcPr>
          <w:p>
            <w:pPr>
              <w:pStyle w:val="TableContents"/>
              <w:bidi w:val="0"/>
              <w:spacing w:before="0" w:after="0"/>
              <w:ind w:left="0" w:right="0" w:hanging="0"/>
              <w:jc w:val="left"/>
              <w:rPr/>
            </w:pPr>
            <w:r>
              <w:rPr/>
              <w:t>​</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at beginning of period</w:t>
            </w:r>
          </w:p>
        </w:tc>
        <w:tc>
          <w:tcPr>
            <w:tcW w:w="32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748</w:t>
            </w:r>
          </w:p>
        </w:tc>
        <w:tc>
          <w:tcPr>
            <w:tcW w:w="391"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2,819</w:t>
            </w:r>
          </w:p>
        </w:tc>
        <w:tc>
          <w:tcPr>
            <w:tcW w:w="251" w:type="dxa"/>
            <w:tcBorders/>
            <w:vAlign w:val="center"/>
          </w:tcPr>
          <w:p>
            <w:pPr>
              <w:pStyle w:val="TableContents"/>
              <w:bidi w:val="0"/>
              <w:spacing w:before="0" w:after="0"/>
              <w:ind w:left="0" w:right="0" w:hanging="0"/>
              <w:jc w:val="left"/>
              <w:rPr/>
            </w:pPr>
            <w:r>
              <w:rPr/>
              <w:t>​</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570</w:t>
            </w:r>
          </w:p>
        </w:tc>
        <w:tc>
          <w:tcPr>
            <w:tcW w:w="391" w:type="dxa"/>
            <w:tcBorders/>
            <w:shd w:fill="CCEEFF" w:val="clear"/>
            <w:vAlign w:val="center"/>
          </w:tcPr>
          <w:p>
            <w:pPr>
              <w:pStyle w:val="TableContents"/>
              <w:bidi w:val="0"/>
              <w:spacing w:before="0" w:after="0"/>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547</w:t>
            </w:r>
          </w:p>
        </w:tc>
        <w:tc>
          <w:tcPr>
            <w:tcW w:w="251" w:type="dxa"/>
            <w:tcBorders/>
            <w:shd w:fill="CCEEFF" w:val="clear"/>
            <w:vAlign w:val="center"/>
          </w:tcPr>
          <w:p>
            <w:pPr>
              <w:pStyle w:val="TableContents"/>
              <w:bidi w:val="0"/>
              <w:spacing w:before="0" w:after="0"/>
              <w:ind w:left="0" w:right="0" w:hanging="0"/>
              <w:jc w:val="left"/>
              <w:rPr/>
            </w:pPr>
            <w:r>
              <w:rPr/>
              <w:t>​</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Supplemental disclosure of cash flow information:</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pPr>
            <w:r>
              <w:rPr/>
              <w:t>  </w:t>
            </w:r>
          </w:p>
        </w:tc>
        <w:tc>
          <w:tcPr>
            <w:tcW w:w="251" w:type="dxa"/>
            <w:tcBorders/>
            <w:vAlign w:val="center"/>
          </w:tcPr>
          <w:p>
            <w:pPr>
              <w:pStyle w:val="TableContents"/>
              <w:bidi w:val="0"/>
              <w:spacing w:before="0" w:after="0"/>
              <w:ind w:left="0" w:right="0" w:hanging="0"/>
              <w:jc w:val="left"/>
              <w:rPr/>
            </w:pPr>
            <w:r>
              <w:rPr/>
              <w:t>​</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for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905</w:t>
            </w:r>
          </w:p>
        </w:tc>
        <w:tc>
          <w:tcPr>
            <w:tcW w:w="391" w:type="dxa"/>
            <w:tcBorders/>
            <w:shd w:fill="CCEEFF" w:val="clear"/>
            <w:vAlign w:val="center"/>
          </w:tcPr>
          <w:p>
            <w:pPr>
              <w:pStyle w:val="TableContents"/>
              <w:bidi w:val="0"/>
              <w:spacing w:before="0" w:after="0"/>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272</w:t>
            </w:r>
          </w:p>
        </w:tc>
        <w:tc>
          <w:tcPr>
            <w:tcW w:w="251" w:type="dxa"/>
            <w:tcBorders/>
            <w:shd w:fill="CCEEFF" w:val="clear"/>
            <w:vAlign w:val="center"/>
          </w:tcPr>
          <w:p>
            <w:pPr>
              <w:pStyle w:val="TableContents"/>
              <w:bidi w:val="0"/>
              <w:spacing w:before="0" w:after="0"/>
              <w:ind w:left="0" w:right="0" w:hanging="0"/>
              <w:jc w:val="left"/>
              <w:rPr/>
            </w:pPr>
            <w:r>
              <w:rPr/>
              <w:t>​</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for taxes</w:t>
            </w:r>
          </w:p>
        </w:tc>
        <w:tc>
          <w:tcPr>
            <w:tcW w:w="326" w:type="dxa"/>
            <w:tcBorders/>
            <w:vAlign w:val="center"/>
          </w:tcPr>
          <w:p>
            <w:pPr>
              <w:pStyle w:val="TableContents"/>
              <w:bidi w:val="0"/>
              <w:spacing w:before="0" w:after="0"/>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12,188</w:t>
            </w:r>
          </w:p>
        </w:tc>
        <w:tc>
          <w:tcPr>
            <w:tcW w:w="391" w:type="dxa"/>
            <w:tcBorders/>
            <w:vAlign w:val="center"/>
          </w:tcPr>
          <w:p>
            <w:pPr>
              <w:pStyle w:val="TableContents"/>
              <w:bidi w:val="0"/>
              <w:spacing w:before="0" w:after="0"/>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10,512</w:t>
            </w:r>
          </w:p>
        </w:tc>
        <w:tc>
          <w:tcPr>
            <w:tcW w:w="25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lineRule="atLeast" w:line="200"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unaudited interim condensed financial statements.</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80" w:name="_f3fcc099_e695_4ead_82d9_79154f13a790"/>
      <w:bookmarkEnd w:id="380"/>
      <w:r>
        <w:rPr>
          <w:rFonts w:ascii="Times New Roman;Times;serif" w:hAnsi="Times New Roman;Times;serif"/>
          <w:b/>
          <w:sz w:val="20"/>
        </w:rPr>
        <w:t>LEGACY HOUSING CORPORATION</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STATEMENTS OF CHANGES IN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381" w:name="Tc_xgUag2ddcU62vdxMEu_71A_15_16"/>
      <w:bookmarkStart w:id="382" w:name="Tc_txnJk8zq0kScQMGRNmv5aQ_15_13"/>
      <w:bookmarkStart w:id="383" w:name="Tc_aPskrg-jG0yGu4-O6q2rXg_15_10"/>
      <w:bookmarkStart w:id="384" w:name="Tc_LouLlPimk06Y9TBUkU4pVQ_15_7"/>
      <w:bookmarkStart w:id="385" w:name="Tc_rZasrbbmDUuDuX5u1dSP-w_15_4"/>
      <w:bookmarkStart w:id="386" w:name="Tc_Gm3vjSPihkiJq-tPflymmw_15_0"/>
      <w:bookmarkStart w:id="387" w:name="Tc_yLXmrXIZykSve-XuqinGpA_14_11"/>
      <w:bookmarkStart w:id="388" w:name="Tc_JCYAvrwOs02qq-x0sr_q8A_14_8"/>
      <w:bookmarkStart w:id="389" w:name="Tc_UVXhYrp1rUS-fgo3No2B4A_14_5"/>
      <w:bookmarkStart w:id="390" w:name="Tc_D5V62n4t3UOxAHfLNhwuzw_14_2"/>
      <w:bookmarkStart w:id="391" w:name="Tc_zN6Tn1YCEEmnHqeKSlDi-g_14_0"/>
      <w:bookmarkStart w:id="392" w:name="Tc_8fursOAdxUi1TbmQg-7-Lg_13_14"/>
      <w:bookmarkStart w:id="393" w:name="Tc_YBjBDhJtEk-y5lqXQCFCKQ_13_8"/>
      <w:bookmarkStart w:id="394" w:name="Tc_mlMWiFM3BUeJBunYKOsR1A_13_5"/>
      <w:bookmarkStart w:id="395" w:name="Tc_osziBdYnBkOKg73OSVpFag_13_2"/>
      <w:bookmarkStart w:id="396" w:name="Tc_ETtW7b-8802AxKw0PSB2_Q_13_0"/>
      <w:bookmarkStart w:id="397" w:name="Tc_j_97PNsVg0CCVIjMWu896g_12_16"/>
      <w:bookmarkStart w:id="398" w:name="Tc_Jkw1yWDDnU-ZZ2SvXmzfxQ_12_13"/>
      <w:bookmarkStart w:id="399" w:name="Tc_ukIfnmnPMki8yxLnAYyrWA_12_10"/>
      <w:bookmarkStart w:id="400" w:name="Tc_to6Xgy0_PUmhRvdRK82gNA_12_7"/>
      <w:bookmarkStart w:id="401" w:name="Tc_6IcLsWOnRkm8YzKzkbLNIQ_12_4"/>
      <w:bookmarkStart w:id="402" w:name="Tc_4_zrTFNrDUSwhJCMlARIrg_12_0"/>
      <w:bookmarkStart w:id="403" w:name="Tc_mYCKg27OB0ewCP0w7r74hA_11_11"/>
      <w:bookmarkStart w:id="404" w:name="Tc_dW_8qR4ekkqu98Dm_6G2Dg_11_8"/>
      <w:bookmarkStart w:id="405" w:name="Tc_rbSEskLiOEO5zMVitT8B2g_11_5"/>
      <w:bookmarkStart w:id="406" w:name="Tc_D5E5w79fxUicj_A_l6N92Q_11_2"/>
      <w:bookmarkStart w:id="407" w:name="Tc_LO6wRHLZKEKHnuokr3c83Q_11_0"/>
      <w:bookmarkStart w:id="408" w:name="Tc_xIj95bydA0qL8NfLDJJhlA_10_14"/>
      <w:bookmarkStart w:id="409" w:name="Tc_i7shlkz-O0SJdNMgoV4pcA_10_8"/>
      <w:bookmarkStart w:id="410" w:name="Tc_-FLct4BcvUqjG7IBDctDEA_10_5"/>
      <w:bookmarkStart w:id="411" w:name="Tc_HHd--7m0z0enbQhd-YWZrg_10_0"/>
      <w:bookmarkStart w:id="412" w:name="Tc_vr4Y91dkoEOswrMyyjxrCQ_9_14"/>
      <w:bookmarkStart w:id="413" w:name="Tc_p19am51O00Wyka22BrcG3g_9_8"/>
      <w:bookmarkStart w:id="414" w:name="Tc_Qjdbgdf1a0mHhPx2h3u0ig_9_5"/>
      <w:bookmarkStart w:id="415" w:name="Tc_O5-hljvQXkiZ1sBBuUlThw_9_0"/>
      <w:bookmarkStart w:id="416" w:name="Tc_vbjnteEXxU2OdZQGvIwM_Q_8_16"/>
      <w:bookmarkStart w:id="417" w:name="Tc_XC7M0gZ1DEWvhL6BvZoAow_8_13"/>
      <w:bookmarkStart w:id="418" w:name="Tc_1Pq4U-uzmESitMdYVxWLwg_8_10"/>
      <w:bookmarkStart w:id="419" w:name="Tc_DJ0maVieo0ax8d7L7MF4GA_8_7"/>
      <w:bookmarkStart w:id="420" w:name="Tc_wD9JurDnXUKRNN3NpU7psQ_8_4"/>
      <w:bookmarkStart w:id="421" w:name="Tc_Z5WP18DmPUen27gxXZsOGQ_8_0"/>
      <w:bookmarkStart w:id="422" w:name="Tc_9TVJkINwqUGdwZIVOgzsfQ_7_11"/>
      <w:bookmarkStart w:id="423" w:name="Tc_Z_eZ5Kr_dUWcIf5XALpCWg_7_8"/>
      <w:bookmarkStart w:id="424" w:name="Tc_Y0pxu3tX6EqfhXmyxy3SCw_7_5"/>
      <w:bookmarkStart w:id="425" w:name="Tc_0SFkCc_0oUy_eBw8IBvjlA_7_2"/>
      <w:bookmarkStart w:id="426" w:name="Tc_4PDXNq3tbk2aQfG8IANOfw_7_0"/>
      <w:bookmarkStart w:id="427" w:name="Tc_fH14-G7ZhkuW4lYyyr8hFw_6_14"/>
      <w:bookmarkStart w:id="428" w:name="Tc_t703cHgrr0qu0x-XKWLGyQ_6_8"/>
      <w:bookmarkStart w:id="429" w:name="Tc_0FXYVZK-8E6nkSveSw-_Tg_6_5"/>
      <w:bookmarkStart w:id="430" w:name="Tc_MQtBbkncdkadosabH-H_4Q_6_0"/>
      <w:bookmarkStart w:id="431" w:name="Tc_U5wpZERxsEyRKiafCq-1Cg_5_16"/>
      <w:bookmarkStart w:id="432" w:name="Tc_5sjuAv3rSkiox_pkFma_FA_5_13"/>
      <w:bookmarkStart w:id="433" w:name="Tc_DjuRwU35AEmLtS2Wo69uaA_5_10"/>
      <w:bookmarkStart w:id="434" w:name="Tc_k2YgIoiSYkCWZHaiqTgrYA_5_7"/>
      <w:bookmarkStart w:id="435" w:name="Tc_PkSgnys-Ikq8IpdVzxh7Eg_5_4"/>
      <w:bookmarkStart w:id="436" w:name="Tc_cuGga3UIX0muY-EjOszp6Q_5_0"/>
      <w:bookmarkStart w:id="437" w:name="Tc_p2wk6VRHakqMg-Fano749Q_4_11"/>
      <w:bookmarkStart w:id="438" w:name="Tc_3AODyomZ6UOnFMDq2hrI3A_4_8"/>
      <w:bookmarkStart w:id="439" w:name="Tc_JF4r6eiuxkeOIpy0ecQzLw_4_5"/>
      <w:bookmarkStart w:id="440" w:name="Tc_P6lfUfd67ku5jjm3ASPr-w_4_2"/>
      <w:bookmarkStart w:id="441" w:name="Tc_mM9c8iP9BU-4_HrUIICrFQ_4_0"/>
      <w:bookmarkStart w:id="442" w:name="Tc_l42R8wfxJEqXCDc92ZQoqQ_3_16"/>
      <w:bookmarkStart w:id="443" w:name="Tc_fN1qKZgh8ky9ltvpF1Q5QA_3_13"/>
      <w:bookmarkStart w:id="444" w:name="Tc_6UOIm4DAJUC_nVI6aUlGNQ_3_10"/>
      <w:bookmarkStart w:id="445" w:name="Tc_7cBRS7KEwkaMFcaxxU8APw_3_7"/>
      <w:bookmarkStart w:id="446" w:name="Tc_iuES3LaU1EKzmwriViBYLA_3_4"/>
      <w:bookmarkStart w:id="447" w:name="Tc_8F1tep0HUUijVuZOFHZ1KA_3_0"/>
      <w:bookmarkStart w:id="448" w:name="Tc_-sQw4UglPEW1kfyHVdCGQQ_2_16"/>
      <w:bookmarkStart w:id="449" w:name="Tc_mHnXnCFRPESlwL8GcygLjw_2_13"/>
      <w:bookmarkStart w:id="450" w:name="Tc_PfhQCSaeyECY9nup4uEq_w_2_10"/>
      <w:bookmarkStart w:id="451" w:name="Tc_vxUynlzsFUKK3rfQXWjazQ_2_7"/>
      <w:bookmarkStart w:id="452" w:name="Tc_QaWCM_YG-Em7jgv09cs76Q_2_4"/>
      <w:bookmarkStart w:id="453" w:name="Tc_gNyuZkY360-7o15bAsFedw_2_2"/>
      <w:bookmarkStart w:id="454" w:name="Tc_5whsMYgrpk292fBTEFPKCg_1_13"/>
      <w:bookmarkStart w:id="455" w:name="Tc__6SLBnBiikWOYIT8cA4hWA_1_10"/>
      <w:bookmarkStart w:id="456" w:name="Tc_fFz_aiwN8UKSABpGyjObWw_1_7"/>
      <w:bookmarkStart w:id="457" w:name="Tc_Vnz9Gupkd0mO6G2jLffCTg_1_2"/>
      <w:bookmarkStart w:id="458" w:name="_87232b1a_1c67_4287_90b3_a0ec20c8873c"/>
      <w:bookmarkStart w:id="459" w:name="Tc_xgUag2ddcU62vdxMEu_71A_15_16"/>
      <w:bookmarkStart w:id="460" w:name="Tc_txnJk8zq0kScQMGRNmv5aQ_15_13"/>
      <w:bookmarkStart w:id="461" w:name="Tc_aPskrg-jG0yGu4-O6q2rXg_15_10"/>
      <w:bookmarkStart w:id="462" w:name="Tc_LouLlPimk06Y9TBUkU4pVQ_15_7"/>
      <w:bookmarkStart w:id="463" w:name="Tc_rZasrbbmDUuDuX5u1dSP-w_15_4"/>
      <w:bookmarkStart w:id="464" w:name="Tc_Gm3vjSPihkiJq-tPflymmw_15_0"/>
      <w:bookmarkStart w:id="465" w:name="Tc_yLXmrXIZykSve-XuqinGpA_14_11"/>
      <w:bookmarkStart w:id="466" w:name="Tc_JCYAvrwOs02qq-x0sr_q8A_14_8"/>
      <w:bookmarkStart w:id="467" w:name="Tc_UVXhYrp1rUS-fgo3No2B4A_14_5"/>
      <w:bookmarkStart w:id="468" w:name="Tc_D5V62n4t3UOxAHfLNhwuzw_14_2"/>
      <w:bookmarkStart w:id="469" w:name="Tc_zN6Tn1YCEEmnHqeKSlDi-g_14_0"/>
      <w:bookmarkStart w:id="470" w:name="Tc_8fursOAdxUi1TbmQg-7-Lg_13_14"/>
      <w:bookmarkStart w:id="471" w:name="Tc_YBjBDhJtEk-y5lqXQCFCKQ_13_8"/>
      <w:bookmarkStart w:id="472" w:name="Tc_mlMWiFM3BUeJBunYKOsR1A_13_5"/>
      <w:bookmarkStart w:id="473" w:name="Tc_osziBdYnBkOKg73OSVpFag_13_2"/>
      <w:bookmarkStart w:id="474" w:name="Tc_ETtW7b-8802AxKw0PSB2_Q_13_0"/>
      <w:bookmarkStart w:id="475" w:name="Tc_j_97PNsVg0CCVIjMWu896g_12_16"/>
      <w:bookmarkStart w:id="476" w:name="Tc_Jkw1yWDDnU-ZZ2SvXmzfxQ_12_13"/>
      <w:bookmarkStart w:id="477" w:name="Tc_ukIfnmnPMki8yxLnAYyrWA_12_10"/>
      <w:bookmarkStart w:id="478" w:name="Tc_to6Xgy0_PUmhRvdRK82gNA_12_7"/>
      <w:bookmarkStart w:id="479" w:name="Tc_6IcLsWOnRkm8YzKzkbLNIQ_12_4"/>
      <w:bookmarkStart w:id="480" w:name="Tc_4_zrTFNrDUSwhJCMlARIrg_12_0"/>
      <w:bookmarkStart w:id="481" w:name="Tc_mYCKg27OB0ewCP0w7r74hA_11_11"/>
      <w:bookmarkStart w:id="482" w:name="Tc_dW_8qR4ekkqu98Dm_6G2Dg_11_8"/>
      <w:bookmarkStart w:id="483" w:name="Tc_rbSEskLiOEO5zMVitT8B2g_11_5"/>
      <w:bookmarkStart w:id="484" w:name="Tc_D5E5w79fxUicj_A_l6N92Q_11_2"/>
      <w:bookmarkStart w:id="485" w:name="Tc_LO6wRHLZKEKHnuokr3c83Q_11_0"/>
      <w:bookmarkStart w:id="486" w:name="Tc_xIj95bydA0qL8NfLDJJhlA_10_14"/>
      <w:bookmarkStart w:id="487" w:name="Tc_i7shlkz-O0SJdNMgoV4pcA_10_8"/>
      <w:bookmarkStart w:id="488" w:name="Tc_-FLct4BcvUqjG7IBDctDEA_10_5"/>
      <w:bookmarkStart w:id="489" w:name="Tc_HHd--7m0z0enbQhd-YWZrg_10_0"/>
      <w:bookmarkStart w:id="490" w:name="Tc_vr4Y91dkoEOswrMyyjxrCQ_9_14"/>
      <w:bookmarkStart w:id="491" w:name="Tc_p19am51O00Wyka22BrcG3g_9_8"/>
      <w:bookmarkStart w:id="492" w:name="Tc_Qjdbgdf1a0mHhPx2h3u0ig_9_5"/>
      <w:bookmarkStart w:id="493" w:name="Tc_O5-hljvQXkiZ1sBBuUlThw_9_0"/>
      <w:bookmarkStart w:id="494" w:name="Tc_vbjnteEXxU2OdZQGvIwM_Q_8_16"/>
      <w:bookmarkStart w:id="495" w:name="Tc_XC7M0gZ1DEWvhL6BvZoAow_8_13"/>
      <w:bookmarkStart w:id="496" w:name="Tc_1Pq4U-uzmESitMdYVxWLwg_8_10"/>
      <w:bookmarkStart w:id="497" w:name="Tc_DJ0maVieo0ax8d7L7MF4GA_8_7"/>
      <w:bookmarkStart w:id="498" w:name="Tc_wD9JurDnXUKRNN3NpU7psQ_8_4"/>
      <w:bookmarkStart w:id="499" w:name="Tc_Z5WP18DmPUen27gxXZsOGQ_8_0"/>
      <w:bookmarkStart w:id="500" w:name="Tc_9TVJkINwqUGdwZIVOgzsfQ_7_11"/>
      <w:bookmarkStart w:id="501" w:name="Tc_Z_eZ5Kr_dUWcIf5XALpCWg_7_8"/>
      <w:bookmarkStart w:id="502" w:name="Tc_Y0pxu3tX6EqfhXmyxy3SCw_7_5"/>
      <w:bookmarkStart w:id="503" w:name="Tc_0SFkCc_0oUy_eBw8IBvjlA_7_2"/>
      <w:bookmarkStart w:id="504" w:name="Tc_4PDXNq3tbk2aQfG8IANOfw_7_0"/>
      <w:bookmarkStart w:id="505" w:name="Tc_fH14-G7ZhkuW4lYyyr8hFw_6_14"/>
      <w:bookmarkStart w:id="506" w:name="Tc_t703cHgrr0qu0x-XKWLGyQ_6_8"/>
      <w:bookmarkStart w:id="507" w:name="Tc_0FXYVZK-8E6nkSveSw-_Tg_6_5"/>
      <w:bookmarkStart w:id="508" w:name="Tc_MQtBbkncdkadosabH-H_4Q_6_0"/>
      <w:bookmarkStart w:id="509" w:name="Tc_U5wpZERxsEyRKiafCq-1Cg_5_16"/>
      <w:bookmarkStart w:id="510" w:name="Tc_5sjuAv3rSkiox_pkFma_FA_5_13"/>
      <w:bookmarkStart w:id="511" w:name="Tc_DjuRwU35AEmLtS2Wo69uaA_5_10"/>
      <w:bookmarkStart w:id="512" w:name="Tc_k2YgIoiSYkCWZHaiqTgrYA_5_7"/>
      <w:bookmarkStart w:id="513" w:name="Tc_PkSgnys-Ikq8IpdVzxh7Eg_5_4"/>
      <w:bookmarkStart w:id="514" w:name="Tc_cuGga3UIX0muY-EjOszp6Q_5_0"/>
      <w:bookmarkStart w:id="515" w:name="Tc_p2wk6VRHakqMg-Fano749Q_4_11"/>
      <w:bookmarkStart w:id="516" w:name="Tc_3AODyomZ6UOnFMDq2hrI3A_4_8"/>
      <w:bookmarkStart w:id="517" w:name="Tc_JF4r6eiuxkeOIpy0ecQzLw_4_5"/>
      <w:bookmarkStart w:id="518" w:name="Tc_P6lfUfd67ku5jjm3ASPr-w_4_2"/>
      <w:bookmarkStart w:id="519" w:name="Tc_mM9c8iP9BU-4_HrUIICrFQ_4_0"/>
      <w:bookmarkStart w:id="520" w:name="Tc_l42R8wfxJEqXCDc92ZQoqQ_3_16"/>
      <w:bookmarkStart w:id="521" w:name="Tc_fN1qKZgh8ky9ltvpF1Q5QA_3_13"/>
      <w:bookmarkStart w:id="522" w:name="Tc_6UOIm4DAJUC_nVI6aUlGNQ_3_10"/>
      <w:bookmarkStart w:id="523" w:name="Tc_7cBRS7KEwkaMFcaxxU8APw_3_7"/>
      <w:bookmarkStart w:id="524" w:name="Tc_iuES3LaU1EKzmwriViBYLA_3_4"/>
      <w:bookmarkStart w:id="525" w:name="Tc_8F1tep0HUUijVuZOFHZ1KA_3_0"/>
      <w:bookmarkStart w:id="526" w:name="Tc_-sQw4UglPEW1kfyHVdCGQQ_2_16"/>
      <w:bookmarkStart w:id="527" w:name="Tc_mHnXnCFRPESlwL8GcygLjw_2_13"/>
      <w:bookmarkStart w:id="528" w:name="Tc_PfhQCSaeyECY9nup4uEq_w_2_10"/>
      <w:bookmarkStart w:id="529" w:name="Tc_vxUynlzsFUKK3rfQXWjazQ_2_7"/>
      <w:bookmarkStart w:id="530" w:name="Tc_QaWCM_YG-Em7jgv09cs76Q_2_4"/>
      <w:bookmarkStart w:id="531" w:name="Tc_gNyuZkY360-7o15bAsFedw_2_2"/>
      <w:bookmarkStart w:id="532" w:name="Tc_5whsMYgrpk292fBTEFPKCg_1_13"/>
      <w:bookmarkStart w:id="533" w:name="Tc__6SLBnBiikWOYIT8cA4hWA_1_10"/>
      <w:bookmarkStart w:id="534" w:name="Tc_fFz_aiwN8UKSABpGyjObWw_1_7"/>
      <w:bookmarkStart w:id="535" w:name="Tc_Vnz9Gupkd0mO6G2jLffCTg_1_2"/>
      <w:bookmarkStart w:id="536" w:name="_87232b1a_1c67_4287_90b3_a0ec20c8873c"/>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tbl>
      <w:tblPr>
        <w:tblW w:w="10205" w:type="dxa"/>
        <w:jc w:val="left"/>
        <w:tblInd w:w="0" w:type="dxa"/>
        <w:tblLayout w:type="fixed"/>
        <w:tblCellMar>
          <w:top w:w="0" w:type="dxa"/>
          <w:left w:w="0" w:type="dxa"/>
          <w:bottom w:w="0" w:type="dxa"/>
          <w:right w:w="0" w:type="dxa"/>
        </w:tblCellMar>
      </w:tblPr>
      <w:tblGrid>
        <w:gridCol w:w="2394"/>
        <w:gridCol w:w="326"/>
        <w:gridCol w:w="1036"/>
        <w:gridCol w:w="326"/>
        <w:gridCol w:w="261"/>
        <w:gridCol w:w="430"/>
        <w:gridCol w:w="326"/>
        <w:gridCol w:w="211"/>
        <w:gridCol w:w="644"/>
        <w:gridCol w:w="326"/>
        <w:gridCol w:w="249"/>
        <w:gridCol w:w="922"/>
        <w:gridCol w:w="326"/>
        <w:gridCol w:w="211"/>
        <w:gridCol w:w="781"/>
        <w:gridCol w:w="326"/>
        <w:gridCol w:w="211"/>
        <w:gridCol w:w="899"/>
      </w:tblGrid>
      <w:tr>
        <w:trPr/>
        <w:tc>
          <w:tcPr>
            <w:tcW w:w="2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520190" cy="175260"/>
                      <wp:effectExtent l="0" t="0" r="0" b="0"/>
                      <wp:wrapNone/>
                      <wp:docPr id="34" name="Frame34"/>
                      <a:graphic xmlns:a="http://schemas.openxmlformats.org/drawingml/2006/main">
                        <a:graphicData uri="http://schemas.microsoft.com/office/word/2010/wordprocessingShape">
                          <wps:wsp>
                            <wps:cNvSpPr txBox="1"/>
                            <wps:spPr>
                              <a:xfrm>
                                <a:off x="0" y="0"/>
                                <a:ext cx="152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57860" cy="175260"/>
                      <wp:effectExtent l="0" t="0" r="0" b="0"/>
                      <wp:wrapNone/>
                      <wp:docPr id="36" name="Frame3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65735" cy="175260"/>
                      <wp:effectExtent l="0" t="0" r="0" b="0"/>
                      <wp:wrapNone/>
                      <wp:docPr id="38" name="Frame38"/>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73050" cy="175260"/>
                      <wp:effectExtent l="0" t="0" r="0" b="0"/>
                      <wp:wrapNone/>
                      <wp:docPr id="39" name="Frame39"/>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41"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08940" cy="175260"/>
                      <wp:effectExtent l="0" t="0" r="0" b="0"/>
                      <wp:wrapNone/>
                      <wp:docPr id="42" name="Frame42"/>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58115" cy="175260"/>
                      <wp:effectExtent l="0" t="0" r="0" b="0"/>
                      <wp:wrapNone/>
                      <wp:docPr id="44" name="Frame44"/>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85470" cy="175260"/>
                      <wp:effectExtent l="0" t="0" r="0" b="0"/>
                      <wp:wrapNone/>
                      <wp:docPr id="45" name="Frame45"/>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7"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95935" cy="175260"/>
                      <wp:effectExtent l="0" t="0" r="0" b="0"/>
                      <wp:wrapNone/>
                      <wp:docPr id="48" name="Frame4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50"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70865" cy="175260"/>
                      <wp:effectExtent l="0" t="0" r="0" b="0"/>
                      <wp:wrapNone/>
                      <wp:docPr id="51" name="Frame51"/>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9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05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center"/>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26" w:type="dxa"/>
            <w:tcBorders/>
            <w:vAlign w:val="center"/>
          </w:tcPr>
          <w:p>
            <w:pPr>
              <w:pStyle w:val="TableContents"/>
              <w:bidi w:val="0"/>
              <w:spacing w:before="0" w:after="0"/>
              <w:ind w:left="0" w:right="0" w:hanging="0"/>
              <w:jc w:val="center"/>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center"/>
              <w:rPr/>
            </w:pPr>
            <w:r>
              <w:rPr/>
              <w:t>​</w:t>
            </w:r>
          </w:p>
        </w:tc>
      </w:tr>
      <w:tr>
        <w:trPr/>
        <w:tc>
          <w:tcPr>
            <w:tcW w:w="239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paid-in-capital</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left"/>
              <w:rPr/>
            </w:pPr>
            <w:r>
              <w:rPr/>
              <w:t>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3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24,814,695</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(4,477)</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180,555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205,996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382,104</w:t>
            </w:r>
          </w:p>
        </w:tc>
      </w:tr>
      <w:tr>
        <w:trPr/>
        <w:tc>
          <w:tcPr>
            <w:tcW w:w="23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Cumulative change in accounting principle, net of taxes (Note 1)</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r>
      <w:tr>
        <w:trPr/>
        <w:tc>
          <w:tcPr>
            <w:tcW w:w="23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January 1, 2023 (as adjusted for change in accounting principle)</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24,814,695</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(4,477)</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180,555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205,298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381,406</w:t>
            </w:r>
          </w:p>
        </w:tc>
      </w:tr>
      <w:tr>
        <w:trPr/>
        <w:tc>
          <w:tcPr>
            <w:tcW w:w="23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based compensation</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8,571</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4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r>
      <w:tr>
        <w:trPr/>
        <w:tc>
          <w:tcPr>
            <w:tcW w:w="23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16,276</w:t>
            </w:r>
          </w:p>
        </w:tc>
      </w:tr>
      <w:tr>
        <w:trPr/>
        <w:tc>
          <w:tcPr>
            <w:tcW w:w="23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March 31, 2023</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24,823,266</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(4,477)</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180,746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221,574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397,873</w:t>
            </w:r>
          </w:p>
        </w:tc>
      </w:tr>
      <w:tr>
        <w:trPr/>
        <w:tc>
          <w:tcPr>
            <w:tcW w:w="23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7,350</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r>
      <w:tr>
        <w:trPr/>
        <w:tc>
          <w:tcPr>
            <w:tcW w:w="23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stock options</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6,246</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4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23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15,020</w:t>
            </w:r>
          </w:p>
        </w:tc>
      </w:tr>
      <w:tr>
        <w:trPr/>
        <w:tc>
          <w:tcPr>
            <w:tcW w:w="23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June 30, 2023</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24,836,862</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(4,477)</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181,042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236,594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413,189</w:t>
            </w:r>
          </w:p>
        </w:tc>
      </w:tr>
      <w:tr>
        <w:trPr/>
        <w:tc>
          <w:tcPr>
            <w:tcW w:w="23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r>
      <w:tr>
        <w:trPr/>
        <w:tc>
          <w:tcPr>
            <w:tcW w:w="23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4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16,088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16,088</w:t>
            </w:r>
          </w:p>
        </w:tc>
      </w:tr>
      <w:tr>
        <w:trPr/>
        <w:tc>
          <w:tcPr>
            <w:tcW w:w="23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September 30, 2023</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24,836,862</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(4,477)</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181,241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252,682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429,476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37" w:name="Tc_F0isx8ZmkUm8iLD9ctZ1sQ_17_16"/>
      <w:bookmarkStart w:id="538" w:name="Tc_4BF8kDyHkkquu3h4w3VLKw_17_13"/>
      <w:bookmarkStart w:id="539" w:name="Tc_vZJ_huJbXU2bhzvgVcpOrw_17_10"/>
      <w:bookmarkStart w:id="540" w:name="Tc_Pd-uprrVAkWTy0X5F0LbHA_17_7"/>
      <w:bookmarkStart w:id="541" w:name="Tc_3N6B8OOFC0CvHlgLOIyXvg_17_4"/>
      <w:bookmarkStart w:id="542" w:name="Tc_sRIy37rW8keM_XhM3in2cw_17_0"/>
      <w:bookmarkStart w:id="543" w:name="Tc_4Si2wwjz4U6RKco1_AW_Sw_16_11"/>
      <w:bookmarkStart w:id="544" w:name="Tc_2zqxcSTyC022ibWyPDvO1w_16_8"/>
      <w:bookmarkStart w:id="545" w:name="Tc_pyaSodaVcEaid6AimbNJXw_16_5"/>
      <w:bookmarkStart w:id="546" w:name="Tc_y3egYBNlmUyIB7LUT55IxQ_16_2"/>
      <w:bookmarkStart w:id="547" w:name="Tc_aAS-CV8-AUSGnSHxi96zqw_16_0"/>
      <w:bookmarkStart w:id="548" w:name="Tc_sMF86d7LAk-JIIbCRekb2w_15_14"/>
      <w:bookmarkStart w:id="549" w:name="Tc_fUWiKg1tyUKOUU3h5TjbUg_15_11"/>
      <w:bookmarkStart w:id="550" w:name="Tc_fi2s-OYGHUS9xPIT2PMVBA_15_5"/>
      <w:bookmarkStart w:id="551" w:name="Tc_z3y21LeUsUyXbVpYURbSwQ_15_2"/>
      <w:bookmarkStart w:id="552" w:name="Tc_2AUldr2RJEqF0_Ka9IoSaQ_15_0"/>
      <w:bookmarkStart w:id="553" w:name="Tc_QHq9wyHlKUqXfFDx1GfiDg_14_14"/>
      <w:bookmarkStart w:id="554" w:name="Tc_oL-vJxO5p0yAO_N1pXcq9g_14_8"/>
      <w:bookmarkStart w:id="555" w:name="Tc_H_MWiLws1U6BflxkmRmQeA_14_5"/>
      <w:bookmarkStart w:id="556" w:name="Tc_TCHbi3S8ckmLCb1-arUbqw_14_0"/>
      <w:bookmarkStart w:id="557" w:name="Tc_a5mqkOv6wkKQ2bfBwmmVHg_13_14"/>
      <w:bookmarkStart w:id="558" w:name="Tc_g1_2JHq4lkCAIVlFBiS6Tw_13_8"/>
      <w:bookmarkStart w:id="559" w:name="Tc_EtNAG9W-uEulCP1EHVWy-A_13_5"/>
      <w:bookmarkStart w:id="560" w:name="Tc_VdDLw8-cMEyHZ1LoYyjXEw_13_0"/>
      <w:bookmarkStart w:id="561" w:name="Tc_GQSOOga8wE-cBUmjkACXJw_12_16"/>
      <w:bookmarkStart w:id="562" w:name="Tc_85X5E3a2dkKnYat7LBNzbw_12_13"/>
      <w:bookmarkStart w:id="563" w:name="Tc_qBAVguZ-Gk2j_Z_dqi2Vqg_12_10"/>
      <w:bookmarkStart w:id="564" w:name="Tc_VqMRcGgkNUW8-RwV-Vx2CQ_12_7"/>
      <w:bookmarkStart w:id="565" w:name="Tc_HwaPwS4r7UyjUNu-UUIZWQ_12_4"/>
      <w:bookmarkStart w:id="566" w:name="Tc_3EVTG_qi6k2C-YZx827j_A_12_0"/>
      <w:bookmarkStart w:id="567" w:name="Tc_5VK0iEmZWkSqdHl0LpiuZA_11_11"/>
      <w:bookmarkStart w:id="568" w:name="Tc_fVtveuTp1kauIPyjVWC5tw_11_8"/>
      <w:bookmarkStart w:id="569" w:name="Tc_jxhuS5M-XkuMJCSp1G9v4w_11_5"/>
      <w:bookmarkStart w:id="570" w:name="Tc_ZDILxlr3rEGLrJwNuM6rYQ_11_2"/>
      <w:bookmarkStart w:id="571" w:name="Tc_6T9Vt00SVkedVWYagNZZtw_11_0"/>
      <w:bookmarkStart w:id="572" w:name="Tc_AprCgL6t70u81u6zoqzkZA_10_14"/>
      <w:bookmarkStart w:id="573" w:name="Tc_wr57cVJzB0urBSu9v_PU8A_10_11"/>
      <w:bookmarkStart w:id="574" w:name="Tc_3rMF8k-NGEi8u9BMfoM7fA_10_5"/>
      <w:bookmarkStart w:id="575" w:name="Tc_NnXdccLPEkmHUuI_8h-Mtg_10_2"/>
      <w:bookmarkStart w:id="576" w:name="Tc_yr5BV5t-C0SRho4vHF5dmQ_10_0"/>
      <w:bookmarkStart w:id="577" w:name="Tc_8EAEwvGXE0qHUwrY4zg_Ig_9_14"/>
      <w:bookmarkStart w:id="578" w:name="Tc_FSe-RHNwekyh-izzHmSZvA_9_8"/>
      <w:bookmarkStart w:id="579" w:name="Tc_PtVAdrBzH0qwSMaSZrka6w_9_5"/>
      <w:bookmarkStart w:id="580" w:name="Tc_JNUA6Mv1oky2Ee5HNu7yHA_9_0"/>
      <w:bookmarkStart w:id="581" w:name="Tc_lA0k12dNSEqD1eJ-hbVgcg_8_16"/>
      <w:bookmarkStart w:id="582" w:name="Tc_fZAungOijkqxqtesatZHtA_8_13"/>
      <w:bookmarkStart w:id="583" w:name="Tc_3AbImhc5zEq3frqIHdn2KQ_8_10"/>
      <w:bookmarkStart w:id="584" w:name="Tc_2sXqKAwWbES5xtbTjFlhsQ_8_7"/>
      <w:bookmarkStart w:id="585" w:name="Tc_XwOKyK1hgEWePXXvsDBBPQ_8_4"/>
      <w:bookmarkStart w:id="586" w:name="Tc_ackojFPO0k2g19f2xAraxw_8_0"/>
      <w:bookmarkStart w:id="587" w:name="Tc_REv-_ify5EqlE_YlKM_R2Q_7_11"/>
      <w:bookmarkStart w:id="588" w:name="Tc_tgkK0dkcyU-d9oLZvbTjCw_7_8"/>
      <w:bookmarkStart w:id="589" w:name="Tc_uowjjA6RHkGOfclmzOzI3g_7_5"/>
      <w:bookmarkStart w:id="590" w:name="Tc_x6ULlzV1kUGVtdOBTi-iNg_7_2"/>
      <w:bookmarkStart w:id="591" w:name="Tc_6xzGB5gEOkO33CS5hnhMUg_7_0"/>
      <w:bookmarkStart w:id="592" w:name="Tc_ccMtvhpBIkyFYb4ao4txyQ_6_14"/>
      <w:bookmarkStart w:id="593" w:name="Tc_iggSxNtcd0Ki3fLZRicUBQ_6_11"/>
      <w:bookmarkStart w:id="594" w:name="Tc_ZsqO-Y4XTkigU47qVuFjIQ_6_5"/>
      <w:bookmarkStart w:id="595" w:name="Tc_bjTKw6pmRUGVtoW1AZyrMQ_6_2"/>
      <w:bookmarkStart w:id="596" w:name="Tc_ANp8n6O6o0abGBgNjFmKbA_6_0"/>
      <w:bookmarkStart w:id="597" w:name="Tc_8GrlML8tLEapux6PiOQRcg_5_14"/>
      <w:bookmarkStart w:id="598" w:name="Tc_ExnB3cb0hkSP0la0YzKjvA_5_8"/>
      <w:bookmarkStart w:id="599" w:name="Tc_FCRraSEMO0qEDRSdKbXH5w_5_0"/>
      <w:bookmarkStart w:id="600" w:name="Tc_KR-X5gul5UqXSOdBIdjldQ_4_14"/>
      <w:bookmarkStart w:id="601" w:name="Tc_UFRoANuSWEyEMlhKBPEwMw_4_8"/>
      <w:bookmarkStart w:id="602" w:name="Tc__VkIR2hHPkCzhEdN5eWu6w_4_5"/>
      <w:bookmarkStart w:id="603" w:name="Tc_Kgk9mzhnv0OPwNzP-HNROQ_4_0"/>
      <w:bookmarkStart w:id="604" w:name="Tc_aXrHhaKWdUuKJtOyPQYGxA_3_16"/>
      <w:bookmarkStart w:id="605" w:name="Tc_6qjaMOWYP0aMoZVG4akVEA_3_13"/>
      <w:bookmarkStart w:id="606" w:name="Tc_JXOiUkIvmkOI3XFrWOwVEg_3_10"/>
      <w:bookmarkStart w:id="607" w:name="Tc_gSCsVBUsuUO7gb_BI1K4AA_3_7"/>
      <w:bookmarkStart w:id="608" w:name="Tc_sfy4DInnE0CyHJaFTBtACw_3_4"/>
      <w:bookmarkStart w:id="609" w:name="Tc_bwKf9nfIa0OfZ3NOOxek7Q_3_0"/>
      <w:bookmarkStart w:id="610" w:name="Tc_IixF9tQYaUyw1pOeS_u8BA_2_16"/>
      <w:bookmarkStart w:id="611" w:name="Tc_EwfMXTn5H0Wltoez7ElJhA_2_13"/>
      <w:bookmarkStart w:id="612" w:name="Tc_C9mVi9RH4Eq3e8SCoWUZcA_2_10"/>
      <w:bookmarkStart w:id="613" w:name="Tc_spiwvj3k90-KpFo2yADtiQ_2_7"/>
      <w:bookmarkStart w:id="614" w:name="Tc_wa7pHX2YEE-ltsaFQcleYA_2_4"/>
      <w:bookmarkStart w:id="615" w:name="Tc_fjMbwvCwSE6bx7RDyAClvg_2_2"/>
      <w:bookmarkStart w:id="616" w:name="Tc_BxKXGmSVEUSwpxJp9LQPEg_1_13"/>
      <w:bookmarkStart w:id="617" w:name="Tc_I_29f8au90CvXKA84qvHOQ_1_10"/>
      <w:bookmarkStart w:id="618" w:name="Tc_7NzyBJDcp0ahBG6yiGTICQ_1_7"/>
      <w:bookmarkStart w:id="619" w:name="Tc_WiNke8JVS02DbDdufGWFtg_1_2"/>
      <w:bookmarkStart w:id="620" w:name="_44db5902_bfff_45be_9bb6_8833ac7df111"/>
      <w:bookmarkStart w:id="621" w:name="Tc_F0isx8ZmkUm8iLD9ctZ1sQ_17_16"/>
      <w:bookmarkStart w:id="622" w:name="Tc_4BF8kDyHkkquu3h4w3VLKw_17_13"/>
      <w:bookmarkStart w:id="623" w:name="Tc_vZJ_huJbXU2bhzvgVcpOrw_17_10"/>
      <w:bookmarkStart w:id="624" w:name="Tc_Pd-uprrVAkWTy0X5F0LbHA_17_7"/>
      <w:bookmarkStart w:id="625" w:name="Tc_3N6B8OOFC0CvHlgLOIyXvg_17_4"/>
      <w:bookmarkStart w:id="626" w:name="Tc_sRIy37rW8keM_XhM3in2cw_17_0"/>
      <w:bookmarkStart w:id="627" w:name="Tc_4Si2wwjz4U6RKco1_AW_Sw_16_11"/>
      <w:bookmarkStart w:id="628" w:name="Tc_2zqxcSTyC022ibWyPDvO1w_16_8"/>
      <w:bookmarkStart w:id="629" w:name="Tc_pyaSodaVcEaid6AimbNJXw_16_5"/>
      <w:bookmarkStart w:id="630" w:name="Tc_y3egYBNlmUyIB7LUT55IxQ_16_2"/>
      <w:bookmarkStart w:id="631" w:name="Tc_aAS-CV8-AUSGnSHxi96zqw_16_0"/>
      <w:bookmarkStart w:id="632" w:name="Tc_sMF86d7LAk-JIIbCRekb2w_15_14"/>
      <w:bookmarkStart w:id="633" w:name="Tc_fUWiKg1tyUKOUU3h5TjbUg_15_11"/>
      <w:bookmarkStart w:id="634" w:name="Tc_fi2s-OYGHUS9xPIT2PMVBA_15_5"/>
      <w:bookmarkStart w:id="635" w:name="Tc_z3y21LeUsUyXbVpYURbSwQ_15_2"/>
      <w:bookmarkStart w:id="636" w:name="Tc_2AUldr2RJEqF0_Ka9IoSaQ_15_0"/>
      <w:bookmarkStart w:id="637" w:name="Tc_QHq9wyHlKUqXfFDx1GfiDg_14_14"/>
      <w:bookmarkStart w:id="638" w:name="Tc_oL-vJxO5p0yAO_N1pXcq9g_14_8"/>
      <w:bookmarkStart w:id="639" w:name="Tc_H_MWiLws1U6BflxkmRmQeA_14_5"/>
      <w:bookmarkStart w:id="640" w:name="Tc_TCHbi3S8ckmLCb1-arUbqw_14_0"/>
      <w:bookmarkStart w:id="641" w:name="Tc_a5mqkOv6wkKQ2bfBwmmVHg_13_14"/>
      <w:bookmarkStart w:id="642" w:name="Tc_g1_2JHq4lkCAIVlFBiS6Tw_13_8"/>
      <w:bookmarkStart w:id="643" w:name="Tc_EtNAG9W-uEulCP1EHVWy-A_13_5"/>
      <w:bookmarkStart w:id="644" w:name="Tc_VdDLw8-cMEyHZ1LoYyjXEw_13_0"/>
      <w:bookmarkStart w:id="645" w:name="Tc_GQSOOga8wE-cBUmjkACXJw_12_16"/>
      <w:bookmarkStart w:id="646" w:name="Tc_85X5E3a2dkKnYat7LBNzbw_12_13"/>
      <w:bookmarkStart w:id="647" w:name="Tc_qBAVguZ-Gk2j_Z_dqi2Vqg_12_10"/>
      <w:bookmarkStart w:id="648" w:name="Tc_VqMRcGgkNUW8-RwV-Vx2CQ_12_7"/>
      <w:bookmarkStart w:id="649" w:name="Tc_HwaPwS4r7UyjUNu-UUIZWQ_12_4"/>
      <w:bookmarkStart w:id="650" w:name="Tc_3EVTG_qi6k2C-YZx827j_A_12_0"/>
      <w:bookmarkStart w:id="651" w:name="Tc_5VK0iEmZWkSqdHl0LpiuZA_11_11"/>
      <w:bookmarkStart w:id="652" w:name="Tc_fVtveuTp1kauIPyjVWC5tw_11_8"/>
      <w:bookmarkStart w:id="653" w:name="Tc_jxhuS5M-XkuMJCSp1G9v4w_11_5"/>
      <w:bookmarkStart w:id="654" w:name="Tc_ZDILxlr3rEGLrJwNuM6rYQ_11_2"/>
      <w:bookmarkStart w:id="655" w:name="Tc_6T9Vt00SVkedVWYagNZZtw_11_0"/>
      <w:bookmarkStart w:id="656" w:name="Tc_AprCgL6t70u81u6zoqzkZA_10_14"/>
      <w:bookmarkStart w:id="657" w:name="Tc_wr57cVJzB0urBSu9v_PU8A_10_11"/>
      <w:bookmarkStart w:id="658" w:name="Tc_3rMF8k-NGEi8u9BMfoM7fA_10_5"/>
      <w:bookmarkStart w:id="659" w:name="Tc_NnXdccLPEkmHUuI_8h-Mtg_10_2"/>
      <w:bookmarkStart w:id="660" w:name="Tc_yr5BV5t-C0SRho4vHF5dmQ_10_0"/>
      <w:bookmarkStart w:id="661" w:name="Tc_8EAEwvGXE0qHUwrY4zg_Ig_9_14"/>
      <w:bookmarkStart w:id="662" w:name="Tc_FSe-RHNwekyh-izzHmSZvA_9_8"/>
      <w:bookmarkStart w:id="663" w:name="Tc_PtVAdrBzH0qwSMaSZrka6w_9_5"/>
      <w:bookmarkStart w:id="664" w:name="Tc_JNUA6Mv1oky2Ee5HNu7yHA_9_0"/>
      <w:bookmarkStart w:id="665" w:name="Tc_lA0k12dNSEqD1eJ-hbVgcg_8_16"/>
      <w:bookmarkStart w:id="666" w:name="Tc_fZAungOijkqxqtesatZHtA_8_13"/>
      <w:bookmarkStart w:id="667" w:name="Tc_3AbImhc5zEq3frqIHdn2KQ_8_10"/>
      <w:bookmarkStart w:id="668" w:name="Tc_2sXqKAwWbES5xtbTjFlhsQ_8_7"/>
      <w:bookmarkStart w:id="669" w:name="Tc_XwOKyK1hgEWePXXvsDBBPQ_8_4"/>
      <w:bookmarkStart w:id="670" w:name="Tc_ackojFPO0k2g19f2xAraxw_8_0"/>
      <w:bookmarkStart w:id="671" w:name="Tc_REv-_ify5EqlE_YlKM_R2Q_7_11"/>
      <w:bookmarkStart w:id="672" w:name="Tc_tgkK0dkcyU-d9oLZvbTjCw_7_8"/>
      <w:bookmarkStart w:id="673" w:name="Tc_uowjjA6RHkGOfclmzOzI3g_7_5"/>
      <w:bookmarkStart w:id="674" w:name="Tc_x6ULlzV1kUGVtdOBTi-iNg_7_2"/>
      <w:bookmarkStart w:id="675" w:name="Tc_6xzGB5gEOkO33CS5hnhMUg_7_0"/>
      <w:bookmarkStart w:id="676" w:name="Tc_ccMtvhpBIkyFYb4ao4txyQ_6_14"/>
      <w:bookmarkStart w:id="677" w:name="Tc_iggSxNtcd0Ki3fLZRicUBQ_6_11"/>
      <w:bookmarkStart w:id="678" w:name="Tc_ZsqO-Y4XTkigU47qVuFjIQ_6_5"/>
      <w:bookmarkStart w:id="679" w:name="Tc_bjTKw6pmRUGVtoW1AZyrMQ_6_2"/>
      <w:bookmarkStart w:id="680" w:name="Tc_ANp8n6O6o0abGBgNjFmKbA_6_0"/>
      <w:bookmarkStart w:id="681" w:name="Tc_8GrlML8tLEapux6PiOQRcg_5_14"/>
      <w:bookmarkStart w:id="682" w:name="Tc_ExnB3cb0hkSP0la0YzKjvA_5_8"/>
      <w:bookmarkStart w:id="683" w:name="Tc_FCRraSEMO0qEDRSdKbXH5w_5_0"/>
      <w:bookmarkStart w:id="684" w:name="Tc_KR-X5gul5UqXSOdBIdjldQ_4_14"/>
      <w:bookmarkStart w:id="685" w:name="Tc_UFRoANuSWEyEMlhKBPEwMw_4_8"/>
      <w:bookmarkStart w:id="686" w:name="Tc__VkIR2hHPkCzhEdN5eWu6w_4_5"/>
      <w:bookmarkStart w:id="687" w:name="Tc_Kgk9mzhnv0OPwNzP-HNROQ_4_0"/>
      <w:bookmarkStart w:id="688" w:name="Tc_aXrHhaKWdUuKJtOyPQYGxA_3_16"/>
      <w:bookmarkStart w:id="689" w:name="Tc_6qjaMOWYP0aMoZVG4akVEA_3_13"/>
      <w:bookmarkStart w:id="690" w:name="Tc_JXOiUkIvmkOI3XFrWOwVEg_3_10"/>
      <w:bookmarkStart w:id="691" w:name="Tc_gSCsVBUsuUO7gb_BI1K4AA_3_7"/>
      <w:bookmarkStart w:id="692" w:name="Tc_sfy4DInnE0CyHJaFTBtACw_3_4"/>
      <w:bookmarkStart w:id="693" w:name="Tc_bwKf9nfIa0OfZ3NOOxek7Q_3_0"/>
      <w:bookmarkStart w:id="694" w:name="Tc_IixF9tQYaUyw1pOeS_u8BA_2_16"/>
      <w:bookmarkStart w:id="695" w:name="Tc_EwfMXTn5H0Wltoez7ElJhA_2_13"/>
      <w:bookmarkStart w:id="696" w:name="Tc_C9mVi9RH4Eq3e8SCoWUZcA_2_10"/>
      <w:bookmarkStart w:id="697" w:name="Tc_spiwvj3k90-KpFo2yADtiQ_2_7"/>
      <w:bookmarkStart w:id="698" w:name="Tc_wa7pHX2YEE-ltsaFQcleYA_2_4"/>
      <w:bookmarkStart w:id="699" w:name="Tc_fjMbwvCwSE6bx7RDyAClvg_2_2"/>
      <w:bookmarkStart w:id="700" w:name="Tc_BxKXGmSVEUSwpxJp9LQPEg_1_13"/>
      <w:bookmarkStart w:id="701" w:name="Tc_I_29f8au90CvXKA84qvHOQ_1_10"/>
      <w:bookmarkStart w:id="702" w:name="Tc_7NzyBJDcp0ahBG6yiGTICQ_1_7"/>
      <w:bookmarkStart w:id="703" w:name="Tc_WiNke8JVS02DbDdufGWFtg_1_2"/>
      <w:bookmarkStart w:id="704" w:name="_44db5902_bfff_45be_9bb6_8833ac7df111"/>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p>
    <w:tbl>
      <w:tblPr>
        <w:tblW w:w="10205" w:type="dxa"/>
        <w:jc w:val="left"/>
        <w:tblInd w:w="0" w:type="dxa"/>
        <w:tblLayout w:type="fixed"/>
        <w:tblCellMar>
          <w:top w:w="0" w:type="dxa"/>
          <w:left w:w="0" w:type="dxa"/>
          <w:bottom w:w="0" w:type="dxa"/>
          <w:right w:w="0" w:type="dxa"/>
        </w:tblCellMar>
      </w:tblPr>
      <w:tblGrid>
        <w:gridCol w:w="2586"/>
        <w:gridCol w:w="326"/>
        <w:gridCol w:w="1036"/>
        <w:gridCol w:w="326"/>
        <w:gridCol w:w="261"/>
        <w:gridCol w:w="430"/>
        <w:gridCol w:w="326"/>
        <w:gridCol w:w="211"/>
        <w:gridCol w:w="669"/>
        <w:gridCol w:w="109"/>
        <w:gridCol w:w="249"/>
        <w:gridCol w:w="922"/>
        <w:gridCol w:w="326"/>
        <w:gridCol w:w="211"/>
        <w:gridCol w:w="781"/>
        <w:gridCol w:w="326"/>
        <w:gridCol w:w="211"/>
        <w:gridCol w:w="899"/>
      </w:tblGrid>
      <w:tr>
        <w:trPr/>
        <w:tc>
          <w:tcPr>
            <w:tcW w:w="2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642110" cy="175260"/>
                      <wp:effectExtent l="0" t="0" r="0" b="0"/>
                      <wp:wrapNone/>
                      <wp:docPr id="52" name="Frame52"/>
                      <a:graphic xmlns:a="http://schemas.openxmlformats.org/drawingml/2006/main">
                        <a:graphicData uri="http://schemas.microsoft.com/office/word/2010/wordprocessingShape">
                          <wps:wsp>
                            <wps:cNvSpPr txBox="1"/>
                            <wps:spPr>
                              <a:xfrm>
                                <a:off x="0" y="0"/>
                                <a:ext cx="164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57860" cy="175260"/>
                      <wp:effectExtent l="0" t="0" r="0" b="0"/>
                      <wp:wrapNone/>
                      <wp:docPr id="54" name="Frame5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65735" cy="175260"/>
                      <wp:effectExtent l="0" t="0" r="0" b="0"/>
                      <wp:wrapNone/>
                      <wp:docPr id="56" name="Frame56"/>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73050" cy="175260"/>
                      <wp:effectExtent l="0" t="0" r="0" b="0"/>
                      <wp:wrapNone/>
                      <wp:docPr id="57" name="Frame57"/>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3985" cy="175260"/>
                      <wp:effectExtent l="0" t="0" r="0" b="0"/>
                      <wp:wrapNone/>
                      <wp:docPr id="59"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24815" cy="175260"/>
                      <wp:effectExtent l="0" t="0" r="0" b="0"/>
                      <wp:wrapNone/>
                      <wp:docPr id="60" name="Frame60"/>
                      <a:graphic xmlns:a="http://schemas.openxmlformats.org/drawingml/2006/main">
                        <a:graphicData uri="http://schemas.microsoft.com/office/word/2010/wordprocessingShape">
                          <wps:wsp>
                            <wps:cNvSpPr txBox="1"/>
                            <wps:spPr>
                              <a:xfrm>
                                <a:off x="0" y="0"/>
                                <a:ext cx="424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9215" cy="175260"/>
                      <wp:effectExtent l="0" t="0" r="0" b="0"/>
                      <wp:wrapNone/>
                      <wp:docPr id="61" name="Frame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58115" cy="175260"/>
                      <wp:effectExtent l="0" t="0" r="0" b="0"/>
                      <wp:wrapNone/>
                      <wp:docPr id="62" name="Frame62"/>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85470" cy="175260"/>
                      <wp:effectExtent l="0" t="0" r="0" b="0"/>
                      <wp:wrapNone/>
                      <wp:docPr id="63" name="Frame63"/>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65"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95935" cy="175260"/>
                      <wp:effectExtent l="0" t="0" r="0" b="0"/>
                      <wp:wrapNone/>
                      <wp:docPr id="66" name="Frame6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3985" cy="175260"/>
                      <wp:effectExtent l="0" t="0" r="0" b="0"/>
                      <wp:wrapNone/>
                      <wp:docPr id="68" name="Frame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70865" cy="175260"/>
                      <wp:effectExtent l="0" t="0" r="0" b="0"/>
                      <wp:wrapNone/>
                      <wp:docPr id="69" name="Frame69"/>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5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88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109"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pPr>
            <w:r>
              <w:rPr/>
              <w:t>​</w:t>
            </w:r>
          </w:p>
        </w:tc>
      </w:tr>
      <w:tr>
        <w:trPr/>
        <w:tc>
          <w:tcPr>
            <w:tcW w:w="2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vAlign w:val="center"/>
          </w:tcPr>
          <w:p>
            <w:pPr>
              <w:pStyle w:val="TableContents"/>
              <w:bidi w:val="0"/>
              <w:spacing w:before="0" w:after="0"/>
              <w:ind w:left="0" w:right="0" w:hanging="0"/>
              <w:jc w:val="left"/>
              <w:rPr/>
            </w:pPr>
            <w:r>
              <w:rPr/>
              <w:t>​</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paid-in-capital</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left"/>
              <w:rPr/>
            </w:pPr>
            <w:r>
              <w:rPr/>
              <w:t>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24,843,494</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(4,477)</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181,424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259,758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436,735</w:t>
            </w:r>
          </w:p>
        </w:tc>
      </w:tr>
      <w:tr>
        <w:trPr/>
        <w:tc>
          <w:tcPr>
            <w:tcW w:w="2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based compensation</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r>
      <w:tr>
        <w:trPr/>
        <w:tc>
          <w:tcPr>
            <w:tcW w:w="2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stock options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6,246</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2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treasury stock</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(1,871)</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(1,871)</w:t>
            </w:r>
          </w:p>
        </w:tc>
      </w:tr>
      <w:tr>
        <w:trPr/>
        <w:tc>
          <w:tcPr>
            <w:tcW w:w="2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15,140</w:t>
            </w:r>
          </w:p>
        </w:tc>
      </w:tr>
      <w:tr>
        <w:trPr/>
        <w:tc>
          <w:tcPr>
            <w:tcW w:w="2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March 31, 2024</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24,852,740</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(6,348)</w:t>
            </w:r>
          </w:p>
        </w:tc>
        <w:tc>
          <w:tcPr>
            <w:tcW w:w="109"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181,780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274,898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450,361</w:t>
            </w:r>
          </w:p>
        </w:tc>
      </w:tr>
      <w:tr>
        <w:trPr/>
        <w:tc>
          <w:tcPr>
            <w:tcW w:w="2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7,350</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r>
      <w:tr>
        <w:trPr/>
        <w:tc>
          <w:tcPr>
            <w:tcW w:w="2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treasury stock</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(3,505)</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(3,505)</w:t>
            </w:r>
          </w:p>
        </w:tc>
      </w:tr>
      <w:tr>
        <w:trPr/>
        <w:tc>
          <w:tcPr>
            <w:tcW w:w="2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16,189</w:t>
            </w:r>
          </w:p>
        </w:tc>
      </w:tr>
      <w:tr>
        <w:trPr/>
        <w:tc>
          <w:tcPr>
            <w:tcW w:w="2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June 30, 2024</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24,860,090</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(9,853)</w:t>
            </w:r>
          </w:p>
        </w:tc>
        <w:tc>
          <w:tcPr>
            <w:tcW w:w="109"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181,954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291,087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463,219</w:t>
            </w:r>
          </w:p>
        </w:tc>
      </w:tr>
      <w:tr>
        <w:trPr/>
        <w:tc>
          <w:tcPr>
            <w:tcW w:w="2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r>
      <w:tr>
        <w:trPr/>
        <w:tc>
          <w:tcPr>
            <w:tcW w:w="2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stock options</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6,246</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2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treasury stock</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2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15,803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15,803</w:t>
            </w:r>
          </w:p>
        </w:tc>
      </w:tr>
      <w:tr>
        <w:trPr/>
        <w:tc>
          <w:tcPr>
            <w:tcW w:w="2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Balances, September 30, 2024</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24,865,906</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(9,875)</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182,226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306,890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479,272</w:t>
            </w:r>
          </w:p>
        </w:tc>
      </w:tr>
    </w:tbl>
    <w:p>
      <w:pPr>
        <w:pStyle w:val="TextBody"/>
        <w:bidi w:val="0"/>
        <w:spacing w:before="0" w:after="0"/>
        <w:ind w:left="0" w:right="0" w:hanging="0"/>
        <w:jc w:val="left"/>
        <w:rPr/>
      </w:pPr>
      <w:r>
        <w:rPr/>
        <w:t>​</w:t>
      </w:r>
    </w:p>
    <w:p>
      <w:pPr>
        <w:pStyle w:val="TextBody"/>
        <w:bidi w:val="0"/>
        <w:spacing w:before="0" w:after="200"/>
        <w:ind w:left="0" w:right="0" w:firstLine="720"/>
        <w:jc w:val="center"/>
        <w:rPr>
          <w:rFonts w:ascii="Times New Roman;Times;serif" w:hAnsi="Times New Roman;Times;serif"/>
          <w:sz w:val="20"/>
        </w:rPr>
      </w:pPr>
      <w:r>
        <w:rPr>
          <w:rFonts w:ascii="Times New Roman;Times;serif" w:hAnsi="Times New Roman;Times;serif"/>
          <w:sz w:val="20"/>
        </w:rPr>
        <w:t>See accompanying notes to unaudited interim condensed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NATURE OF OPERATIONS</w:t>
      </w:r>
    </w:p>
    <w:p>
      <w:pPr>
        <w:pStyle w:val="TextBody"/>
        <w:bidi w:val="0"/>
        <w:spacing w:before="0" w:after="200"/>
        <w:ind w:left="0" w:right="0" w:firstLine="792"/>
        <w:jc w:val="left"/>
        <w:rPr>
          <w:rFonts w:ascii="Times New Roman;Times;serif" w:hAnsi="Times New Roman;Times;serif"/>
          <w:sz w:val="20"/>
        </w:rPr>
      </w:pPr>
      <w:r>
        <w:rPr>
          <w:rFonts w:ascii="Times New Roman;Times;serif" w:hAnsi="Times New Roman;Times;serif"/>
          <w:sz w:val="20"/>
        </w:rPr>
        <w:t>Legacy Housing Corporation (referred herein as ”Legacy”, “we”, “our”, “us”, or the “Company”) was formed on January 1, 2018 as a Delaware corporation through a corporate conversion of Legacy Housing, Ltd. (the “Partnership”), a Texas limited partnership formed in May 2005. Effective December 31, 2019, the Company reincorporated from a Delaware corporation to a Texas corporation. The Company is headquartered in Bedford, Texas. </w:t>
      </w:r>
    </w:p>
    <w:p>
      <w:pPr>
        <w:pStyle w:val="TextBody"/>
        <w:bidi w:val="0"/>
        <w:spacing w:before="0" w:after="200"/>
        <w:ind w:left="0" w:right="0" w:firstLine="792"/>
        <w:jc w:val="left"/>
        <w:rPr>
          <w:rFonts w:ascii="Times New Roman;Times;serif" w:hAnsi="Times New Roman;Times;serif"/>
          <w:sz w:val="20"/>
        </w:rPr>
      </w:pPr>
      <w:r>
        <w:rPr>
          <w:rFonts w:ascii="Times New Roman;Times;serif" w:hAnsi="Times New Roman;Times;serif"/>
          <w:sz w:val="20"/>
        </w:rPr>
        <w:t>The Company (1) manufactures and provides for the transport of mobile homes, (2) provides wholesale financing to dealers and mobile home parks, (3) provides retail financing to consumers and (4) is involved in financing and developing new manufactured home communities. The Company manufactures its mobile homes at plants located in Fort Worth, Texas, Commerce, Texas and Eatonton, Georgia. The Company relies on a network of dealers to market and sell its mobile homes. The Company also sells homes directly to consumers, through its own retail stores, and to dealers and mobile home parks.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accompanying unaudited interim condensed financial statements have been prepared in accordance with accounting principles generally accepted in the United States of America ("GAAP") for interim financial information and pursuant to the rules and regulations of the U.S. Securities and Exchange Commission ("SEC") as required by Regulation S-X, Rule 8-03. In the opinion of management, the unaudited interim condensed financial statements have been prepared on the same basis as the audited annual financial statements, and include all adjustments, consisting only of normal recurring adjustments, necessary for the fair statement of the Company's financial position for the periods presented. The results for the three months and nine months ended September 30, 2024 are not necessarily indicative of the results to be expected for the year ending December 31, 2024, or any other period. The accompanying balance sheet as of December 31, 2023 was derived from audited financial statements included in the Company's annual report on Form 10-K for the year ended December 31, 2023 (the “Form 10-K”), filed on March 15, 2024. The accompanying financial statements do not include all of the information and footnotes required by GAAP for annual financial statements. Accordingly, they should be read in conjunction with the audited financial statements and notes thereto included in the Form 10-K.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preparation of our financial statements in conformity with GAAP requires management to make estimates and assumptions. These estimates and assumptions affect the reported amounts of assets and liabilities and the disclosure of contingent assets and liabilities at the date of the financial statements, as well as the reported amounts of income and expenses during the reporting period. Significant estimates made in connection with the accompanying condensed financial statements primarily relate to the determination and valuation of accounts receivable, loans to mobile home parks, consumer loans receivable, other notes receivable, loans to dealers, inventory obsolescence, income taxes, fair value of financial instruments and contingent liabilities. Actual results could differ from these estimates.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Segment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has one reportable segment. All of our activities are interrelated, and each activity is dependent and assessed based on how each of the activities of the Company supports the others. For example, the sale of manufactured homes includes providing transportation for dealers. We also provide financing options for customers to facilitate home sales. Accordingly, all significant operating and strategic decisions by the chief operating decision maker, the Chief Executive Officer, are based upon analyses of our company as one operating segment.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Product sales primarily consist of sales of mobile homes to consumers and mobile home parks through various sales channels, which include Direct Sales, Commercial Sales, Inventory Finance Sales, and Retail Store Sales. Direct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Sales include homes sold directly to independent retailers or customers that are not financed by the Company and are not sold under an inventory finance arrangement. These types of homes are generally paid for prior to shipment. Commercial Sales include homes sold to mobile home parks under commercial loan programs or paid for upfront. Inventory Finance Sales include sales of homes to independent retailers, or dealers, who then resell the homes to consumers. Retail Store Sales are homes sold through Company-owned retail locations. Inventory Finance Sales and Retail Store Sales of homes may be financed by the Company or a third party, or they may be paid in cash.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Consumer, MHP and dealer loans interest includes interest income from the consumer, MHP and dealer finance loan portfolios. Other revenue consists of contract deposit forfeitures, consignment fees, commercial lease rents, land sales, service fees and other miscellaneous income.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Share-Based Compensation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Company accounts for share-based compensation in accordance with the provisions of Accounting Standards Codification (“ASC”) 718, </w:t>
      </w:r>
      <w:r>
        <w:rPr>
          <w:rFonts w:ascii="Times New Roman;Times;serif" w:hAnsi="Times New Roman;Times;serif"/>
          <w:i/>
          <w:sz w:val="20"/>
        </w:rPr>
        <w:t>Compensation—Stock Compensation</w:t>
      </w:r>
      <w:r>
        <w:rPr>
          <w:rFonts w:ascii="Times New Roman;Times;serif" w:hAnsi="Times New Roman;Times;serif"/>
          <w:sz w:val="20"/>
        </w:rPr>
        <w:t>. Share-based compensation expense is recognized based on an award’s estimated grant date fair value in order to recognize compensation cost for those shares expected to vest. The Company has elected to record forfeitures as they occur. Compensation cost is recognized on a straight-line basis over the vesting period of the awards and adjusted as forfeitures occur.</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fair value of each option grant with only service-based conditions is estimated using the Black-Scholes pricing model. The fair value of each restricted stock grant with only service-based conditions is calculated based on the closing price of the Company’s common stock on the grant date.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fair value of stock option awards on the date of grant is estimated using the Black-Scholes option pricing model, which requires the Company to make certain predictive assumptions. The risk-free interest rate is based on the implied yield of U.S. Treasury zero-coupon securities that correspond to the expected life of the award. The volatility is estimated based on the historical volatility of the Company’s common stock. The expected life of awards granted represents the period of time that the awards are expected to be outstanding based on the “simplified” method, which is allowed for companies that cannot reasonably estimate the expected life of options based on its historical award exercise experience. The Company does not expect to pay dividends on its common stock.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Accounts Receivable</w:t>
      </w:r>
    </w:p>
    <w:p>
      <w:pPr>
        <w:pStyle w:val="TextBody"/>
        <w:bidi w:val="0"/>
        <w:spacing w:before="0" w:after="200"/>
        <w:ind w:left="0" w:right="0" w:firstLine="720"/>
        <w:jc w:val="left"/>
        <w:rPr/>
      </w:pPr>
      <w:r>
        <w:rPr/>
        <w:t>“</w:t>
      </w:r>
      <w:r>
        <w:rPr>
          <w:rFonts w:ascii="Times New Roman;Times;serif" w:hAnsi="Times New Roman;Times;serif"/>
          <w:sz w:val="20"/>
        </w:rPr>
        <w:t xml:space="preserve">Accounts receivable, net” includes receivables from direct sales of mobile homes, sales of parts and supplies to customers, inventory finance fees and interest.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Accounts receivable related to inventory finance fees and interest generally are due upon receipt, and all other accounts receivable generally are due within 30 days. Accounts receivable is stated at amounts due from customers net of an allowance for doubtful accounts. Accounts outstanding longer than the contractual payment terms are considered past due. The Company determines the allowance by considering several factors, including the aging of the past due balance, the customer’s payment history, and the Company’s previous loss history. The Company establishes an allowance for doubtful accounts for amounts that are deemed to be uncollectible. On September 30, 2024, December 31, 2023 and December 31, 2022, the allowance for doubtful accounts totaled $709, $651 and $279, respectively.</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Leased Property</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offers mobile home park operators the opportunity to lease mobile homes for rent in lieu of purchasing the homes for cash or under a longer-term financing agreement. In this arrangement, the title for the mobile homes remains with the Company, and the lease is accounted for as an operating lease.</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120"/>
        <w:ind w:left="0" w:right="0" w:firstLine="720"/>
        <w:jc w:val="left"/>
        <w:rPr>
          <w:rFonts w:ascii="Times New Roman;Times;serif" w:hAnsi="Times New Roman;Times;serif"/>
          <w:sz w:val="20"/>
        </w:rPr>
      </w:pPr>
      <w:bookmarkStart w:id="705" w:name="Tc_pp_TNudVVEKonDKlh88RKA_6_12"/>
      <w:bookmarkStart w:id="706" w:name="Tc_ekKB0-24ykSHfuaIRU0aug_6_9"/>
      <w:bookmarkStart w:id="707" w:name="Tc_QR1YBFkfykWl8BFHYn_qHw_6_5"/>
      <w:bookmarkStart w:id="708" w:name="Tc_DdaeE-r4T0ST-LUgPr1qzA_6_2"/>
      <w:bookmarkStart w:id="709" w:name="Tc_iHSJyETnoESLvF_2rgoV9g_6_0"/>
      <w:bookmarkStart w:id="710" w:name="Tc_DngBxq-rRUyJQzRc9RCc8g_5_0"/>
      <w:bookmarkStart w:id="711" w:name="Tc_0ACgRbwZ00qDmaqDjZm__w_4_0"/>
      <w:bookmarkStart w:id="712" w:name="Tc_wH4suVEMhkW0mO18nVfPeA_3_12"/>
      <w:bookmarkStart w:id="713" w:name="Tc_2vDpavM2cE2zrXek9f0Ckg_3_9"/>
      <w:bookmarkStart w:id="714" w:name="Tc_5DapSHBtoEynflQr6cJ2jw_3_5"/>
      <w:bookmarkStart w:id="715" w:name="Tc_8AQs4x_JJUyJSSbXhjhL1A_3_2"/>
      <w:bookmarkStart w:id="716" w:name="Tc_MMjoklJKq0aNJNkgwrV1kA_3_0"/>
      <w:bookmarkStart w:id="717" w:name="Tc_SSB8SJISV0m4R6RcwWbbDQ_2_12"/>
      <w:bookmarkStart w:id="718" w:name="Tc_54loNVHlgESe_RlapwiRnQ_2_9"/>
      <w:bookmarkStart w:id="719" w:name="Tc_sqqz8Q6l1Uur5xvuYxa1iQ_2_5"/>
      <w:bookmarkStart w:id="720" w:name="Tc_BEztTu0un0KR34yQrz6VvA_2_2"/>
      <w:bookmarkStart w:id="721" w:name="Tc_hoLpO1ML8EOmes3y10P5wA_1_9"/>
      <w:bookmarkStart w:id="722" w:name="Tc_AnPGma3ZK068EYzvsWtp1A_1_2"/>
      <w:bookmarkStart w:id="723" w:name="Tc_e9SjhuwiKU-WPx-W4CVAFw_7_2"/>
      <w:bookmarkStart w:id="724" w:name="Tc_N3Ofn_neaEG7RX3iFVI7Tg_7_0"/>
      <w:bookmarkStart w:id="725" w:name="Tc_q37MRCzGNUiE_FL8muQTZQ_6_0"/>
      <w:bookmarkStart w:id="726" w:name="Tc_Yg3XcBwDgUK61uxnvGtL-g_5_0"/>
      <w:bookmarkStart w:id="727" w:name="Tc_bo08_6beHEGVqATZ1ZigCg_4_0"/>
      <w:bookmarkStart w:id="728" w:name="Tc_BQeT7UEZgkmXwNY6ct2PcQ_3_0"/>
      <w:bookmarkStart w:id="729" w:name="Tc_UTLEILtwp06oN9xuTCimGQ_2_0"/>
      <w:bookmarkStart w:id="730" w:name="Tc_hrjuo7HUEUWCFvIO32Bmsg_1_2"/>
      <w:bookmarkStart w:id="731" w:name="Tc_yNo4WZxyOUmZesDdTPozVA_1_0"/>
      <w:bookmarkStart w:id="732" w:name="_8d4c732b_708b_41b6_b5ec_19ba65bd9ac9"/>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r>
        <w:rPr>
          <w:rFonts w:ascii="Times New Roman;Times;serif" w:hAnsi="Times New Roman;Times;serif"/>
          <w:sz w:val="20"/>
        </w:rPr>
        <w:t>Our typical lease agreement is for 96 months or 120 months. It requires the lessee to maintain the home and to return the home to us at the end of the lease in good condition. It provides the lessee with a termination option for a fee, an option to extend the lease and a purchase option at fair market value.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leased mobile homes are included in other assets on the Company’s balance sheet, capitalized at manufactured cost and depreciated over a 15 year useful life. Homes returned to the Company upon expiration of the lease or in the event of default are sold by the Company through its standard sales and distribution channels.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Future minimum lease income under all operating leases for each of the next five years at September 30, 2024, is as follows:</w:t>
      </w:r>
    </w:p>
    <w:tbl>
      <w:tblPr>
        <w:tblW w:w="2171" w:type="dxa"/>
        <w:jc w:val="left"/>
        <w:tblInd w:w="0" w:type="dxa"/>
        <w:tblLayout w:type="fixed"/>
        <w:tblCellMar>
          <w:top w:w="0" w:type="dxa"/>
          <w:left w:w="0" w:type="dxa"/>
          <w:bottom w:w="0" w:type="dxa"/>
          <w:right w:w="0" w:type="dxa"/>
        </w:tblCellMar>
      </w:tblPr>
      <w:tblGrid>
        <w:gridCol w:w="946"/>
        <w:gridCol w:w="326"/>
        <w:gridCol w:w="211"/>
        <w:gridCol w:w="688"/>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00710" cy="175260"/>
                      <wp:effectExtent l="0" t="0" r="0" b="0"/>
                      <wp:wrapNone/>
                      <wp:docPr id="70" name="Frame70"/>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36880" cy="175260"/>
                      <wp:effectExtent l="0" t="0" r="0" b="0"/>
                      <wp:wrapNone/>
                      <wp:docPr id="73" name="Frame73"/>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5,013</w:t>
            </w:r>
          </w:p>
        </w:tc>
      </w:tr>
    </w:tbl>
    <w:p>
      <w:pPr>
        <w:pStyle w:val="TextBody"/>
        <w:bidi w:val="0"/>
        <w:spacing w:before="0" w:after="12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Product Warranties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Company provides retail home buyers with a </w:t>
      </w:r>
      <w:r>
        <w:rPr>
          <w:rFonts w:ascii="Times New Roman;Times;serif" w:hAnsi="Times New Roman;Times;serif"/>
          <w:b w:val="false"/>
          <w:i w:val="false"/>
          <w:caps w:val="false"/>
          <w:smallCaps w:val="false"/>
          <w:sz w:val="20"/>
        </w:rPr>
        <w:t>one-year</w:t>
      </w:r>
      <w:r>
        <w:rPr>
          <w:rFonts w:ascii="Times New Roman;Times;serif" w:hAnsi="Times New Roman;Times;serif"/>
          <w:sz w:val="20"/>
        </w:rPr>
        <w:t xml:space="preserve"> warranty from the date of purchase on manufactured inventory. Product warranty costs are accrued when the covered homes are sold to customers. Product warranty expense is recognized based on the terms of the product warranty and the related estimated costs. Factors used to determine the warranty liability include the number of homes under warranty and the historical costs incurred in servicing the warranties. The accrued warranty liability is reduced as costs are incurred and the warranty liability balance is included as part of accrued liabilities in the Company’s balance sheet.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following table summarizes activity within the warranty liability for the three and nine months ended September 30, 2024 and 2023:</w:t>
      </w:r>
    </w:p>
    <w:p>
      <w:pPr>
        <w:pStyle w:val="TextBody"/>
        <w:bidi w:val="0"/>
        <w:spacing w:before="0" w:after="120"/>
        <w:ind w:left="0" w:right="0" w:firstLine="720"/>
        <w:jc w:val="left"/>
        <w:rPr/>
      </w:pPr>
      <w:r>
        <w:rPr/>
        <w:t>​</w:t>
      </w:r>
    </w:p>
    <w:tbl>
      <w:tblPr>
        <w:tblW w:w="9519" w:type="dxa"/>
        <w:jc w:val="left"/>
        <w:tblInd w:w="0" w:type="dxa"/>
        <w:tblLayout w:type="fixed"/>
        <w:tblCellMar>
          <w:top w:w="0" w:type="dxa"/>
          <w:left w:w="0" w:type="dxa"/>
          <w:bottom w:w="0" w:type="dxa"/>
          <w:right w:w="0" w:type="dxa"/>
        </w:tblCellMar>
      </w:tblPr>
      <w:tblGrid>
        <w:gridCol w:w="3616"/>
        <w:gridCol w:w="109"/>
        <w:gridCol w:w="299"/>
        <w:gridCol w:w="811"/>
        <w:gridCol w:w="463"/>
        <w:gridCol w:w="299"/>
        <w:gridCol w:w="811"/>
        <w:gridCol w:w="146"/>
        <w:gridCol w:w="326"/>
        <w:gridCol w:w="256"/>
        <w:gridCol w:w="839"/>
        <w:gridCol w:w="395"/>
        <w:gridCol w:w="256"/>
        <w:gridCol w:w="893"/>
      </w:tblGrid>
      <w:tr>
        <w:trPr/>
        <w:tc>
          <w:tcPr>
            <w:tcW w:w="3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296160" cy="175260"/>
                      <wp:effectExtent l="0" t="0" r="0" b="0"/>
                      <wp:wrapNone/>
                      <wp:docPr id="74" name="Frame74"/>
                      <a:graphic xmlns:a="http://schemas.openxmlformats.org/drawingml/2006/main">
                        <a:graphicData uri="http://schemas.microsoft.com/office/word/2010/wordprocessingShape">
                          <wps:wsp>
                            <wps:cNvSpPr txBox="1"/>
                            <wps:spPr>
                              <a:xfrm>
                                <a:off x="0" y="0"/>
                                <a:ext cx="2296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9215" cy="175260"/>
                      <wp:effectExtent l="0" t="0" r="0" b="0"/>
                      <wp:wrapNone/>
                      <wp:docPr id="75" name="Frame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89865" cy="175260"/>
                      <wp:effectExtent l="0" t="0" r="0" b="0"/>
                      <wp:wrapNone/>
                      <wp:docPr id="76" name="Frame76"/>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14985" cy="175260"/>
                      <wp:effectExtent l="0" t="0" r="0" b="0"/>
                      <wp:wrapNone/>
                      <wp:docPr id="77" name="Frame7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94005" cy="175260"/>
                      <wp:effectExtent l="0" t="0" r="0" b="0"/>
                      <wp:wrapNone/>
                      <wp:docPr id="78" name="Frame78"/>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89865" cy="175260"/>
                      <wp:effectExtent l="0" t="0" r="0" b="0"/>
                      <wp:wrapNone/>
                      <wp:docPr id="79" name="Frame79"/>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14985" cy="175260"/>
                      <wp:effectExtent l="0" t="0" r="0" b="0"/>
                      <wp:wrapNone/>
                      <wp:docPr id="80" name="Frame80"/>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92710" cy="175260"/>
                      <wp:effectExtent l="0" t="0" r="0" b="0"/>
                      <wp:wrapNone/>
                      <wp:docPr id="81" name="Frame8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2"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62560" cy="175260"/>
                      <wp:effectExtent l="0" t="0" r="0" b="0"/>
                      <wp:wrapNone/>
                      <wp:docPr id="83" name="Frame83"/>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32765" cy="175260"/>
                      <wp:effectExtent l="0" t="0" r="0" b="0"/>
                      <wp:wrapNone/>
                      <wp:docPr id="84" name="Frame84"/>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50825" cy="175260"/>
                      <wp:effectExtent l="0" t="0" r="0" b="0"/>
                      <wp:wrapNone/>
                      <wp:docPr id="85" name="Frame85"/>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62560" cy="175260"/>
                      <wp:effectExtent l="0" t="0" r="0" b="0"/>
                      <wp:wrapNone/>
                      <wp:docPr id="86" name="Frame86"/>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67055" cy="175260"/>
                      <wp:effectExtent l="0" t="0" r="0" b="0"/>
                      <wp:wrapNone/>
                      <wp:docPr id="87" name="Frame87"/>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14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left"/>
              <w:rPr/>
            </w:pPr>
            <w:r>
              <w:rPr/>
              <w:t>    </w:t>
            </w:r>
          </w:p>
        </w:tc>
        <w:tc>
          <w:tcPr>
            <w:tcW w:w="26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r>
      <w:tr>
        <w:trPr/>
        <w:tc>
          <w:tcPr>
            <w:tcW w:w="36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63" w:type="dxa"/>
            <w:tcBorders/>
            <w:vAlign w:val="center"/>
          </w:tcPr>
          <w:p>
            <w:pPr>
              <w:pStyle w:val="TableContents"/>
              <w:bidi w:val="0"/>
              <w:spacing w:before="0" w:after="0"/>
              <w:ind w:left="0" w:right="0" w:hanging="0"/>
              <w:jc w:val="left"/>
              <w:rPr/>
            </w:pPr>
            <w:r>
              <w:rPr/>
              <w:t>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5" w:type="dxa"/>
            <w:tcBorders/>
            <w:vAlign w:val="center"/>
          </w:tcPr>
          <w:p>
            <w:pPr>
              <w:pStyle w:val="TableContents"/>
              <w:bidi w:val="0"/>
              <w:spacing w:before="0" w:after="0"/>
              <w:ind w:left="0" w:right="0" w:hanging="0"/>
              <w:jc w:val="left"/>
              <w:rPr/>
            </w:pPr>
            <w:r>
              <w:rPr/>
              <w:t>    </w:t>
            </w:r>
          </w:p>
        </w:tc>
        <w:tc>
          <w:tcPr>
            <w:tcW w:w="11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liability, beginning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2,354</w:t>
            </w:r>
          </w:p>
        </w:tc>
        <w:tc>
          <w:tcPr>
            <w:tcW w:w="463"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2,829</w:t>
            </w:r>
          </w:p>
        </w:tc>
        <w:tc>
          <w:tcPr>
            <w:tcW w:w="1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2,910</w:t>
            </w:r>
          </w:p>
        </w:tc>
        <w:tc>
          <w:tcPr>
            <w:tcW w:w="395"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3,049</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warranty reserve accrued (released)</w:t>
            </w:r>
          </w:p>
        </w:tc>
        <w:tc>
          <w:tcPr>
            <w:tcW w:w="109"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w:t>
            </w:r>
          </w:p>
        </w:tc>
        <w:tc>
          <w:tcPr>
            <w:tcW w:w="463"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w:t>
            </w:r>
          </w:p>
        </w:tc>
        <w:tc>
          <w:tcPr>
            <w:tcW w:w="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w:t>
            </w:r>
          </w:p>
        </w:tc>
        <w:tc>
          <w:tcPr>
            <w:tcW w:w="395"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1,774</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costs incurred</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c>
          <w:tcPr>
            <w:tcW w:w="463"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w:t>
            </w:r>
          </w:p>
        </w:tc>
        <w:tc>
          <w:tcPr>
            <w:tcW w:w="1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w:t>
            </w:r>
          </w:p>
        </w:tc>
        <w:tc>
          <w:tcPr>
            <w:tcW w:w="395"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liability, end of period</w:t>
            </w:r>
          </w:p>
        </w:tc>
        <w:tc>
          <w:tcPr>
            <w:tcW w:w="109" w:type="dxa"/>
            <w:tcBorders/>
            <w:vAlign w:val="center"/>
          </w:tcPr>
          <w:p>
            <w:pPr>
              <w:pStyle w:val="TableContents"/>
              <w:bidi w:val="0"/>
              <w:spacing w:before="0" w:after="0"/>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2,167</w:t>
            </w:r>
          </w:p>
        </w:tc>
        <w:tc>
          <w:tcPr>
            <w:tcW w:w="463" w:type="dxa"/>
            <w:tcBorders/>
            <w:vAlign w:val="center"/>
          </w:tcPr>
          <w:p>
            <w:pPr>
              <w:pStyle w:val="TableContents"/>
              <w:bidi w:val="0"/>
              <w:spacing w:before="0" w:after="0"/>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2,799</w:t>
            </w:r>
          </w:p>
        </w:tc>
        <w:tc>
          <w:tcPr>
            <w:tcW w:w="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2,167</w:t>
            </w:r>
          </w:p>
        </w:tc>
        <w:tc>
          <w:tcPr>
            <w:tcW w:w="395" w:type="dxa"/>
            <w:tcBorders/>
            <w:vAlign w:val="center"/>
          </w:tcPr>
          <w:p>
            <w:pPr>
              <w:pStyle w:val="TableContents"/>
              <w:bidi w:val="0"/>
              <w:spacing w:before="0" w:after="0"/>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2,799</w:t>
            </w:r>
          </w:p>
        </w:tc>
      </w:tr>
    </w:tbl>
    <w:p>
      <w:pPr>
        <w:pStyle w:val="TextBody"/>
        <w:bidi w:val="0"/>
        <w:spacing w:before="0" w:after="120"/>
        <w:ind w:left="0" w:right="0" w:hanging="0"/>
        <w:jc w:val="left"/>
        <w:rPr/>
      </w:pPr>
      <w:r>
        <w:rPr/>
        <w:t>​</w:t>
      </w:r>
    </w:p>
    <w:p>
      <w:pPr>
        <w:pStyle w:val="TextBody"/>
        <w:bidi w:val="0"/>
        <w:spacing w:before="0" w:after="120"/>
        <w:ind w:left="0" w:right="0" w:firstLine="720"/>
        <w:jc w:val="left"/>
        <w:rPr/>
      </w:pPr>
      <w:r>
        <w:rPr/>
        <w:t>​</w:t>
      </w:r>
    </w:p>
    <w:p>
      <w:pPr>
        <w:pStyle w:val="TextBody"/>
        <w:bidi w:val="0"/>
        <w:spacing w:before="0" w:after="12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June 2016, the FASB issued ASU 2016 13 Financial Instruments—Credit Losses (Topic 326): Measurement of Credit Losses on Financial Instruments, which amends guidance on reporting credit losses for assets held at amortized cost basis and available for sale debt securities. For assets held at amortized cost basis, Topic 326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Topic 326 will require that credit losses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 presented as an allowance rather than as a write down and affects entities holding financial assets and net investment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 contractual right to receive cash. The Company used the longer phase in period for adoption, and accordingly this ASU became effective for the Company’s fiscal year beginning January 1, 2023. The adoption of ASU 2016-13 resulted in an increase in portfolio allowances of $900 at transition. The $900 was comprised of a $225 increase for MHP notes, a $187 increase for dealer financed contracts and a $488 increase for other notes receivable. The cumulative effect of the adoption was a net decrease of $698 to beginning retained earnings at January 1, 2023.</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December 2022, the FASB issued ASU 2022-06, Reference Rate Reform (Topic 848): Deferral of the Sunset Date of Topic 848. The amendments in this update extend the transition relief period for reference rate reform from December 31, 2022 to December 31, 2024. The amendments in ASU 2022-06 apply to all entities, subject to meeting certain criteria, that have contracts, hedging relationships, and other transactions that reference LIBOR or another reference rate expected to be discontinued because of reference rate reform. ASU 2022-06 was effective upon issuance. The new standard has had no material impact on the Company's financial statements.</w:t>
      </w:r>
    </w:p>
    <w:p>
      <w:pPr>
        <w:pStyle w:val="TextBody"/>
        <w:bidi w:val="0"/>
        <w:spacing w:before="0" w:after="2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November, 2023 the FASB issued ASU 2023-07, Segment Reporting (Topic 280): Improvements to Reportable Segment Disclosures (“ASU 2023-07”). ASU 2023-07 aims to improve reportable segment disclosure requirements, primarily through enhanced disclosures about significant segment expenses. ASU 2023-07 requires disclosure of significant segment expenses that are regularly provided to the chief operating decision maker and included within each reported measure of segment profit or loss. The update also requires disclosure regarding the chief operating decision maker and expands the interim segment disclosure requirements. ASU 2023-07 is effective for fiscal years beginning after December 15, 2023, and interim periods within fiscal years beginning after December 15, 2024, with early adoption permitted. We currently are evaluating the impact of ASU 2023-07 on our financial statements.</w:t>
      </w:r>
    </w:p>
    <w:p>
      <w:pPr>
        <w:pStyle w:val="TextBody"/>
        <w:bidi w:val="0"/>
        <w:spacing w:before="0" w:after="2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From time to time, new accounting pronouncements are issued by the FASB and other regulatory bodies that are adopted by the Company as of the specified effective dates. Unless otherwise discussed, management believes that the impact of recently issued standards, which are not yet effective, will not have a material impact on the Company’s financial statements upon adoption.</w:t>
      </w:r>
    </w:p>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2. REVENUE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Product sales primarily consist of sales of mobile homes to consumers and mobile home parks through various sales channels, which include Direct Sales, Commercial Sales, Inventory Finance Sales, and Retail Store Sales. Direct Sales include homes sold directly to independent retailers or customers that are not financed by the Company and are not sold under an inventory finance arrangement. These types of homes are generally paid for prior to shipment. Commercial Sales include homes sold to mobile home parks under commercial loan programs or paid for upfront. Inventory Finance Sales include sales of homes to independent retailers, or dealers, who then resell the homes to consumers. Retail Store Sales are homes sold through Company-owned retail locations. Inventory Finance Sales and Retail Store Sales of homes may be financed by the Company or a third party, or they may be paid in cash.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Revenue from product sales is recognized when the performance obligation under the terms of a contract with our customer is satisfied, which typically occurs upon delivery and transfer of title of the home, as this depicts when control of the promised good is transferred to our customers.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 inventory financed sales, the independent dealer enters into a financing arrangement with the Company and is required to make monthly interest payments. Interest income is recorded separately in the statement of income. For other financed sales by the Company, the individual customer enters into a sales and financing contract and is required to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bookmarkStart w:id="733" w:name="Tc_cgPxV1ac20WOXVaHc3BV0Q_9_15"/>
      <w:bookmarkStart w:id="734" w:name="Tc_VH3uAbOHrkOic8Szvgnxsg_9_13"/>
      <w:bookmarkStart w:id="735" w:name="Tc_A-StWxS3q0ebPurRyHtdYQ_9_12"/>
      <w:bookmarkStart w:id="736" w:name="Tc_sZkKx750SkG3akSKxInNYQ_9_10"/>
      <w:bookmarkStart w:id="737" w:name="Tc_nuYV7lDf00WHTHw9B1vFSQ_9_8"/>
      <w:bookmarkStart w:id="738" w:name="Tc_30iSnfhZT0uxxYqaK_HXzA_9_7"/>
      <w:bookmarkStart w:id="739" w:name="Tc_SiofonLQHUC8UPrwBJncJw_9_5"/>
      <w:bookmarkStart w:id="740" w:name="Tc_G-pdlcoJ3UecbKPh1kVpRQ_9_3"/>
      <w:bookmarkStart w:id="741" w:name="Tc_WN967LqImEeDUzM_wKG_zg_9_2"/>
      <w:bookmarkStart w:id="742" w:name="Tc_4zamlH8DKUiKh1pAVNtFZw_9_0"/>
      <w:bookmarkStart w:id="743" w:name="Tc_GsBacnk8zEe3znpRtU5lRw_8_20"/>
      <w:bookmarkStart w:id="744" w:name="Tc__M9WjUfBF0akXYY19gg0aQ_8_18"/>
      <w:bookmarkStart w:id="745" w:name="Tc_zwchilOt_0Sx1y0LPTVwvw_8_15"/>
      <w:bookmarkStart w:id="746" w:name="Tc_qr9JiyZ3f06AXSoaBKNhlg_8_13"/>
      <w:bookmarkStart w:id="747" w:name="Tc__jmgrnUo2kuXPS7ST25JPA_8_12"/>
      <w:bookmarkStart w:id="748" w:name="Tc_TZrUxoCP-EGP9Rf0KB5mQA_8_7"/>
      <w:bookmarkStart w:id="749" w:name="Tc_UwgV2KMjBUGjGH-zb8ntsA_8_5"/>
      <w:bookmarkStart w:id="750" w:name="Tc_paQWqXoCkkqcXS3BbvZg7g_8_3"/>
      <w:bookmarkStart w:id="751" w:name="Tc_lfIgOjWOkk64MwSd8hU_Yw_8_2"/>
      <w:bookmarkStart w:id="752" w:name="Tc_UJqL3ygiFUSsGqq0UfykVA_8_0"/>
      <w:bookmarkStart w:id="753" w:name="Tc_IrfLSgeq5kuMsQd0A2IpzQ_7_20"/>
      <w:bookmarkStart w:id="754" w:name="Tc_Zze43F3bZEW6mWjjdKSmsQ_7_18"/>
      <w:bookmarkStart w:id="755" w:name="Tc_R89Gzag3Q0O-AmMqzF4OfA_7_12"/>
      <w:bookmarkStart w:id="756" w:name="Tc_ImeFyJLX3kykoLg634QX3g_7_10"/>
      <w:bookmarkStart w:id="757" w:name="Tc_jV1jzVla-kKN5cds8kENwQ_7_8"/>
      <w:bookmarkStart w:id="758" w:name="Tc_GKRnHQMoAkmqY3xRezzRFA_7_7"/>
      <w:bookmarkStart w:id="759" w:name="Tc_5emsgga4uUCdXJcoMEggTA_7_5"/>
      <w:bookmarkStart w:id="760" w:name="Tc_YagYNRFMf026oiuLZ9EOsA_7_3"/>
      <w:bookmarkStart w:id="761" w:name="Tc_dnS5OM1nGUO6fV_zyUVhCw_7_2"/>
      <w:bookmarkStart w:id="762" w:name="Tc_OXZwFUQmJUWSEl3t3G4Nog_7_0"/>
      <w:bookmarkStart w:id="763" w:name="Tc_mMpBToZVNUSUHP750HAmHA_6_20"/>
      <w:bookmarkStart w:id="764" w:name="Tc_xv_LHRQ6oUOkR8QiuwobEw_6_18"/>
      <w:bookmarkStart w:id="765" w:name="Tc_Ei3uOn0KqkOxWQOOVCK9Sg_6_12"/>
      <w:bookmarkStart w:id="766" w:name="Tc_Qo47LCoI-k6B44J0P-GlOQ_6_10"/>
      <w:bookmarkStart w:id="767" w:name="Tc_TkyZ0nZJeUSF8vBwVNldlQ_6_8"/>
      <w:bookmarkStart w:id="768" w:name="Tc_CLFF4otXckGAS6Xw_NSYew_6_7"/>
      <w:bookmarkStart w:id="769" w:name="Tc_U5aowsMl-E-bzAx1elJsnA_6_2"/>
      <w:bookmarkStart w:id="770" w:name="Tc_8j0SI6v2_06zU_JlwOEhfA_6_0"/>
      <w:bookmarkStart w:id="771" w:name="Tc_qS9eJ_aHPkir7zQKNeMLJQ_5_20"/>
      <w:bookmarkStart w:id="772" w:name="Tc_7xJUCG98l0aplePdfWoDjA_5_17"/>
      <w:bookmarkStart w:id="773" w:name="Tc_UVJUj6uYqEiCm9Y0uDaJMA_5_15"/>
      <w:bookmarkStart w:id="774" w:name="Tc_K3g4e0Ix3UGCY5FSnMa6KA_5_12"/>
      <w:bookmarkStart w:id="775" w:name="Tc_vtbxaCqthUWQnCbUZhS9rg_5_10"/>
      <w:bookmarkStart w:id="776" w:name="Tc_pvkvTa82ikatALGsXGzALg_5_7"/>
      <w:bookmarkStart w:id="777" w:name="Tc_HEIP_Int0EejOXCFS8T7KA_5_5"/>
      <w:bookmarkStart w:id="778" w:name="Tc_Q3QF9QFQCky5gpJZwTButg_5_2"/>
      <w:bookmarkStart w:id="779" w:name="Tc_avRyuO3qy02USTn810Eptw_4_20"/>
      <w:bookmarkStart w:id="780" w:name="Tc_Ohu98myCE0miT-soZTYxhg_4_15"/>
      <w:bookmarkStart w:id="781" w:name="Tc_0ovCkESPXk6mtBex4GOTaw_4_10"/>
      <w:bookmarkStart w:id="782" w:name="Tc_pjdXmkk7Ikihbok2_ApQgw_4_5"/>
      <w:bookmarkStart w:id="783" w:name="Tc_2CFkqU55D0ytW_rrqvwvmQ_3_20"/>
      <w:bookmarkStart w:id="784" w:name="Tc_0wLl3ywr5kqQnhd_GO3vDA_3_15"/>
      <w:bookmarkStart w:id="785" w:name="Tc_RB6Sb_v350KCNzYoQcizjg_3_10"/>
      <w:bookmarkStart w:id="786" w:name="Tc_qMM-cS4lnEy7Rt0pF8NlsQ_3_5"/>
      <w:bookmarkStart w:id="787" w:name="Tc_vi5K9KxBRkW1BpDTpIucpg_2_17"/>
      <w:bookmarkStart w:id="788" w:name="Tc_Z1T--E9aME-ltsPmiiDzrg_2_12"/>
      <w:bookmarkStart w:id="789" w:name="Tc_6VTqButWjkOiRtFdBhZOcQ_2_7"/>
      <w:bookmarkStart w:id="790" w:name="Tc_w8oi568uK0aZzgo3kciMNQ_2_2"/>
      <w:bookmarkStart w:id="791" w:name="Tc_5Pn3oqaqK06Y-KM2gteGiw_1_12"/>
      <w:bookmarkStart w:id="792" w:name="Tc_kbb_QyGyG0SUJe_mwbaLVw_1_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r>
        <w:rPr>
          <w:rFonts w:ascii="Times New Roman;Times;serif" w:hAnsi="Times New Roman;Times;serif"/>
          <w:sz w:val="20"/>
        </w:rPr>
        <w:t xml:space="preserve">make a down payment. These financed sales contain a significant financing component and any interest income is recorded separately in the statement of income.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Revenue is measured as the amount of consideration expected to be received in exchange for transferring the homes to the customers. Sales and other similar taxes collected concurrently with revenue-producing activities are excluded from revenue. </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The Company made an accounting policy election to account for any shipping and handling costs that occur after the transfer of control as a fulfillment cost that is accrued when control is transferred. Warranty obligations associated with the sale of a unit are assurance-type warranties for a period of twelve months that are a guarantee of the home’s intended functionality and, therefore, do not represent a distinct performance obligation within the context of the contract. The Company has elected to use the practical expedient to expense the incremental costs of obtaining a contract if the amortization period of the asset that the Company would have otherwise recognized is one year or less. Contract costs, which include commissions incurred related to the sale of homes, are expensed at the point-in-time when the related revenue is recognized. Warranty costs and contract costs are included in selling, general and administrative expenses in the statements of income. Warranty and contract costs were $474 and $666 for the three months ended September 30, 2024 and 2023, respectively, and $1,287 and $2,024 for the nine months ended September 30, 2024 and 2023, respectively.</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September 30, 2024 and 2023, total cost of product sales included $1,450 and $3,285 of costs relating to </w:t>
      </w:r>
      <w:r>
        <w:rPr>
          <w:rFonts w:ascii="Times New Roman;Times;serif" w:hAnsi="Times New Roman;Times;serif"/>
          <w:color w:val="222222"/>
          <w:sz w:val="20"/>
          <w:shd w:fill="FFFFFF" w:val="clear"/>
        </w:rPr>
        <w:t xml:space="preserve">subcontracted production for commercial sales, transportation and delivery costs, and certain other costs incurred for retail store and commercial sales. </w:t>
      </w:r>
      <w:r>
        <w:rPr>
          <w:rFonts w:ascii="Times New Roman;Times;serif" w:hAnsi="Times New Roman;Times;serif"/>
          <w:sz w:val="20"/>
        </w:rPr>
        <w:t xml:space="preserve">For the nine months ended September 30, 2024 and 2023, total cost of product sales included $4,198 and $9,857 of costs relating to </w:t>
      </w:r>
      <w:r>
        <w:rPr>
          <w:rFonts w:ascii="Times New Roman;Times;serif" w:hAnsi="Times New Roman;Times;serif"/>
          <w:color w:val="222222"/>
          <w:sz w:val="20"/>
          <w:shd w:fill="FFFFFF" w:val="clear"/>
        </w:rPr>
        <w:t>subcontracted production for commercial sales, transportation and delivery costs, and certain other costs incurred for retail store and commercial sales.</w:t>
      </w:r>
      <w:r>
        <w:rPr>
          <w:rFonts w:ascii="Times New Roman;Times;serif" w:hAnsi="Times New Roman;Times;serif"/>
          <w:sz w:val="20"/>
        </w:rPr>
        <w:t xml:space="preserve"> </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Other revenue consists of contract deposit forfeitures, consignment fees, commercial lease rents, land sales, service fees and other miscellaneous income. Consignment fees are charged to independent retailers on a monthly basis for homes held by the independent retailers pursuant to a consignment arrangement until the home is sold to an individual customer. Consignment fees are determined as a percentage of the home’s wholesale price to the independent dealer. Revenue recognition for consignment fees is recognized over time using the output method as it provides a faithful depiction of the Company’s performance toward completion of the performance obligation under the contract and the value transferred to the independent retailer for the time the home is held under consignment. Revenue for commercial leases is recognized as earned monthly over a contractual period of 96 or 120 months. Revenue for service fees and miscellaneous income is recognized at a point in time when the performance obligation is satisfied.</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Sales Concentration. The following table presents mobile home park (“MHP”) sales to independent third parties and their affiliates that are greater than 5.0% of our total product sales for the three and nine months ended September 30, 2024 and 2023:</w:t>
      </w:r>
    </w:p>
    <w:p>
      <w:pPr>
        <w:pStyle w:val="TextBody"/>
        <w:bidi w:val="0"/>
        <w:spacing w:before="0" w:after="0"/>
        <w:ind w:left="0" w:right="0" w:hanging="0"/>
        <w:jc w:val="left"/>
        <w:rPr/>
      </w:pPr>
      <w:r>
        <w:rPr/>
        <w:t>​</w:t>
      </w:r>
    </w:p>
    <w:tbl>
      <w:tblPr>
        <w:tblW w:w="8761" w:type="dxa"/>
        <w:jc w:val="left"/>
        <w:tblInd w:w="0" w:type="dxa"/>
        <w:tblLayout w:type="fixed"/>
        <w:tblCellMar>
          <w:top w:w="0" w:type="dxa"/>
          <w:left w:w="0" w:type="dxa"/>
          <w:bottom w:w="0" w:type="dxa"/>
          <w:right w:w="0" w:type="dxa"/>
        </w:tblCellMar>
      </w:tblPr>
      <w:tblGrid>
        <w:gridCol w:w="1081"/>
        <w:gridCol w:w="109"/>
        <w:gridCol w:w="211"/>
        <w:gridCol w:w="571"/>
        <w:gridCol w:w="326"/>
        <w:gridCol w:w="691"/>
        <w:gridCol w:w="109"/>
        <w:gridCol w:w="211"/>
        <w:gridCol w:w="571"/>
        <w:gridCol w:w="326"/>
        <w:gridCol w:w="691"/>
        <w:gridCol w:w="109"/>
        <w:gridCol w:w="211"/>
        <w:gridCol w:w="571"/>
        <w:gridCol w:w="326"/>
        <w:gridCol w:w="691"/>
        <w:gridCol w:w="109"/>
        <w:gridCol w:w="109"/>
        <w:gridCol w:w="676"/>
        <w:gridCol w:w="326"/>
        <w:gridCol w:w="736"/>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86435" cy="175260"/>
                      <wp:effectExtent l="0" t="0" r="0" b="0"/>
                      <wp:wrapNone/>
                      <wp:docPr id="88" name="Frame8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9215" cy="175260"/>
                      <wp:effectExtent l="0" t="0" r="0" b="0"/>
                      <wp:wrapNone/>
                      <wp:docPr id="89" name="Frame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362585" cy="175260"/>
                      <wp:effectExtent l="0" t="0" r="0" b="0"/>
                      <wp:wrapNone/>
                      <wp:docPr id="91" name="Frame9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38785" cy="175260"/>
                      <wp:effectExtent l="0" t="0" r="0" b="0"/>
                      <wp:wrapNone/>
                      <wp:docPr id="93" name="Frame9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9215" cy="175260"/>
                      <wp:effectExtent l="0" t="0" r="0" b="0"/>
                      <wp:wrapNone/>
                      <wp:docPr id="94" name="Frame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362585" cy="175260"/>
                      <wp:effectExtent l="0" t="0" r="0" b="0"/>
                      <wp:wrapNone/>
                      <wp:docPr id="96" name="Frame9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38785" cy="175260"/>
                      <wp:effectExtent l="0" t="0" r="0" b="0"/>
                      <wp:wrapNone/>
                      <wp:docPr id="98" name="Frame9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9215" cy="175260"/>
                      <wp:effectExtent l="0" t="0" r="0" b="0"/>
                      <wp:wrapNone/>
                      <wp:docPr id="99" name="Frame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100"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362585" cy="175260"/>
                      <wp:effectExtent l="0" t="0" r="0" b="0"/>
                      <wp:wrapNone/>
                      <wp:docPr id="101" name="Frame10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38785" cy="175260"/>
                      <wp:effectExtent l="0" t="0" r="0" b="0"/>
                      <wp:wrapNone/>
                      <wp:docPr id="103" name="Frame10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9215" cy="175260"/>
                      <wp:effectExtent l="0" t="0" r="0" b="0"/>
                      <wp:wrapNone/>
                      <wp:docPr id="104" name="Frame1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9215" cy="175260"/>
                      <wp:effectExtent l="0" t="0" r="0" b="0"/>
                      <wp:wrapNone/>
                      <wp:docPr id="105" name="Frame1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29260" cy="175260"/>
                      <wp:effectExtent l="0" t="0" r="0" b="0"/>
                      <wp:wrapNone/>
                      <wp:docPr id="106" name="Frame10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7"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67360" cy="175260"/>
                      <wp:effectExtent l="0" t="0" r="0" b="0"/>
                      <wp:wrapNone/>
                      <wp:docPr id="108" name="Frame10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707" w:type="dxa"/>
            <w:gridSpan w:val="9"/>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109" w:type="dxa"/>
            <w:tcBorders/>
            <w:vAlign w:val="center"/>
          </w:tcPr>
          <w:p>
            <w:pPr>
              <w:pStyle w:val="TableContents"/>
              <w:bidi w:val="0"/>
              <w:spacing w:before="0" w:after="1"/>
              <w:ind w:left="0" w:right="0" w:hanging="0"/>
              <w:jc w:val="left"/>
              <w:rPr/>
            </w:pPr>
            <w:r>
              <w:rPr/>
              <w:t>​</w:t>
            </w:r>
          </w:p>
        </w:tc>
        <w:tc>
          <w:tcPr>
            <w:tcW w:w="3755" w:type="dxa"/>
            <w:gridSpan w:val="9"/>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r>
      <w:tr>
        <w:trPr/>
        <w:tc>
          <w:tcPr>
            <w:tcW w:w="10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9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179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179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1847"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0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w:t>
            </w:r>
          </w:p>
        </w:tc>
      </w:tr>
      <w:tr>
        <w:trPr/>
        <w:tc>
          <w:tcPr>
            <w:tcW w:w="10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Product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Product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Product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Product</w:t>
            </w:r>
          </w:p>
        </w:tc>
      </w:tr>
      <w:tr>
        <w:trPr/>
        <w:tc>
          <w:tcPr>
            <w:tcW w:w="10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2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2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2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109" w:type="dxa"/>
            <w:tcBorders/>
            <w:vAlign w:val="center"/>
          </w:tcPr>
          <w:p>
            <w:pPr>
              <w:pStyle w:val="TableContents"/>
              <w:bidi w:val="0"/>
              <w:spacing w:before="0" w:after="1"/>
              <w:ind w:left="0" w:right="0" w:hanging="0"/>
              <w:jc w:val="left"/>
              <w:rPr/>
            </w:pPr>
            <w:r>
              <w:rPr/>
              <w:t>​</w:t>
            </w:r>
          </w:p>
        </w:tc>
        <w:tc>
          <w:tcPr>
            <w:tcW w:w="7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26" w:type="dxa"/>
            <w:tcBorders/>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Sales</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1,628</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5,212</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5,450</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C</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3,202</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D</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10,135</w:t>
            </w:r>
          </w:p>
        </w:tc>
        <w:tc>
          <w:tcPr>
            <w:tcW w:w="32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8.8</w:t>
            </w:r>
          </w:p>
        </w:tc>
      </w:tr>
    </w:tbl>
    <w:p>
      <w:pPr>
        <w:pStyle w:val="TextBody"/>
        <w:bidi w:val="0"/>
        <w:spacing w:before="0" w:after="200"/>
        <w:ind w:left="0" w:right="0" w:firstLine="720"/>
        <w:jc w:val="left"/>
        <w:rPr/>
      </w:pPr>
      <w:r>
        <w:rPr/>
        <w:t>​</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No other MHP customer accounted for more than 5.0% of our total product sales.</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firstLine="720"/>
        <w:jc w:val="left"/>
        <w:rPr/>
      </w:pPr>
      <w:bookmarkStart w:id="793" w:name="Tc_ZGkWxKMFeUq-hGIiR97lag_17_11"/>
      <w:bookmarkStart w:id="794" w:name="Tc_ruzp8DzvN0OupYFwaTJsrQ_17_8"/>
      <w:bookmarkStart w:id="795" w:name="Tc_0_o0SMq9Y0OjA2A5n5xDkA_17_5"/>
      <w:bookmarkStart w:id="796" w:name="Tc_v8jcHFDz9E-UK8tqCDs0OQ_17_2"/>
      <w:bookmarkStart w:id="797" w:name="Tc__xFj5JN9DU-Il9fyZiurTw_17_0"/>
      <w:bookmarkStart w:id="798" w:name="Tc_letb2YGRUEG-NsT7tfd0ew_16_0"/>
      <w:bookmarkStart w:id="799" w:name="Tc_HVcNzlzrU0WZT4Z7S6P1MQ_15_0"/>
      <w:bookmarkStart w:id="800" w:name="Tc_SPT1kHStp0uj9JN4gJ-W_A_14_12"/>
      <w:bookmarkStart w:id="801" w:name="Tc_DRK2kOveHUiz1_Hd1SVnJw_14_6"/>
      <w:bookmarkStart w:id="802" w:name="Tc_3oc8_4AjEU6LTMPYQ5I11w_14_0"/>
      <w:bookmarkStart w:id="803" w:name="Tc_EcSzcbNwrkidQMuIihkRNQ_13_0"/>
      <w:bookmarkStart w:id="804" w:name="Tc_H6tLeBYqQUuihQWZLeS8iw_12_0"/>
      <w:bookmarkStart w:id="805" w:name="Tc_7Y__5tsG2UOEcsxkStYobA_11_0"/>
      <w:bookmarkStart w:id="806" w:name="Tc_4cUzlsGXRki056sy-LWW_g_10_0"/>
      <w:bookmarkStart w:id="807" w:name="Tc_MKQ3Vlr_pE294JNKhDuSxQ_9_0"/>
      <w:bookmarkStart w:id="808" w:name="Tc_36NzEY9O6E6lFWh9wyW97w_8_0"/>
      <w:bookmarkStart w:id="809" w:name="Tc_sFcNNavdSUi6hNqzqJLUZw_7_0"/>
      <w:bookmarkStart w:id="810" w:name="Tc_3FTT9kV4R0uxWkl2nTQwwQ_6_0"/>
      <w:bookmarkStart w:id="811" w:name="Tc_MBbP6d-KNEemgGHmqBr5yA_5_11"/>
      <w:bookmarkStart w:id="812" w:name="Tc_ToAiRRbd5kGawKuGaLnBpg_5_8"/>
      <w:bookmarkStart w:id="813" w:name="Tc_8tB4AuJv3U6Dh6gTQKOVcw_5_5"/>
      <w:bookmarkStart w:id="814" w:name="Tc_nzwxnZLxaEGLHaiDdRkvpg_5_2"/>
      <w:bookmarkStart w:id="815" w:name="Tc_DUZgdMjktUGkaklJmb5JLQ_5_0"/>
      <w:bookmarkStart w:id="816" w:name="Tc_rBrUgga7AUKG-KpH-Yepdw_4_0"/>
      <w:bookmarkStart w:id="817" w:name="Tc_kv4p671kl02Irnr_FbDkrg_3_11"/>
      <w:bookmarkStart w:id="818" w:name="Tc_EDJxyfC-MkydvTGTb6_5KA_3_8"/>
      <w:bookmarkStart w:id="819" w:name="Tc_dKKFJFJkC0CXqM3E4Vx2wg_3_5"/>
      <w:bookmarkStart w:id="820" w:name="Tc_Pw-NE7ixvUS6EeH1RfF6qQ_3_2"/>
      <w:bookmarkStart w:id="821" w:name="Tc_qvsHVFPJy0CXYxKMQa8t1Q_2_8"/>
      <w:bookmarkStart w:id="822" w:name="Tc_Xa35vmaIdk62N7uDGqUEPw_2_2"/>
      <w:bookmarkStart w:id="823" w:name="Tc_r0JpOJ0l5k6JCLScfRFd0w_1_8"/>
      <w:bookmarkStart w:id="824" w:name="Tc__kqbYwXCvk-mWPFrBuGmAg_1_2"/>
      <w:bookmarkStart w:id="825" w:name="_ded46cf4_4195_4e2e_853a_24a715dba9c7"/>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Disaggregation of Revenue. The following table summarizes customer contract revenues disaggregated by the source of the revenue for the three and nine months ended September 30, 2024 and 2023:</w:t>
      </w:r>
    </w:p>
    <w:p>
      <w:pPr>
        <w:pStyle w:val="TextBody"/>
        <w:bidi w:val="0"/>
        <w:spacing w:before="0" w:after="0"/>
        <w:ind w:left="0" w:right="0" w:hanging="0"/>
        <w:jc w:val="left"/>
        <w:rPr/>
      </w:pPr>
      <w:r>
        <w:rPr/>
        <w:t>​</w:t>
      </w:r>
    </w:p>
    <w:tbl>
      <w:tblPr>
        <w:tblW w:w="8646" w:type="dxa"/>
        <w:jc w:val="left"/>
        <w:tblInd w:w="0" w:type="dxa"/>
        <w:tblLayout w:type="fixed"/>
        <w:tblCellMar>
          <w:top w:w="0" w:type="dxa"/>
          <w:left w:w="0" w:type="dxa"/>
          <w:bottom w:w="0" w:type="dxa"/>
          <w:right w:w="0" w:type="dxa"/>
        </w:tblCellMar>
      </w:tblPr>
      <w:tblGrid>
        <w:gridCol w:w="3901"/>
        <w:gridCol w:w="109"/>
        <w:gridCol w:w="211"/>
        <w:gridCol w:w="676"/>
        <w:gridCol w:w="326"/>
        <w:gridCol w:w="211"/>
        <w:gridCol w:w="676"/>
        <w:gridCol w:w="109"/>
        <w:gridCol w:w="211"/>
        <w:gridCol w:w="781"/>
        <w:gridCol w:w="326"/>
        <w:gridCol w:w="211"/>
        <w:gridCol w:w="898"/>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477135" cy="175260"/>
                      <wp:effectExtent l="0" t="0" r="0" b="0"/>
                      <wp:wrapNone/>
                      <wp:docPr id="109" name="Frame109"/>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215" cy="175260"/>
                      <wp:effectExtent l="0" t="0" r="0" b="0"/>
                      <wp:wrapNone/>
                      <wp:docPr id="110" name="Frame1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3985" cy="175260"/>
                      <wp:effectExtent l="0" t="0" r="0" b="0"/>
                      <wp:wrapNone/>
                      <wp:docPr id="111" name="Frame1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29260" cy="175260"/>
                      <wp:effectExtent l="0" t="0" r="0" b="0"/>
                      <wp:wrapNone/>
                      <wp:docPr id="112" name="Frame11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29260" cy="175260"/>
                      <wp:effectExtent l="0" t="0" r="0" b="0"/>
                      <wp:wrapNone/>
                      <wp:docPr id="115" name="Frame11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9215" cy="175260"/>
                      <wp:effectExtent l="0" t="0" r="0" b="0"/>
                      <wp:wrapNone/>
                      <wp:docPr id="116" name="Frame1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3985" cy="175260"/>
                      <wp:effectExtent l="0" t="0" r="0" b="0"/>
                      <wp:wrapNone/>
                      <wp:docPr id="117" name="Frame1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95935" cy="175260"/>
                      <wp:effectExtent l="0" t="0" r="0" b="0"/>
                      <wp:wrapNone/>
                      <wp:docPr id="118" name="Frame11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 cy="175260"/>
                      <wp:effectExtent l="0" t="0" r="0" b="0"/>
                      <wp:wrapNone/>
                      <wp:docPr id="120"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70230" cy="175260"/>
                      <wp:effectExtent l="0" t="0" r="0" b="0"/>
                      <wp:wrapNone/>
                      <wp:docPr id="121" name="Frame121"/>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0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1"/>
              <w:ind w:left="0" w:right="0" w:hanging="0"/>
              <w:jc w:val="left"/>
              <w:rPr/>
            </w:pPr>
            <w:r>
              <w:rPr/>
              <w:t>​</w:t>
            </w:r>
          </w:p>
        </w:tc>
        <w:tc>
          <w:tcPr>
            <w:tcW w:w="2427"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3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109" w:type="dxa"/>
            <w:tcBorders/>
            <w:vAlign w:val="center"/>
          </w:tcPr>
          <w:p>
            <w:pPr>
              <w:pStyle w:val="TableContents"/>
              <w:bidi w:val="0"/>
              <w:spacing w:before="0" w:after="1"/>
              <w:ind w:left="0" w:right="0" w:hanging="0"/>
              <w:jc w:val="left"/>
              <w:rPr/>
            </w:pPr>
            <w:r>
              <w:rPr/>
              <w:t>​</w:t>
            </w:r>
          </w:p>
        </w:tc>
        <w:tc>
          <w:tcPr>
            <w:tcW w:w="242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3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1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left"/>
              <w:rPr/>
            </w:pPr>
            <w:r>
              <w:rPr/>
              <w:t>​</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 sales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7,242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13,762</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sales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14,089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37,359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45,547</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 finance sales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7,775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12,494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25,393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41,785</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Retail store sales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5,455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14,951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13,703</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product sales (1)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7,708</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product sales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30,169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37,008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92,653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122,505</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Consumer, MHP and dealer loans interest: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pPr>
            <w:r>
              <w:rPr/>
              <w:t>  </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 consumer installment notes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15,535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14,372</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 MHP notes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12,841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10,624</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 dealer finance notes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consumer, MHP and dealer loans interest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10,330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8,803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30,807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24,996</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6,544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7,929</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net revenue</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44,266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49,937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130,004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155,430</w:t>
            </w:r>
          </w:p>
        </w:tc>
      </w:tr>
    </w:tbl>
    <w:tbl>
      <w:tblPr>
        <w:tblW w:w="9231" w:type="dxa"/>
        <w:jc w:val="left"/>
        <w:tblInd w:w="0" w:type="dxa"/>
        <w:tblLayout w:type="fixed"/>
        <w:tblCellMar>
          <w:top w:w="28" w:type="dxa"/>
          <w:left w:w="28" w:type="dxa"/>
          <w:bottom w:w="28" w:type="dxa"/>
          <w:right w:w="28" w:type="dxa"/>
        </w:tblCellMar>
      </w:tblPr>
      <w:tblGrid>
        <w:gridCol w:w="124"/>
        <w:gridCol w:w="331"/>
        <w:gridCol w:w="877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product sales revenue from ancillary products and services including parts, freight and other services</w:t>
            </w:r>
          </w:p>
        </w:tc>
      </w:tr>
    </w:tbl>
    <w:p>
      <w:pPr>
        <w:pStyle w:val="TextBody"/>
        <w:bidi w:val="0"/>
        <w:spacing w:before="0" w:after="200"/>
        <w:ind w:left="0" w:right="0" w:firstLine="72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826" w:name="Narr_DxrTBZG_nkigfSnCmo0yPg"/>
      <w:bookmarkStart w:id="827" w:name="Narr_aTNv9xEX1EO0xu1mY_jRmw"/>
      <w:bookmarkEnd w:id="826"/>
      <w:bookmarkEnd w:id="827"/>
      <w:r>
        <w:rPr>
          <w:rFonts w:ascii="Times New Roman;Times;serif" w:hAnsi="Times New Roman;Times;serif"/>
          <w:b/>
          <w:sz w:val="20"/>
        </w:rPr>
        <w:t>3. CONSUMER LOANS RECEIVABLE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Consumer loans receivable result from financing transactions entered into with retail consumers of mobile homes sold through independent retailers and company-owned retail locations. Consumer loans receivable generally consist of the sales price and any additional financing fees, less the buyer’s down payment. Interest income is recognized monthly per the terms of the financing agreements. The average contractual interest rate per loan was approximately 13.1% and 13.2% as of September 30, 2024 and December 31, 2023, respectively. Consumer loans receivable have maturities that range from 2 to 30 years.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reviews loan applications in an underwriting process which considers credit history, among other things, to evaluate credit risk of the consumer and determines interest rates on approved loans based on consumer credit score, payment ability and down payment amount.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uses payment history to monitor the credit quality of the consumer loans on an ongoing basis.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may also receive escrow payments for property taxes and insurance included in its consumer loan collections. The liabilities associated with these escrow collections totaled $12,700 and $10,104 as of September 30, 2024 and December 31, 2023, respectively, and are included in escrow liability in the accompanying balance sheets.</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i/>
          <w:sz w:val="20"/>
        </w:rPr>
      </w:pPr>
      <w:r>
        <w:rPr>
          <w:rFonts w:ascii="Times New Roman;Times;serif" w:hAnsi="Times New Roman;Times;serif"/>
          <w:i/>
          <w:sz w:val="20"/>
        </w:rPr>
        <w:t>Allowance for Loan Losses—Consumer Loans Receivable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allowance for loan losses reflects management’s estimate of losses inherent in the consumer loans that may be uncollectible based upon review and evaluation of the consumer loan portfolio as of the date of the balance sheet. An allowance for loan losses is determined after giving consideration to, among other things, the loan characteristics, including the financial condition of borrowers, the value and liquidity of collateral, delinquency and historical loss experience.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allowance for loan losses is comprised of two components: the general reserve and specific reserves. The Company’s calculation of the general reserve considers the historical loan default rates and collateral recovery rates for the last three years and any qualitative factors both internal and external to the Company. Specific reserves are determined based on probable losses on specific classified impaired loans.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Company’s policy is to place a loan on nonaccrual status when there is a clear indication that the borrower’s cash flow may not be sufficient to meet payments as they become due, which generally is when either principal or interest is past due and remains unpaid for more than 90 days. Management implemented this policy based on an analysis of historical data, current performance of loans and the likelihood of recovery once principal or interest payments became delinquent and were aged more than 90 days. Payments received on nonaccrual loans are accounted for on a cash basis, first to interest and then to principal, as long as the remaining book balance of the asset is deemed to be collectible. The accrual of interest resumes when the past due principal or interest payments are brought within 90 days of being current.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Impaired loans are those loans for which it is probable that the Company will be unable to collect all amounts due in accordance with the original contractual terms of the loan agreement, including scheduled principal and interest payments. Impaired loans, or portions thereof, are charged off when deemed uncollectible. A loan is generally deemed impaired if it is more than 90 days past due on principal or interest, is in bankruptcy proceedings, or is in the process of repossession. A specific reserve is created for impaired loans based on fair value of underlying collateral value, less estimated selling costs. The Company uses various factors to determine the value of the underlying collateral for impaired loans. These factors include: (1) the length of time the unit remained unsold after construction; (2) the amount of time the house was occupied; (3) the cooperation level of the borrowers (for example, loans requiring legal action or extensive field collection efforts may have a reduced value); (4) the physical location of the home; (5) the length of time the borrower has lived in the house without making payments; (6) the size of the home and market conditions; and (7) the experience and expertise of the particular dealer assisting in collection efforts.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Collateral for repossessed loans is acquired through foreclosure or similar proceedings and is recorded at the estimated fair value of the home, less the costs to sell. At repossession, the collateral is recorded at the same amount as the principal balance as the loan. The fair value of the collateral is then computed based on the historical recovery rates of previously charged off loans, the loan is charged off and the loss is charged to the allowance for loan losses. At each reporting period, the fair value of the collateral is adjusted to the lower of the amount recorded at repossession or the estimated sales price less estimated costs to sell, based on current information. Repossessed homes from the consumer loan portfolio totaled $3,986 and $2,215 as of September 30, 2024 and December 31, 2023, respectively, and are included in other assets in the accompanying balance sheets.</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bookmarkStart w:id="828" w:name="Tc_G1PCozvRuEupvH5l2xVdpQ_9_7"/>
      <w:bookmarkStart w:id="829" w:name="Tc_FrypiTSurEOWb0-m7WAj1A_9_2"/>
      <w:bookmarkStart w:id="830" w:name="Tc_9AjXvDvV60arNkX0igVEwQ_9_0"/>
      <w:bookmarkStart w:id="831" w:name="Tc_B9K55u6LxUOSd_vWMq5rEg_8_0"/>
      <w:bookmarkStart w:id="832" w:name="Tc_vqbkk4y1hU-rZm-wkjpOdA_7_0"/>
      <w:bookmarkStart w:id="833" w:name="Tc_MKVhtln0ykOywfuZ8v3gdA_6_0"/>
      <w:bookmarkStart w:id="834" w:name="Tc_ygFw4-yiCUmJfr4vOugEAQ_5_7"/>
      <w:bookmarkStart w:id="835" w:name="Tc_qgYibXbZAUeJe6y3R-Ii2w_5_2"/>
      <w:bookmarkStart w:id="836" w:name="Tc_SzNcssUsnUu2u-1yDACXCw_5_0"/>
      <w:bookmarkStart w:id="837" w:name="Tc___AFwjvmvE6jq3KPg02PLw_4_0"/>
      <w:bookmarkStart w:id="838" w:name="Tc_djuNNTtiS0-4T71V54zHqQ_3_7"/>
      <w:bookmarkStart w:id="839" w:name="Tc_IZ0ik8d6KECUVQO3q7Xfjw_3_2"/>
      <w:bookmarkStart w:id="840" w:name="Tc_pxEllCjAokavY0Mve3Q1Lw_3_0"/>
      <w:bookmarkStart w:id="841" w:name="Tc_Qqqd_JmV5ECQgNr_tYOTtQ_2_10"/>
      <w:bookmarkStart w:id="842" w:name="Tc_7Vw73fYf7ECU3yIENRdUwA_2_7"/>
      <w:bookmarkStart w:id="843" w:name="Tc_rRxWWPsU5UKjc6MSeXP01Q_2_5"/>
      <w:bookmarkStart w:id="844" w:name="Tc_HL0ML5aJQ0W3hTUudVRWTg_2_2"/>
      <w:bookmarkStart w:id="845" w:name="Tc_wamuFHU2w0uDAlIo473kxA_1_7"/>
      <w:bookmarkStart w:id="846" w:name="Tc_hAFW880inE2vk2BjsFxN2A_1_2"/>
      <w:bookmarkStart w:id="847" w:name="Tc_gJ_Bi-70F06DK1DXquw8wA_8_5"/>
      <w:bookmarkStart w:id="848" w:name="Tc_YUDeU_lpz06AyHvB8Pl8jw_8_2"/>
      <w:bookmarkStart w:id="849" w:name="Tc_wDh7ou-lJUe6n2dRcsDwfQ_8_0"/>
      <w:bookmarkStart w:id="850" w:name="Tc_Rhl4Iaa02k2gOpbEhACqkg_7_5"/>
      <w:bookmarkStart w:id="851" w:name="Tc_vMGnn1GDMEKolIi9l3f5Kw_7_2"/>
      <w:bookmarkStart w:id="852" w:name="Tc_rODz2v45zUiFOpad5RKu_A_7_0"/>
      <w:bookmarkStart w:id="853" w:name="Tc_IBhtlvkO10Cp4PmTmS5R5w_6_5"/>
      <w:bookmarkStart w:id="854" w:name="Tc_khLurQzg-kG6vR7ueQGprQ_6_2"/>
      <w:bookmarkStart w:id="855" w:name="Tc_OhTCM2hjMUafq2EyViQvhg_6_0"/>
      <w:bookmarkStart w:id="856" w:name="Tc_u6XX1_maHEGLpTyVXwaYhA_5_5"/>
      <w:bookmarkStart w:id="857" w:name="Tc_4sauB3Gkpkejq7radWM-OA_5_2"/>
      <w:bookmarkStart w:id="858" w:name="Tc_yAj00C5DnUmPkW64DyiZqQ_5_0"/>
      <w:bookmarkStart w:id="859" w:name="Tc_QIznOQJkEkGKCiVoJkMvxw_4_5"/>
      <w:bookmarkStart w:id="860" w:name="Tc_FPDS_GfeKk2CGyRZ-cSPuA_4_2"/>
      <w:bookmarkStart w:id="861" w:name="Tc_migyG9RmK0-Kp7rc7b6yQw_4_0"/>
      <w:bookmarkStart w:id="862" w:name="Tc_yI3qqke9zkuJlouABPs-6w_3_5"/>
      <w:bookmarkStart w:id="863" w:name="Tc_7SEj9rlDm0K1Beu3HzUaHA_3_2"/>
      <w:bookmarkStart w:id="864" w:name="Tc_9rZ1eKy3cE2q5MARuj10xA_3_0"/>
      <w:bookmarkStart w:id="865" w:name="Tc_ql-JQKnorkC_v2Ndhth9RQ_2_5"/>
      <w:bookmarkStart w:id="866" w:name="Tc_i8s133N59UmRuBezcnvr9w_2_2"/>
      <w:bookmarkStart w:id="867" w:name="Tc_YULO_-bkxEij_14BeLkTtw_1_5"/>
      <w:bookmarkStart w:id="868" w:name="Tc_MOzS8pptSkGo8o4-IztUNA_1_2"/>
      <w:bookmarkStart w:id="869" w:name="Tc_N-c_aJwtsEunsOW7Adyf3g_6_11"/>
      <w:bookmarkStart w:id="870" w:name="Tc_TTWzn8fy00C-XXZ4Pd5PnA_6_8"/>
      <w:bookmarkStart w:id="871" w:name="Tc_EwRyFAKxh0yeXUzDbLvIVA_6_5"/>
      <w:bookmarkStart w:id="872" w:name="Tc_bGifzYQj4EKXqcQqS10Cwg_6_2"/>
      <w:bookmarkStart w:id="873" w:name="Tc_Ys_a_BDheEejSH6t8RbbfQ_6_0"/>
      <w:bookmarkStart w:id="874" w:name="Tc_k86WriAxzUCxSNGE-CHaVg_5_0"/>
      <w:bookmarkStart w:id="875" w:name="Tc_2-8luqXagUe-g32AIT9n3A_4_0"/>
      <w:bookmarkStart w:id="876" w:name="Tc_aK3EI_0HGkuF3A6h42hkHA_3_11"/>
      <w:bookmarkStart w:id="877" w:name="Tc_lKz7kiha1kCaSICeuNpgGQ_3_8"/>
      <w:bookmarkStart w:id="878" w:name="Tc_OvvFTH20GkGRE54MFJp-Bw_3_5"/>
      <w:bookmarkStart w:id="879" w:name="Tc_fFK5qRmwxU-CM_GyYt3gLw_3_2"/>
      <w:bookmarkStart w:id="880" w:name="Tc_X8Fabp_9LkycklIcZxKDcg_3_0"/>
      <w:bookmarkStart w:id="881" w:name="Tc_fNkYj3vyTE6NlXClOQ6VZQ_2_11"/>
      <w:bookmarkStart w:id="882" w:name="Tc_gwz3DdBdWk6-7ysvTAWpcg_2_8"/>
      <w:bookmarkStart w:id="883" w:name="Tc_W-Xq0p3B30ORJDI2kmkCvg_2_5"/>
      <w:bookmarkStart w:id="884" w:name="Tc_vufEuwfedUG6Hk9GRMM16Q_2_2"/>
      <w:bookmarkStart w:id="885" w:name="Tc_60i6yX5sNkioc_F3r8KHqQ_1_8"/>
      <w:bookmarkStart w:id="886" w:name="Tc_aWw4EOWUuEKG-lORmuxY7w_1_2"/>
      <w:bookmarkStart w:id="887" w:name="Tc_WEd3DInFw0yAPgbYW45vlQ_6_5"/>
      <w:bookmarkStart w:id="888" w:name="Tc_MY8M3lj-AkeyZ9TbunB68A_6_2"/>
      <w:bookmarkStart w:id="889" w:name="Tc_NjAmNfTMwk6qUSzINRmm2w_6_0"/>
      <w:bookmarkStart w:id="890" w:name="Tc_I6JRJlfPj0ecbFOD8PfgEg_5_0"/>
      <w:bookmarkStart w:id="891" w:name="Tc_ea5BeuodEUGUp-NByxE3MQ_4_0"/>
      <w:bookmarkStart w:id="892" w:name="Tc_V5wez1Nql0KhLfUxFCFC-A_3_5"/>
      <w:bookmarkStart w:id="893" w:name="Tc_PKMD1tVyA0CiUYS5-WGNFw_3_2"/>
      <w:bookmarkStart w:id="894" w:name="Tc_P5ZLSKWZ-UW1UgKECANtVQ_3_0"/>
      <w:bookmarkStart w:id="895" w:name="Tc_TqXTE5Hq0U67H14ibDG0AQ_2_5"/>
      <w:bookmarkStart w:id="896" w:name="Tc_JAXar0rKZUaBmegHMSVYeg_2_2"/>
      <w:bookmarkStart w:id="897" w:name="Tc_hJpHP-3SS0CGPrrQK_M-Iw_1_5"/>
      <w:bookmarkStart w:id="898" w:name="Tc_bkQc3N6g002mdlfEbXLAew_1_2"/>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r>
        <w:rPr>
          <w:rFonts w:ascii="Times New Roman;Times;serif" w:hAnsi="Times New Roman;Times;serif"/>
          <w:sz w:val="20"/>
        </w:rPr>
        <w:t>Consumer loans receivable, net of allowance for loan losses and deferred financing fees, consists of the following:</w:t>
      </w:r>
    </w:p>
    <w:p>
      <w:pPr>
        <w:pStyle w:val="TextBody"/>
        <w:bidi w:val="0"/>
        <w:spacing w:before="0" w:after="0"/>
        <w:ind w:left="0" w:right="0" w:hanging="0"/>
        <w:jc w:val="left"/>
        <w:rPr/>
      </w:pPr>
      <w:r>
        <w:rPr/>
        <w:t>​</w:t>
      </w:r>
    </w:p>
    <w:tbl>
      <w:tblPr>
        <w:tblW w:w="7388" w:type="dxa"/>
        <w:jc w:val="left"/>
        <w:tblInd w:w="0" w:type="dxa"/>
        <w:tblLayout w:type="fixed"/>
        <w:tblCellMar>
          <w:top w:w="0" w:type="dxa"/>
          <w:left w:w="0" w:type="dxa"/>
          <w:bottom w:w="0" w:type="dxa"/>
          <w:right w:w="0" w:type="dxa"/>
        </w:tblCellMar>
      </w:tblPr>
      <w:tblGrid>
        <w:gridCol w:w="3526"/>
        <w:gridCol w:w="326"/>
        <w:gridCol w:w="341"/>
        <w:gridCol w:w="1264"/>
        <w:gridCol w:w="326"/>
        <w:gridCol w:w="305"/>
        <w:gridCol w:w="1300"/>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239010" cy="175260"/>
                      <wp:effectExtent l="0" t="0" r="0" b="0"/>
                      <wp:wrapNone/>
                      <wp:docPr id="122" name="Frame122"/>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6535" cy="175260"/>
                      <wp:effectExtent l="0" t="0" r="0" b="0"/>
                      <wp:wrapNone/>
                      <wp:docPr id="124" name="Frame124"/>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802640" cy="175260"/>
                      <wp:effectExtent l="0" t="0" r="0" b="0"/>
                      <wp:wrapNone/>
                      <wp:docPr id="125" name="Frame125"/>
                      <a:graphic xmlns:a="http://schemas.openxmlformats.org/drawingml/2006/main">
                        <a:graphicData uri="http://schemas.microsoft.com/office/word/2010/wordprocessingShape">
                          <wps:wsp>
                            <wps:cNvSpPr txBox="1"/>
                            <wps:spPr>
                              <a:xfrm>
                                <a:off x="0" y="0"/>
                                <a:ext cx="802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93675" cy="175260"/>
                      <wp:effectExtent l="0" t="0" r="0" b="0"/>
                      <wp:wrapNone/>
                      <wp:docPr id="127" name="Frame127"/>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825500" cy="175260"/>
                      <wp:effectExtent l="0" t="0" r="0" b="0"/>
                      <wp:wrapNone/>
                      <wp:docPr id="128" name="Frame128"/>
                      <a:graphic xmlns:a="http://schemas.openxmlformats.org/drawingml/2006/main">
                        <a:graphicData uri="http://schemas.microsoft.com/office/word/2010/wordprocessingShape">
                          <wps:wsp>
                            <wps:cNvSpPr txBox="1"/>
                            <wps:spPr>
                              <a:xfrm>
                                <a:off x="0" y="0"/>
                                <a:ext cx="825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32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Consumer loans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169,903</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159,738</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 discount and deferred financing fees</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(2,414)</w:t>
            </w:r>
          </w:p>
        </w:tc>
        <w:tc>
          <w:tcPr>
            <w:tcW w:w="32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 </w:t>
            </w:r>
          </w:p>
        </w:tc>
        <w:tc>
          <w:tcPr>
            <w:tcW w:w="13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(2,473)</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loan losses</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Consumer loans receivable, net</w:t>
            </w:r>
          </w:p>
        </w:tc>
        <w:tc>
          <w:tcPr>
            <w:tcW w:w="326" w:type="dxa"/>
            <w:tcBorders/>
            <w:vAlign w:val="center"/>
          </w:tcPr>
          <w:p>
            <w:pPr>
              <w:pStyle w:val="TableContents"/>
              <w:bidi w:val="0"/>
              <w:spacing w:before="0" w:after="0"/>
              <w:ind w:left="0" w:right="0" w:hanging="0"/>
              <w:jc w:val="left"/>
              <w:rPr/>
            </w:pPr>
            <w:r>
              <w:rPr/>
              <w:t>​</w:t>
            </w:r>
          </w:p>
        </w:tc>
        <w:tc>
          <w:tcPr>
            <w:tcW w:w="3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166,821</w:t>
            </w:r>
          </w:p>
        </w:tc>
        <w:tc>
          <w:tcPr>
            <w:tcW w:w="326" w:type="dxa"/>
            <w:tcBorders/>
            <w:vAlign w:val="center"/>
          </w:tcPr>
          <w:p>
            <w:pPr>
              <w:pStyle w:val="TableContents"/>
              <w:bidi w:val="0"/>
              <w:spacing w:before="0" w:after="0"/>
              <w:ind w:left="0" w:right="0" w:hanging="0"/>
              <w:jc w:val="left"/>
              <w:rPr/>
            </w:pPr>
            <w:r>
              <w:rPr/>
              <w:t>​</w:t>
            </w:r>
          </w:p>
        </w:tc>
        <w:tc>
          <w:tcPr>
            <w:tcW w:w="30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0"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156,500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table presents a detail of the activity in the allowance for loan losses:</w:t>
      </w:r>
    </w:p>
    <w:p>
      <w:pPr>
        <w:pStyle w:val="TextBody"/>
        <w:bidi w:val="0"/>
        <w:spacing w:before="0" w:after="0"/>
        <w:ind w:left="0" w:right="0" w:hanging="0"/>
        <w:jc w:val="left"/>
        <w:rPr/>
      </w:pPr>
      <w:r>
        <w:rPr/>
        <w:t>​</w:t>
      </w:r>
    </w:p>
    <w:tbl>
      <w:tblPr>
        <w:tblW w:w="10029" w:type="dxa"/>
        <w:jc w:val="left"/>
        <w:tblInd w:w="0" w:type="dxa"/>
        <w:tblLayout w:type="fixed"/>
        <w:tblCellMar>
          <w:top w:w="0" w:type="dxa"/>
          <w:left w:w="0" w:type="dxa"/>
          <w:bottom w:w="0" w:type="dxa"/>
          <w:right w:w="0" w:type="dxa"/>
        </w:tblCellMar>
      </w:tblPr>
      <w:tblGrid>
        <w:gridCol w:w="3901"/>
        <w:gridCol w:w="326"/>
        <w:gridCol w:w="353"/>
        <w:gridCol w:w="704"/>
        <w:gridCol w:w="545"/>
        <w:gridCol w:w="353"/>
        <w:gridCol w:w="729"/>
        <w:gridCol w:w="109"/>
        <w:gridCol w:w="304"/>
        <w:gridCol w:w="780"/>
        <w:gridCol w:w="470"/>
        <w:gridCol w:w="304"/>
        <w:gridCol w:w="780"/>
        <w:gridCol w:w="371"/>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477135" cy="175260"/>
                      <wp:effectExtent l="0" t="0" r="0" b="0"/>
                      <wp:wrapNone/>
                      <wp:docPr id="129" name="Frame129"/>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24155" cy="175260"/>
                      <wp:effectExtent l="0" t="0" r="0" b="0"/>
                      <wp:wrapNone/>
                      <wp:docPr id="131" name="Frame131"/>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47040" cy="175260"/>
                      <wp:effectExtent l="0" t="0" r="0" b="0"/>
                      <wp:wrapNone/>
                      <wp:docPr id="132" name="Frame132"/>
                      <a:graphic xmlns:a="http://schemas.openxmlformats.org/drawingml/2006/main">
                        <a:graphicData uri="http://schemas.microsoft.com/office/word/2010/wordprocessingShape">
                          <wps:wsp>
                            <wps:cNvSpPr txBox="1"/>
                            <wps:spPr>
                              <a:xfrm>
                                <a:off x="0" y="0"/>
                                <a:ext cx="447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346075" cy="175260"/>
                      <wp:effectExtent l="0" t="0" r="0" b="0"/>
                      <wp:wrapNone/>
                      <wp:docPr id="133" name="Frame133"/>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24155" cy="175260"/>
                      <wp:effectExtent l="0" t="0" r="0" b="0"/>
                      <wp:wrapNone/>
                      <wp:docPr id="134" name="Frame134"/>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62915" cy="175260"/>
                      <wp:effectExtent l="0" t="0" r="0" b="0"/>
                      <wp:wrapNone/>
                      <wp:docPr id="135" name="Frame135"/>
                      <a:graphic xmlns:a="http://schemas.openxmlformats.org/drawingml/2006/main">
                        <a:graphicData uri="http://schemas.microsoft.com/office/word/2010/wordprocessingShape">
                          <wps:wsp>
                            <wps:cNvSpPr txBox="1"/>
                            <wps:spPr>
                              <a:xfrm>
                                <a:off x="0" y="0"/>
                                <a:ext cx="462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9215" cy="175260"/>
                      <wp:effectExtent l="0" t="0" r="0" b="0"/>
                      <wp:wrapNone/>
                      <wp:docPr id="136" name="Frame1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93040" cy="175260"/>
                      <wp:effectExtent l="0" t="0" r="0" b="0"/>
                      <wp:wrapNone/>
                      <wp:docPr id="137" name="Frame137"/>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95300" cy="175260"/>
                      <wp:effectExtent l="0" t="0" r="0" b="0"/>
                      <wp:wrapNone/>
                      <wp:docPr id="138" name="Frame138"/>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98450" cy="175260"/>
                      <wp:effectExtent l="0" t="0" r="0" b="0"/>
                      <wp:wrapNone/>
                      <wp:docPr id="139" name="Frame139"/>
                      <a:graphic xmlns:a="http://schemas.openxmlformats.org/drawingml/2006/main">
                        <a:graphicData uri="http://schemas.microsoft.com/office/word/2010/wordprocessingShape">
                          <wps:wsp>
                            <wps:cNvSpPr txBox="1"/>
                            <wps:spPr>
                              <a:xfrm>
                                <a:off x="0" y="0"/>
                                <a:ext cx="298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93040" cy="175260"/>
                      <wp:effectExtent l="0" t="0" r="0" b="0"/>
                      <wp:wrapNone/>
                      <wp:docPr id="140" name="Frame140"/>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95300" cy="175260"/>
                      <wp:effectExtent l="0" t="0" r="0" b="0"/>
                      <wp:wrapNone/>
                      <wp:docPr id="141" name="Frame141"/>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35585" cy="175260"/>
                      <wp:effectExtent l="0" t="0" r="0" b="0"/>
                      <wp:wrapNone/>
                      <wp:docPr id="142" name="Frame142"/>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68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109" w:type="dxa"/>
            <w:tcBorders/>
            <w:vAlign w:val="center"/>
          </w:tcPr>
          <w:p>
            <w:pPr>
              <w:pStyle w:val="TableContents"/>
              <w:bidi w:val="0"/>
              <w:spacing w:before="0" w:after="0"/>
              <w:ind w:left="0" w:right="0" w:hanging="0"/>
              <w:jc w:val="left"/>
              <w:rPr/>
            </w:pPr>
            <w:r>
              <w:rPr/>
              <w:t>​</w:t>
            </w:r>
          </w:p>
        </w:tc>
        <w:tc>
          <w:tcPr>
            <w:tcW w:w="263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71" w:type="dxa"/>
            <w:tcBorders/>
            <w:vAlign w:val="center"/>
          </w:tcPr>
          <w:p>
            <w:pPr>
              <w:pStyle w:val="TableContents"/>
              <w:bidi w:val="0"/>
              <w:spacing w:before="0" w:after="0"/>
              <w:ind w:left="0" w:right="0" w:hanging="0"/>
              <w:jc w:val="center"/>
              <w:rPr/>
            </w:pPr>
            <w:r>
              <w:rPr/>
              <w:t>​</w:t>
            </w:r>
          </w:p>
        </w:tc>
      </w:tr>
      <w:tr>
        <w:trPr/>
        <w:tc>
          <w:tcPr>
            <w:tcW w:w="3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545" w:type="dxa"/>
            <w:tcBorders/>
            <w:vAlign w:val="center"/>
          </w:tcPr>
          <w:p>
            <w:pPr>
              <w:pStyle w:val="TableContents"/>
              <w:bidi w:val="0"/>
              <w:spacing w:before="0" w:after="0"/>
              <w:ind w:left="0" w:right="0" w:hanging="0"/>
              <w:jc w:val="left"/>
              <w:rPr/>
            </w:pPr>
            <w:r>
              <w:rPr/>
              <w:t>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70" w:type="dxa"/>
            <w:tcBorders/>
            <w:vAlign w:val="center"/>
          </w:tcPr>
          <w:p>
            <w:pPr>
              <w:pStyle w:val="TableContents"/>
              <w:bidi w:val="0"/>
              <w:spacing w:before="0" w:after="0"/>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1" w:type="dxa"/>
            <w:tcBorders/>
            <w:vAlign w:val="center"/>
          </w:tcPr>
          <w:p>
            <w:pPr>
              <w:pStyle w:val="TableContents"/>
              <w:bidi w:val="0"/>
              <w:spacing w:before="0" w:after="0"/>
              <w:ind w:left="0" w:right="0" w:hanging="0"/>
              <w:jc w:val="left"/>
              <w:rPr/>
            </w:pPr>
            <w:r>
              <w:rPr/>
              <w:t>    </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loan losses,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w:t>
            </w:r>
          </w:p>
        </w:tc>
        <w:tc>
          <w:tcPr>
            <w:tcW w:w="545"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w:t>
            </w:r>
          </w:p>
        </w:tc>
        <w:tc>
          <w:tcPr>
            <w:tcW w:w="470"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loan losses</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545"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c>
          <w:tcPr>
            <w:tcW w:w="470"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71"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(Charge offs) recoveries</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545" w:type="dxa"/>
            <w:tcBorders/>
            <w:shd w:fill="CCEEFF" w:val="clear"/>
            <w:vAlign w:val="center"/>
          </w:tcPr>
          <w:p>
            <w:pPr>
              <w:pStyle w:val="TableContents"/>
              <w:bidi w:val="0"/>
              <w:spacing w:before="0" w:after="0"/>
              <w:ind w:left="0" w:right="0" w:hanging="0"/>
              <w:jc w:val="left"/>
              <w:rPr/>
            </w:pPr>
            <w:r>
              <w:rPr/>
              <w:t>​</w:t>
            </w:r>
          </w:p>
        </w:tc>
        <w:tc>
          <w:tcPr>
            <w:tcW w:w="3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470"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loan losses, end of period</w:t>
            </w:r>
          </w:p>
        </w:tc>
        <w:tc>
          <w:tcPr>
            <w:tcW w:w="326" w:type="dxa"/>
            <w:tcBorders/>
            <w:vAlign w:val="center"/>
          </w:tcPr>
          <w:p>
            <w:pPr>
              <w:pStyle w:val="TableContents"/>
              <w:bidi w:val="0"/>
              <w:spacing w:before="0" w:after="0"/>
              <w:ind w:left="0" w:right="0" w:hanging="0"/>
              <w:jc w:val="left"/>
              <w:rPr/>
            </w:pPr>
            <w:r>
              <w:rPr/>
              <w:t>​</w:t>
            </w:r>
          </w:p>
        </w:tc>
        <w:tc>
          <w:tcPr>
            <w:tcW w:w="35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w:t>
            </w:r>
          </w:p>
        </w:tc>
        <w:tc>
          <w:tcPr>
            <w:tcW w:w="545" w:type="dxa"/>
            <w:tcBorders/>
            <w:vAlign w:val="center"/>
          </w:tcPr>
          <w:p>
            <w:pPr>
              <w:pStyle w:val="TableContents"/>
              <w:bidi w:val="0"/>
              <w:spacing w:before="0" w:after="0"/>
              <w:ind w:left="0" w:right="0" w:hanging="0"/>
              <w:jc w:val="left"/>
              <w:rPr/>
            </w:pPr>
            <w:r>
              <w:rPr/>
              <w:t>​</w:t>
            </w:r>
          </w:p>
        </w:tc>
        <w:tc>
          <w:tcPr>
            <w:tcW w:w="35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w:t>
            </w:r>
          </w:p>
        </w:tc>
        <w:tc>
          <w:tcPr>
            <w:tcW w:w="109" w:type="dxa"/>
            <w:tcBorders/>
            <w:vAlign w:val="center"/>
          </w:tcPr>
          <w:p>
            <w:pPr>
              <w:pStyle w:val="TableContents"/>
              <w:bidi w:val="0"/>
              <w:spacing w:before="0" w:after="0"/>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w:t>
            </w:r>
          </w:p>
        </w:tc>
        <w:tc>
          <w:tcPr>
            <w:tcW w:w="470" w:type="dxa"/>
            <w:tcBorders/>
            <w:vAlign w:val="center"/>
          </w:tcPr>
          <w:p>
            <w:pPr>
              <w:pStyle w:val="TableContents"/>
              <w:bidi w:val="0"/>
              <w:spacing w:before="0" w:after="0"/>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table presents impaired and general reserve for allowance for loan losses:</w:t>
      </w:r>
    </w:p>
    <w:p>
      <w:pPr>
        <w:pStyle w:val="TextBody"/>
        <w:bidi w:val="0"/>
        <w:spacing w:before="0" w:after="0"/>
        <w:ind w:left="0" w:right="0" w:hanging="0"/>
        <w:jc w:val="left"/>
        <w:rPr/>
      </w:pPr>
      <w:r>
        <w:rPr/>
        <w:t>​</w:t>
      </w:r>
    </w:p>
    <w:tbl>
      <w:tblPr>
        <w:tblW w:w="8333" w:type="dxa"/>
        <w:jc w:val="left"/>
        <w:tblInd w:w="0" w:type="dxa"/>
        <w:tblLayout w:type="fixed"/>
        <w:tblCellMar>
          <w:top w:w="0" w:type="dxa"/>
          <w:left w:w="0" w:type="dxa"/>
          <w:bottom w:w="0" w:type="dxa"/>
          <w:right w:w="0" w:type="dxa"/>
        </w:tblCellMar>
      </w:tblPr>
      <w:tblGrid>
        <w:gridCol w:w="4471"/>
        <w:gridCol w:w="326"/>
        <w:gridCol w:w="341"/>
        <w:gridCol w:w="1264"/>
        <w:gridCol w:w="326"/>
        <w:gridCol w:w="326"/>
        <w:gridCol w:w="1279"/>
      </w:tblGrid>
      <w:tr>
        <w:trPr/>
        <w:tc>
          <w:tcPr>
            <w:tcW w:w="4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839085" cy="175260"/>
                      <wp:effectExtent l="0" t="0" r="0" b="0"/>
                      <wp:wrapNone/>
                      <wp:docPr id="143" name="Frame143"/>
                      <a:graphic xmlns:a="http://schemas.openxmlformats.org/drawingml/2006/main">
                        <a:graphicData uri="http://schemas.microsoft.com/office/word/2010/wordprocessingShape">
                          <wps:wsp>
                            <wps:cNvSpPr txBox="1"/>
                            <wps:spPr>
                              <a:xfrm>
                                <a:off x="0" y="0"/>
                                <a:ext cx="283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4"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6535" cy="175260"/>
                      <wp:effectExtent l="0" t="0" r="0" b="0"/>
                      <wp:wrapNone/>
                      <wp:docPr id="145" name="Frame145"/>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802640" cy="175260"/>
                      <wp:effectExtent l="0" t="0" r="0" b="0"/>
                      <wp:wrapNone/>
                      <wp:docPr id="146" name="Frame146"/>
                      <a:graphic xmlns:a="http://schemas.openxmlformats.org/drawingml/2006/main">
                        <a:graphicData uri="http://schemas.microsoft.com/office/word/2010/wordprocessingShape">
                          <wps:wsp>
                            <wps:cNvSpPr txBox="1"/>
                            <wps:spPr>
                              <a:xfrm>
                                <a:off x="0" y="0"/>
                                <a:ext cx="802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8"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812165" cy="175260"/>
                      <wp:effectExtent l="0" t="0" r="0" b="0"/>
                      <wp:wrapNone/>
                      <wp:docPr id="149" name="Frame149"/>
                      <a:graphic xmlns:a="http://schemas.openxmlformats.org/drawingml/2006/main">
                        <a:graphicData uri="http://schemas.microsoft.com/office/word/2010/wordprocessingShape">
                          <wps:wsp>
                            <wps:cNvSpPr txBox="1"/>
                            <wps:spPr>
                              <a:xfrm>
                                <a:off x="0" y="0"/>
                                <a:ext cx="812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32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consumer loans</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169,903</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159,738</w:t>
            </w:r>
          </w:p>
        </w:tc>
      </w:tr>
      <w:tr>
        <w:trPr/>
        <w:tc>
          <w:tcPr>
            <w:tcW w:w="4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loan losses</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w:t>
            </w:r>
          </w:p>
        </w:tc>
      </w:tr>
      <w:tr>
        <w:trPr/>
        <w:tc>
          <w:tcPr>
            <w:tcW w:w="4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Impaired loans individually evaluated for impairment</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2,961</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w:t>
            </w:r>
          </w:p>
        </w:tc>
      </w:tr>
      <w:tr>
        <w:trPr/>
        <w:tc>
          <w:tcPr>
            <w:tcW w:w="4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Specific reserve against impaired loans</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w:t>
            </w:r>
          </w:p>
        </w:tc>
      </w:tr>
      <w:tr>
        <w:trPr/>
        <w:tc>
          <w:tcPr>
            <w:tcW w:w="4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loans collectively evaluated for allowance</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166,942</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158,173</w:t>
            </w:r>
          </w:p>
        </w:tc>
      </w:tr>
      <w:tr>
        <w:trPr/>
        <w:tc>
          <w:tcPr>
            <w:tcW w:w="4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allowance for loan losses</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9"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203</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As of September 30, 2024 and December 31, 2023, the total principal outstanding for consumer loans on nonaccrual status was $2,961 and $1,565, respectively. A detailed aging of consumer loans receivable that are past due is as follows: </w:t>
      </w:r>
    </w:p>
    <w:p>
      <w:pPr>
        <w:pStyle w:val="TextBody"/>
        <w:bidi w:val="0"/>
        <w:spacing w:before="0" w:after="0"/>
        <w:ind w:left="0" w:right="0" w:hanging="0"/>
        <w:jc w:val="left"/>
        <w:rPr/>
      </w:pPr>
      <w:r>
        <w:rPr/>
        <w:t>​</w:t>
      </w:r>
    </w:p>
    <w:tbl>
      <w:tblPr>
        <w:tblW w:w="8185" w:type="dxa"/>
        <w:jc w:val="left"/>
        <w:tblInd w:w="0" w:type="dxa"/>
        <w:tblLayout w:type="fixed"/>
        <w:tblCellMar>
          <w:top w:w="0" w:type="dxa"/>
          <w:left w:w="0" w:type="dxa"/>
          <w:bottom w:w="0" w:type="dxa"/>
          <w:right w:w="0" w:type="dxa"/>
        </w:tblCellMar>
      </w:tblPr>
      <w:tblGrid>
        <w:gridCol w:w="2746"/>
        <w:gridCol w:w="109"/>
        <w:gridCol w:w="341"/>
        <w:gridCol w:w="1264"/>
        <w:gridCol w:w="326"/>
        <w:gridCol w:w="571"/>
        <w:gridCol w:w="326"/>
        <w:gridCol w:w="331"/>
        <w:gridCol w:w="1229"/>
        <w:gridCol w:w="326"/>
        <w:gridCol w:w="616"/>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743710" cy="175260"/>
                      <wp:effectExtent l="0" t="0" r="0" b="0"/>
                      <wp:wrapNone/>
                      <wp:docPr id="150" name="Frame150"/>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9215" cy="175260"/>
                      <wp:effectExtent l="0" t="0" r="0" b="0"/>
                      <wp:wrapNone/>
                      <wp:docPr id="151" name="Frame1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6535" cy="175260"/>
                      <wp:effectExtent l="0" t="0" r="0" b="0"/>
                      <wp:wrapNone/>
                      <wp:docPr id="152" name="Frame152"/>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802640" cy="175260"/>
                      <wp:effectExtent l="0" t="0" r="0" b="0"/>
                      <wp:wrapNone/>
                      <wp:docPr id="153" name="Frame153"/>
                      <a:graphic xmlns:a="http://schemas.openxmlformats.org/drawingml/2006/main">
                        <a:graphicData uri="http://schemas.microsoft.com/office/word/2010/wordprocessingShape">
                          <wps:wsp>
                            <wps:cNvSpPr txBox="1"/>
                            <wps:spPr>
                              <a:xfrm>
                                <a:off x="0" y="0"/>
                                <a:ext cx="802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362585" cy="175260"/>
                      <wp:effectExtent l="0" t="0" r="0" b="0"/>
                      <wp:wrapNone/>
                      <wp:docPr id="155" name="Frame15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6" name="Frame1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0185" cy="175260"/>
                      <wp:effectExtent l="0" t="0" r="0" b="0"/>
                      <wp:wrapNone/>
                      <wp:docPr id="157" name="Frame157"/>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780415" cy="175260"/>
                      <wp:effectExtent l="0" t="0" r="0" b="0"/>
                      <wp:wrapNone/>
                      <wp:docPr id="158" name="Frame158"/>
                      <a:graphic xmlns:a="http://schemas.openxmlformats.org/drawingml/2006/main">
                        <a:graphicData uri="http://schemas.microsoft.com/office/word/2010/wordprocessingShape">
                          <wps:wsp>
                            <wps:cNvSpPr txBox="1"/>
                            <wps:spPr>
                              <a:xfrm>
                                <a:off x="0" y="0"/>
                                <a:ext cx="780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391160" cy="175260"/>
                      <wp:effectExtent l="0" t="0" r="0" b="0"/>
                      <wp:wrapNone/>
                      <wp:docPr id="160" name="Frame160"/>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pPr>
            <w:r>
              <w:rPr/>
              <w:t>​</w:t>
            </w:r>
          </w:p>
        </w:tc>
      </w:tr>
      <w:tr>
        <w:trPr/>
        <w:tc>
          <w:tcPr>
            <w:tcW w:w="27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left"/>
              <w:rPr/>
            </w:pPr>
            <w:r>
              <w:rPr/>
              <w:t>​</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consumer loans receivable</w:t>
            </w:r>
          </w:p>
        </w:tc>
        <w:tc>
          <w:tcPr>
            <w:tcW w:w="109" w:type="dxa"/>
            <w:tcBorders/>
            <w:shd w:fill="CCEEFF" w:val="clear"/>
            <w:vAlign w:val="center"/>
          </w:tcPr>
          <w:p>
            <w:pPr>
              <w:pStyle w:val="TableContents"/>
              <w:bidi w:val="0"/>
              <w:spacing w:before="0" w:after="0"/>
              <w:ind w:left="0" w:right="0" w:hanging="0"/>
              <w:jc w:val="left"/>
              <w:rPr/>
            </w:pPr>
            <w:r>
              <w:rPr/>
              <w:t>​</w:t>
            </w:r>
          </w:p>
        </w:tc>
        <w:tc>
          <w:tcPr>
            <w:tcW w:w="3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169,903</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bidi w:val="0"/>
              <w:spacing w:before="0" w:after="0"/>
              <w:ind w:left="0" w:right="0" w:hanging="0"/>
              <w:jc w:val="left"/>
              <w:rPr/>
            </w:pPr>
            <w:r>
              <w:rPr/>
              <w:t>   </w:t>
            </w:r>
          </w:p>
        </w:tc>
        <w:tc>
          <w:tcPr>
            <w:tcW w:w="3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159,738</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Past due consumer loans:</w:t>
            </w:r>
          </w:p>
        </w:tc>
        <w:tc>
          <w:tcPr>
            <w:tcW w:w="109"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 </w:t>
            </w:r>
          </w:p>
        </w:tc>
        <w:tc>
          <w:tcPr>
            <w:tcW w:w="1229"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  </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31 - 60 days past due</w:t>
            </w:r>
          </w:p>
        </w:tc>
        <w:tc>
          <w:tcPr>
            <w:tcW w:w="109"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1,329</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61 - 90 days past due</w:t>
            </w:r>
          </w:p>
        </w:tc>
        <w:tc>
          <w:tcPr>
            <w:tcW w:w="109"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 </w:t>
            </w:r>
          </w:p>
        </w:tc>
        <w:tc>
          <w:tcPr>
            <w:tcW w:w="12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91 - 120 days past due</w:t>
            </w:r>
          </w:p>
        </w:tc>
        <w:tc>
          <w:tcPr>
            <w:tcW w:w="109"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 </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 </w:t>
            </w:r>
          </w:p>
        </w:tc>
        <w:tc>
          <w:tcPr>
            <w:tcW w:w="12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Greater than 120 days past due</w:t>
            </w:r>
          </w:p>
        </w:tc>
        <w:tc>
          <w:tcPr>
            <w:tcW w:w="109" w:type="dxa"/>
            <w:tcBorders/>
            <w:vAlign w:val="center"/>
          </w:tcPr>
          <w:p>
            <w:pPr>
              <w:pStyle w:val="TableContents"/>
              <w:bidi w:val="0"/>
              <w:spacing w:before="0" w:after="0"/>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2,607</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0"/>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1,449</w:t>
            </w:r>
          </w:p>
        </w:tc>
        <w:tc>
          <w:tcPr>
            <w:tcW w:w="326" w:type="dxa"/>
            <w:tcBorders/>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past due</w:t>
            </w:r>
          </w:p>
        </w:tc>
        <w:tc>
          <w:tcPr>
            <w:tcW w:w="109" w:type="dxa"/>
            <w:tcBorders/>
            <w:shd w:fill="CCEEFF" w:val="clear"/>
            <w:vAlign w:val="center"/>
          </w:tcPr>
          <w:p>
            <w:pPr>
              <w:pStyle w:val="TableContents"/>
              <w:bidi w:val="0"/>
              <w:spacing w:before="0" w:after="0"/>
              <w:ind w:left="0" w:right="0" w:hanging="0"/>
              <w:jc w:val="left"/>
              <w:rPr/>
            </w:pPr>
            <w:r>
              <w:rPr/>
              <w:t>​</w:t>
            </w:r>
          </w:p>
        </w:tc>
        <w:tc>
          <w:tcPr>
            <w:tcW w:w="3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4,844</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2,345</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1.5</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evaluate the credit quality of our consumer loan portfolio based on the aging status of the loan and by payment activity. Loan delinquency reporting generally is based on borrower payment activity relative to the contractual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bookmarkStart w:id="899" w:name="Tc_tqvdG-4TYUWKUvu9vqXP1A_6_23"/>
      <w:bookmarkStart w:id="900" w:name="Tc_LFadb49TKUeKZnHqMEBHRg_6_20"/>
      <w:bookmarkStart w:id="901" w:name="Tc_YYVm6prwD0uez7YM1xP-fQ_6_17"/>
      <w:bookmarkStart w:id="902" w:name="Tc_2QNjOkpVt0CvDSOFeGYXcw_6_14"/>
      <w:bookmarkStart w:id="903" w:name="Tc_2qntCmsp9EuFK4RmwUUW1Q_6_11"/>
      <w:bookmarkStart w:id="904" w:name="Tc_8rY0gge2TU-Aa5FBwMIgrQ_6_8"/>
      <w:bookmarkStart w:id="905" w:name="Tc_m7UXVWhgDU-JgPzrpDKfWw_6_5"/>
      <w:bookmarkStart w:id="906" w:name="Tc_T28EERYdk0GKtrLzQhM2aA_6_2"/>
      <w:bookmarkStart w:id="907" w:name="Tc_-3VEAS87TkOITGWSjJ6jqg_6_0"/>
      <w:bookmarkStart w:id="908" w:name="Tc_WWobHSi-W0CdUC8wV5Ok3g_5_3"/>
      <w:bookmarkStart w:id="909" w:name="Tc_T7ScbYjxG0apomu6EQ1S3Q_5_0"/>
      <w:bookmarkStart w:id="910" w:name="Tc_rLEc--KC6ESpgF0lVEoHjA_4_15"/>
      <w:bookmarkStart w:id="911" w:name="Tc_bCKt8-fks0uEfgZ1t8Qq7g_4_0"/>
      <w:bookmarkStart w:id="912" w:name="Tc_PeR4imoUiUyFjLHD1tR-nA_3_23"/>
      <w:bookmarkStart w:id="913" w:name="Tc_KOAxJQzJJEuo5MnASeffJQ_3_20"/>
      <w:bookmarkStart w:id="914" w:name="Tc_a-ZtyntKw0qolHCOsZMqDA_3_17"/>
      <w:bookmarkStart w:id="915" w:name="Tc_E3ar0mE62E2oHi5i0MYNIA_3_14"/>
      <w:bookmarkStart w:id="916" w:name="Tc_Rqt5NCxJIES66t8rU6ry_g_3_11"/>
      <w:bookmarkStart w:id="917" w:name="Tc_dWKcCYHw702lQDc9pwzQTQ_3_8"/>
      <w:bookmarkStart w:id="918" w:name="Tc_dtZIq98sdUWe35jMu8W6Jw_3_5"/>
      <w:bookmarkStart w:id="919" w:name="Tc_iN6XD7TLE0Ot2wJcYLhWlA_3_2"/>
      <w:bookmarkStart w:id="920" w:name="Tc_U9bl9MgyQU69Wt8P83DrJw_3_0"/>
      <w:bookmarkStart w:id="921" w:name="Tc_of7eSa29HkGtYxZR_Q6Geg_2_23"/>
      <w:bookmarkStart w:id="922" w:name="Tc_AUYbfx-UNkKK_cHnYEEmRA_2_20"/>
      <w:bookmarkStart w:id="923" w:name="Tc_aS4KuH---ESM6R7pmZ6kGA_2_17"/>
      <w:bookmarkStart w:id="924" w:name="Tc_I4hwrlLCdEWdG1-EBl5U3g_2_14"/>
      <w:bookmarkStart w:id="925" w:name="Tc_ZhrSdaW3SUyIuiWf-wuppw_2_11"/>
      <w:bookmarkStart w:id="926" w:name="Tc_h_8-T8erN0yfw5rj9llXdg_2_8"/>
      <w:bookmarkStart w:id="927" w:name="Tc_rXi13Gf9M0ijyQARNiPD5Q_2_5"/>
      <w:bookmarkStart w:id="928" w:name="Tc_2cpRrsF8Oky14d0jVWjMww_2_2"/>
      <w:bookmarkStart w:id="929" w:name="Tc_B2LEukXEjkaCRUpbGLZa_g_1_2"/>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r>
        <w:rPr>
          <w:rFonts w:ascii="Times New Roman;Times;serif" w:hAnsi="Times New Roman;Times;serif"/>
          <w:sz w:val="20"/>
        </w:rPr>
        <w:t xml:space="preserve">terms of the loan. The following table disaggregates the outstanding principal balance of consumer loans receivable by credit quality indicator based on delinquency status and fiscal year of origination: </w:t>
      </w:r>
    </w:p>
    <w:p>
      <w:pPr>
        <w:pStyle w:val="TextBody"/>
        <w:bidi w:val="0"/>
        <w:spacing w:before="0" w:after="0"/>
        <w:ind w:left="0" w:right="0" w:hanging="0"/>
        <w:jc w:val="left"/>
        <w:rPr/>
      </w:pPr>
      <w:r>
        <w:rPr/>
        <w:t>​</w:t>
      </w:r>
    </w:p>
    <w:tbl>
      <w:tblPr>
        <w:tblW w:w="10142" w:type="dxa"/>
        <w:jc w:val="left"/>
        <w:tblInd w:w="0" w:type="dxa"/>
        <w:tblLayout w:type="fixed"/>
        <w:tblCellMar>
          <w:top w:w="0" w:type="dxa"/>
          <w:left w:w="0" w:type="dxa"/>
          <w:bottom w:w="0" w:type="dxa"/>
          <w:right w:w="0" w:type="dxa"/>
        </w:tblCellMar>
      </w:tblPr>
      <w:tblGrid>
        <w:gridCol w:w="1741"/>
        <w:gridCol w:w="109"/>
        <w:gridCol w:w="211"/>
        <w:gridCol w:w="676"/>
        <w:gridCol w:w="109"/>
        <w:gridCol w:w="211"/>
        <w:gridCol w:w="676"/>
        <w:gridCol w:w="109"/>
        <w:gridCol w:w="211"/>
        <w:gridCol w:w="676"/>
        <w:gridCol w:w="109"/>
        <w:gridCol w:w="211"/>
        <w:gridCol w:w="676"/>
        <w:gridCol w:w="109"/>
        <w:gridCol w:w="211"/>
        <w:gridCol w:w="676"/>
        <w:gridCol w:w="109"/>
        <w:gridCol w:w="211"/>
        <w:gridCol w:w="676"/>
        <w:gridCol w:w="109"/>
        <w:gridCol w:w="211"/>
        <w:gridCol w:w="781"/>
        <w:gridCol w:w="109"/>
        <w:gridCol w:w="343"/>
        <w:gridCol w:w="872"/>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105535" cy="175260"/>
                      <wp:effectExtent l="0" t="0" r="0" b="0"/>
                      <wp:wrapNone/>
                      <wp:docPr id="161" name="Frame161"/>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9215" cy="175260"/>
                      <wp:effectExtent l="0" t="0" r="0" b="0"/>
                      <wp:wrapNone/>
                      <wp:docPr id="162" name="Frame1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3"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29260" cy="175260"/>
                      <wp:effectExtent l="0" t="0" r="0" b="0"/>
                      <wp:wrapNone/>
                      <wp:docPr id="164" name="Frame16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9215" cy="175260"/>
                      <wp:effectExtent l="0" t="0" r="0" b="0"/>
                      <wp:wrapNone/>
                      <wp:docPr id="165" name="Frame1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6"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29260" cy="175260"/>
                      <wp:effectExtent l="0" t="0" r="0" b="0"/>
                      <wp:wrapNone/>
                      <wp:docPr id="167" name="Frame16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9215" cy="175260"/>
                      <wp:effectExtent l="0" t="0" r="0" b="0"/>
                      <wp:wrapNone/>
                      <wp:docPr id="168" name="Frame1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29260" cy="175260"/>
                      <wp:effectExtent l="0" t="0" r="0" b="0"/>
                      <wp:wrapNone/>
                      <wp:docPr id="170" name="Frame17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9215" cy="175260"/>
                      <wp:effectExtent l="0" t="0" r="0" b="0"/>
                      <wp:wrapNone/>
                      <wp:docPr id="171" name="Frame1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29260" cy="175260"/>
                      <wp:effectExtent l="0" t="0" r="0" b="0"/>
                      <wp:wrapNone/>
                      <wp:docPr id="173" name="Frame17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9215" cy="175260"/>
                      <wp:effectExtent l="0" t="0" r="0" b="0"/>
                      <wp:wrapNone/>
                      <wp:docPr id="174" name="Frame1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260"/>
                      <wp:effectExtent l="0" t="0" r="0" b="0"/>
                      <wp:wrapNone/>
                      <wp:docPr id="175" name="Frame1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429260" cy="175260"/>
                      <wp:effectExtent l="0" t="0" r="0" b="0"/>
                      <wp:wrapNone/>
                      <wp:docPr id="176" name="Frame17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9215" cy="175260"/>
                      <wp:effectExtent l="0" t="0" r="0" b="0"/>
                      <wp:wrapNone/>
                      <wp:docPr id="177" name="Frame1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33985" cy="175260"/>
                      <wp:effectExtent l="0" t="0" r="0" b="0"/>
                      <wp:wrapNone/>
                      <wp:docPr id="178" name="Frame1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29260" cy="175260"/>
                      <wp:effectExtent l="0" t="0" r="0" b="0"/>
                      <wp:wrapNone/>
                      <wp:docPr id="179" name="Frame17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9215" cy="175260"/>
                      <wp:effectExtent l="0" t="0" r="0" b="0"/>
                      <wp:wrapNone/>
                      <wp:docPr id="180" name="Frame1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33985" cy="175260"/>
                      <wp:effectExtent l="0" t="0" r="0" b="0"/>
                      <wp:wrapNone/>
                      <wp:docPr id="181" name="Frame1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95935" cy="175260"/>
                      <wp:effectExtent l="0" t="0" r="0" b="0"/>
                      <wp:wrapNone/>
                      <wp:docPr id="182" name="Frame18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9215" cy="175260"/>
                      <wp:effectExtent l="0" t="0" r="0" b="0"/>
                      <wp:wrapNone/>
                      <wp:docPr id="183" name="Frame1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7805" cy="175260"/>
                      <wp:effectExtent l="0" t="0" r="0" b="0"/>
                      <wp:wrapNone/>
                      <wp:docPr id="184" name="Frame184"/>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553720" cy="175260"/>
                      <wp:effectExtent l="0" t="0" r="0" b="0"/>
                      <wp:wrapNone/>
                      <wp:docPr id="185" name="Frame185"/>
                      <a:graphic xmlns:a="http://schemas.openxmlformats.org/drawingml/2006/main">
                        <a:graphicData uri="http://schemas.microsoft.com/office/word/2010/wordprocessingShape">
                          <wps:wsp>
                            <wps:cNvSpPr txBox="1"/>
                            <wps:spPr>
                              <a:xfrm>
                                <a:off x="0" y="0"/>
                                <a:ext cx="553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92" w:type="dxa"/>
            <w:gridSpan w:val="2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of Origination</w:t>
            </w:r>
          </w:p>
        </w:tc>
      </w:tr>
      <w:tr>
        <w:trPr/>
        <w:tc>
          <w:tcPr>
            <w:tcW w:w="17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Prior</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09" w:type="dxa"/>
            <w:tcBorders/>
            <w:vAlign w:val="center"/>
          </w:tcPr>
          <w:p>
            <w:pPr>
              <w:pStyle w:val="TableContents"/>
              <w:bidi w:val="0"/>
              <w:spacing w:before="0" w:after="1"/>
              <w:ind w:left="0" w:right="0" w:hanging="0"/>
              <w:jc w:val="left"/>
              <w:rPr/>
            </w:pPr>
            <w:r>
              <w:rPr/>
              <w:t>​</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Portfolio</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&lt; 30 days past due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24,107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29,216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22,478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19,410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12,325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57,523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165,059</w:t>
            </w:r>
          </w:p>
        </w:tc>
        <w:tc>
          <w:tcPr>
            <w:tcW w:w="109"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97.2</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30-90 days past due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1,884</w:t>
            </w:r>
          </w:p>
        </w:tc>
        <w:tc>
          <w:tcPr>
            <w:tcW w:w="109"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&gt; 90 days past due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2,960</w:t>
            </w:r>
          </w:p>
        </w:tc>
        <w:tc>
          <w:tcPr>
            <w:tcW w:w="109" w:type="dxa"/>
            <w:tcBorders/>
            <w:shd w:fill="CCEEFF" w:val="clear"/>
            <w:vAlign w:val="center"/>
          </w:tcPr>
          <w:p>
            <w:pPr>
              <w:pStyle w:val="TableContents"/>
              <w:bidi w:val="0"/>
              <w:spacing w:before="0" w:after="1"/>
              <w:ind w:left="0" w:right="0" w:hanging="0"/>
              <w:jc w:val="left"/>
              <w:rPr/>
            </w:pPr>
            <w:r>
              <w:rPr/>
              <w:t>​</w:t>
            </w:r>
          </w:p>
        </w:tc>
        <w:tc>
          <w:tcPr>
            <w:tcW w:w="3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24,248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30,012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23,674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20,811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12,429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58,729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169,903</w:t>
            </w:r>
          </w:p>
        </w:tc>
        <w:tc>
          <w:tcPr>
            <w:tcW w:w="109" w:type="dxa"/>
            <w:tcBorders/>
            <w:vAlign w:val="center"/>
          </w:tcPr>
          <w:p>
            <w:pPr>
              <w:pStyle w:val="TableContents"/>
              <w:bidi w:val="0"/>
              <w:spacing w:before="0" w:after="1"/>
              <w:ind w:left="0" w:right="0" w:hanging="0"/>
              <w:jc w:val="left"/>
              <w:rPr/>
            </w:pPr>
            <w:r>
              <w:rPr/>
              <w:t>​</w:t>
            </w:r>
          </w:p>
        </w:tc>
        <w:tc>
          <w:tcPr>
            <w:tcW w:w="34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100.0</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4. NOTES RECEIVABLE FROM MOBILE HOME PARKS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notes receivable from mobile home parks (“MHP Notes”) relate to mobile homes sold to mobile home parks and financed through notes receivable. The MHP Notes have varying maturity dates and require monthly principal and interest payments. The interest rate on the MHP Notes can be fixed or variable, and the interest rates range from 6.9% to 12.0%. The average interest rate per loan was approximately 7.9% as of September 30, 2024 and December 31, 2023, with maturities that range from 1 to 10 years. The collateral underlying the MHP Notes are individual mobile homes which can be repossessed and resold. The MHP Notes are generally personally guaranteed by borrowers with substantial financial resources.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As of September 30, 2024, the Company had concentrations of MHP Notes with three independent third-parties and their respective affiliates that equated to 24.1%, 17.3% and 12.0% of the principal balance outstanding, all of which were secured by the mobile homes. As of December 31, 2023, the Company had concentrations of MHP Notes with three independent third-parties and their respective affiliates that equated to 17.9%, 24.5% and 14.0% of the principal balance outstanding, all of which were secured by the mobile homes.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MHP Notes are stated at amounts due from customers, net of allowance for loan losses. The Company determines the allowance by considering several factors, including the aging of the past due balance, the customer’s payment history, and the Company’s previous loss history. The Company establishes an allowance composed of specific and general reserve amounts. As of September 30, 2024 and December 31, 2023, the MHP Notes balance is presented net of unamortized finance fees of $1,137 and $1,565, respectively. The finance fees are amortized over the life of the MHP Notes.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As of September 30, 2024, there were past due balances of $220 on MHP Notes. As of December 31, 2023, there were past due balances of $98 on the MHP Notes excluding any amounts attributed to the Notes, as defined below. For the three months ended September 30, 2024 and 2023, there were no charge offs recorded for MHP Notes. For the nine months ended September 30, 2024 and 2023, there were no charge offs recorded for MHP Notes. Allowance for loan loss for the MHP Notes was $753 and $735 as of September 30, 2024 and December 31, 2023, respectively. As of September 30, 2024 and December 31, 2023, there was a minimal impaired balance of MHP Notes. Collateral for repossessed loans is acquired through foreclosure or similar proceedings and is recorded at the estimated fair value of the home, less the costs to sell.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Settlement Agreement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the Company previously disclosed, in a Form 10-K for the fiscal year ended December 31, 2023, and Forms 10-Q for the quarterly periods ended March 31, 2024 and June 30, 2024, Legacy and numerous entities owned or operated by one individual (the “Makers”) previously entered into several Promissory Notes (the “Notes”) valued at approximately $55 million. In January 2024, the Makers defaulted on, and Legacy accelerated, a portion of the Notes valued at approximately $37 million. The Notes were secured by mobile homes and mobile-home parks located in Texas, Mississippi, and Louisiana, and personally guaranteed by individuals (the “Personal Guarantors”). In the first,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second and third quarters of 2024, Legacy filed several lawsuits against the Makers and the Personal Guarantors and aggressively pursued the collateral.</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On July 27, 2024, Legacy, the Makers, and the Personal Guarantors entered into a Settlement Agreement and Release (the “Agreement”). The parties to the Agreement are Legacy, Legacy’s Executive Chairman, Curtis D. Hodgson (collectively, the “Plaintiffs”), William Rodwell, Cynthia Rodwell, Tony Hartsgrove, Robert T. Hutson II, Yakov Plotnikov, Eric D. Wooten (collectively, the “Individual Defendants”), Cleveland MHC, LLC (“Cleveland”), Country Aire Homes of LA, LLC, Forest Hollow, LLC (“Forest Hollow”), Gulf Stream Homes of LA, LLC, Gulf Stream Homes of MS, LLC, Stellar GS Homes, LLC, SINOP GS Homes, LLC, Gulf Stream Manor Phase 2 Homes, LLC, Iowa Homes, LLC, Southern Pointe Homes, LLC, Southern Pointe Investments, LLC, Southern Pointe Investments II, LLC, Stellar GS Homes LLC, and Country Aire MHP LLC (collectively, the “Entity Defendants”).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As consideration for the mutual releases contained in the Agreement: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Forest Hollow conveyed clear title, and the undisputed right to possess, all real and personal property located on or at the Forest Hollow Mobile Home Community, 6650 Broad Oak Street, Beaumont, TX 77713 (the “Forest Hollow Mobile Home Community”) to Legacy;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Cleveland conveyed clear title, and the undisputed right to possess, all real and personal property located on or at the Cleveland Mobile Home Community, 110 Old Hwy 49 S. Richland, MS 39218 (the “Cleveland Mobile Home Community”) to Legacy;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Cleveland and Forest Hollow assigned all intangible assets, including all leases, contracts, and goodwill applicable or related to the real and personal property located on or at the Forest Hollow Mobile Home Community and the Cleveland Mobile Home Community to Legacy;</w:t>
            </w:r>
          </w:p>
        </w:tc>
      </w:tr>
    </w:tbl>
    <w:tbl>
      <w:tblPr>
        <w:tblW w:w="9411" w:type="dxa"/>
        <w:jc w:val="left"/>
        <w:tblInd w:w="0" w:type="dxa"/>
        <w:tblLayout w:type="fixed"/>
        <w:tblCellMar>
          <w:top w:w="28" w:type="dxa"/>
          <w:left w:w="28" w:type="dxa"/>
          <w:bottom w:w="28" w:type="dxa"/>
          <w:right w:w="28" w:type="dxa"/>
        </w:tblCellMar>
      </w:tblPr>
      <w:tblGrid>
        <w:gridCol w:w="124"/>
        <w:gridCol w:w="256"/>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Individual and Entity Defendants irrevocably waived any and all claims related to existing deposits;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Legacy refinanced the Entity and Individual Defendants’ remaining debt, pursuant to a new two-year, $48.6</w:t>
            </w:r>
            <w:r>
              <w:rPr>
                <w:caps w:val="false"/>
                <w:smallCaps w:val="false"/>
              </w:rPr>
              <w:t xml:space="preserve"> </w:t>
            </w:r>
            <w:r>
              <w:rPr>
                <w:rFonts w:ascii="Times New Roman;Times;serif" w:hAnsi="Times New Roman;Times;serif"/>
                <w:b w:val="false"/>
                <w:i w:val="false"/>
                <w:caps w:val="false"/>
                <w:smallCaps w:val="false"/>
                <w:sz w:val="20"/>
              </w:rPr>
              <w:t>million Promissory Note (the “New Note”).</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New Note is secured by a first priority interest in more than 1,000 mobile homes and two mobile-home parks located in Louisiana, and personal guarantees signed by the Individual Defendants. The New Note is secured by the same Louisiana collateral as the old Notes, while providing additional legal efficiencies. The Individual Defendants have personally guaranteed the New Note to the same extent they personally guaranteed the Entity Defendants’ prior debt.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presents the entire New Note on the accompanying balance sheets under the heading Notes receivable from mobile home parks (“MHP”), and interest income associated with the New Note is presented on the accompanying statement of income under the heading Consumer, MHP and dealer loans interest. The prior debt was presented on Form 10-Q for the quarterly period ended June 30, 2024 on the balance sheets under the headings Current portion of notes receivable from mobile home parks (“MHP”), Notes receivable from mobile home parks, net, Current portion of other notes receivable and Other notes receivable, net. Interest income associated with the prior debt was presented on Form 10-Q for the quarterly period ended June 30, 2024 on the statements of income under the headings Consumer, MHP and dealer loans interest and Non-operating interest income.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recorded the fair value of the real property from Cleveland and Forest Hollow on the accompanying balance sheets under the heading Property, plant and equipment, net. The Company recorded the fair value of the personal property from Cleveland and Forest Hollow on the accompanying balance sheets under the heading Other assets. The Agreement resulted in a gain for the Company of $3.4 million that is shown on the accompanying statements of income under the heading Other income (expense) for the nine months ended September 30, 2024.</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evaluated the recoverability of the New Note as of September 30, 2024 and determined a provision for expected loan losses is not necessary based on the analysis of the fair value of underlying collateral.</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bookmarkStart w:id="930" w:name="Tc_K3QZ2VKn0kusrqNVcQF30Q_6_23"/>
      <w:bookmarkStart w:id="931" w:name="Tc_2HFJPGxFR0KNJx1KzPrf5Q_6_20"/>
      <w:bookmarkStart w:id="932" w:name="Tc_HK14QVsjhUe4OP1bK9WDEg_6_17"/>
      <w:bookmarkStart w:id="933" w:name="Tc_9xF4Q__jm0W9jIKPUnLjPw_6_14"/>
      <w:bookmarkStart w:id="934" w:name="Tc_5Nl8mLWUtEawJMeM0joTjg_6_11"/>
      <w:bookmarkStart w:id="935" w:name="Tc_OFOyoDckOE23ftvP8Ufiug_6_8"/>
      <w:bookmarkStart w:id="936" w:name="Tc_8b5Nxu1Zh06U8ejerm57ow_6_5"/>
      <w:bookmarkStart w:id="937" w:name="Tc_WYqstEdD9k6pztVvblxP8w_6_2"/>
      <w:bookmarkStart w:id="938" w:name="Tc_NZDcAQNWGESLtH-IH3TaQA_6_0"/>
      <w:bookmarkStart w:id="939" w:name="Tc_iyN_46dldUKenQNWD5vj6A_5_24"/>
      <w:bookmarkStart w:id="940" w:name="Tc_lLI6HMbLhEqWR4mpYzbdGw_5_21"/>
      <w:bookmarkStart w:id="941" w:name="Tc_dNoREt6aU0mI_yzCQfRzHA_5_18"/>
      <w:bookmarkStart w:id="942" w:name="Tc_RBnuTqYSRUa4yVN_8pOyJg_5_15"/>
      <w:bookmarkStart w:id="943" w:name="Tc_B2QmYeF2sEGlMeMVlhshQg_5_12"/>
      <w:bookmarkStart w:id="944" w:name="Tc_WpLgGLuHE0-raO7nSa5-fw_5_9"/>
      <w:bookmarkStart w:id="945" w:name="Tc_h_rC2TpO2026y7YxGm0ezg_5_6"/>
      <w:bookmarkStart w:id="946" w:name="Tc_Yy5UIUbt6kSiR5CtqzG37w_5_3"/>
      <w:bookmarkStart w:id="947" w:name="Tc_V05jEtJvBEqurSrIKxjS8w_5_0"/>
      <w:bookmarkStart w:id="948" w:name="Tc_0NeLXzOxNkyERMz4p24rtA_4_18"/>
      <w:bookmarkStart w:id="949" w:name="Tc_g0cdimvfoUiT0Kh-2c111g_4_15"/>
      <w:bookmarkStart w:id="950" w:name="Tc_nnN-SzvR6EG661VPLBDNJw_4_12"/>
      <w:bookmarkStart w:id="951" w:name="Tc_gWhcJlUnqUSArupn99bEng_4_9"/>
      <w:bookmarkStart w:id="952" w:name="Tc_P0pqAAvWp0iIqIwT4yx0iQ_4_3"/>
      <w:bookmarkStart w:id="953" w:name="Tc_hSUDvkv-XEqk2VtF7xAvMw_4_0"/>
      <w:bookmarkStart w:id="954" w:name="Tc_xBCVPDc2_k2v78_l-qSDHw_3_23"/>
      <w:bookmarkStart w:id="955" w:name="Tc_0-VVYsuES0ChKopkyoObkQ_3_20"/>
      <w:bookmarkStart w:id="956" w:name="Tc_QixZpUBpUk6nCZz5jS1wFQ_3_17"/>
      <w:bookmarkStart w:id="957" w:name="Tc_DuMtQLSM802C74xzezNSRA_3_14"/>
      <w:bookmarkStart w:id="958" w:name="Tc_V8AJFRyAm02TIzmDf5b3GQ_3_11"/>
      <w:bookmarkStart w:id="959" w:name="Tc_cqrjMxk6bEaE3ao2W_SSYw_3_8"/>
      <w:bookmarkStart w:id="960" w:name="Tc_mI8-VFrbvkyI7PSEF4511g_3_5"/>
      <w:bookmarkStart w:id="961" w:name="Tc_vem2D-1Gx0m9MZ5tNR9OFw_3_2"/>
      <w:bookmarkStart w:id="962" w:name="Tc_MvSlU3-lNEmOLGU4kgHQxA_3_0"/>
      <w:bookmarkStart w:id="963" w:name="Tc_W7HZ4WtzlU-cQvcJAeSZzw_2_23"/>
      <w:bookmarkStart w:id="964" w:name="Tc_FzcFf3hVBkilbxJMHaJ24A_2_20"/>
      <w:bookmarkStart w:id="965" w:name="Tc_Y5BSPQZ4kUC6DhFf2rFUHA_2_17"/>
      <w:bookmarkStart w:id="966" w:name="Tc_pqaw0QJGx0aTgXnmvSa0dQ_2_14"/>
      <w:bookmarkStart w:id="967" w:name="Tc_P_GDsZ76P0OnUeDE12XJiA_2_11"/>
      <w:bookmarkStart w:id="968" w:name="Tc_EwjZub1BGU620WBL0nZa3w_2_8"/>
      <w:bookmarkStart w:id="969" w:name="Tc_3M1WHZYHgEWXRBa1b-7zyA_2_5"/>
      <w:bookmarkStart w:id="970" w:name="Tc_fB7Ay_fiIEeENtsuvajr9g_2_2"/>
      <w:bookmarkStart w:id="971" w:name="Tc_xx7jAiU8Y0mEK8ryi42Plg_1_2"/>
      <w:bookmarkStart w:id="972" w:name="Tc_MFOB09v4bEu1H3QlJXtV9Q_8_0"/>
      <w:bookmarkStart w:id="973" w:name="Tc_t87SosRBn020DgeKL5BFkw_7_0"/>
      <w:bookmarkStart w:id="974" w:name="Tc_4ZYL8LQI60a6xTsXXLkaUg_6_3"/>
      <w:bookmarkStart w:id="975" w:name="Tc_QBtXp3dHwUGclsCOTwLeqw_6_0"/>
      <w:bookmarkStart w:id="976" w:name="Tc_V6ya6V0jREi0hFtIaPAYAQ_5_3"/>
      <w:bookmarkStart w:id="977" w:name="Tc_3gDrjEV2LEGAOHEV0kmD2w_5_0"/>
      <w:bookmarkStart w:id="978" w:name="Tc_v6RMEWCdVkabxqn0Hci7Zw_4_0"/>
      <w:bookmarkStart w:id="979" w:name="Tc_He9upXaqskSU_LY9861YBw_3_5"/>
      <w:bookmarkStart w:id="980" w:name="Tc_JWY_fBdNjUiL15aeZFUIjQ_3_2"/>
      <w:bookmarkStart w:id="981" w:name="Tc_w0hkgftAQkeYPQ7nBypp3w_3_0"/>
      <w:bookmarkStart w:id="982" w:name="Tc_yvKE2rQ380-iG6XXtfmRTg_2_5"/>
      <w:bookmarkStart w:id="983" w:name="Tc_ZjezJ9yPMUWPT5Qxc9PZ_Q_2_2"/>
      <w:bookmarkStart w:id="984" w:name="Tc_Lnz9l-cDYU2vCmYdwmMmPw_1_5"/>
      <w:bookmarkStart w:id="985" w:name="Tc_ZgPSpJFw6Ui0TA7xiaF5NA_1_2"/>
      <w:bookmarkStart w:id="986" w:name="Tc_d-j2t0Xd0kmUDjWMTUN_2Q_7_12"/>
      <w:bookmarkStart w:id="987" w:name="Tc_dCtm51oqPk2S_PGbDg7QGw_7_9"/>
      <w:bookmarkStart w:id="988" w:name="Tc_AVeR2QGFekaP9bPXs-1baw_7_5"/>
      <w:bookmarkStart w:id="989" w:name="Tc_0SGqhbHjbEKd9XC7J-MTLA_7_2"/>
      <w:bookmarkStart w:id="990" w:name="Tc_QIPg3siGLUafZ_7wNO1qzA_7_0"/>
      <w:bookmarkStart w:id="991" w:name="Tc_wSHXTyQLl0qrMgvyPncdew_6_13"/>
      <w:bookmarkStart w:id="992" w:name="Tc_vGebbMp0u0mpl1GSMYlNbA_6_10"/>
      <w:bookmarkStart w:id="993" w:name="Tc_GLUgnBxJc0a2ldhO_v2lMg_6_6"/>
      <w:bookmarkStart w:id="994" w:name="Tc_l-EeukBdPEWdsMjdh91XyQ_6_3"/>
      <w:bookmarkStart w:id="995" w:name="Tc_DBMM4l33q0mE6smeTaI7EA_6_0"/>
      <w:bookmarkStart w:id="996" w:name="Tc_ediI6AwWv0-17Q3--vSjhQ_5_0"/>
      <w:bookmarkStart w:id="997" w:name="Tc__fZ1-zsef0K05sI_PfoAkA_4_13"/>
      <w:bookmarkStart w:id="998" w:name="Tc_iWllxQsImUmSOHyxngcJ9g_4_12"/>
      <w:bookmarkStart w:id="999" w:name="Tc_TQY5bkAE9k2fzXdupqfjmQ_4_9"/>
      <w:bookmarkStart w:id="1000" w:name="Tc_jnpuU88ArECDwzLRg3CGKg_4_5"/>
      <w:bookmarkStart w:id="1001" w:name="Tc_HncTuLv9jk6RfQir7DXbZw_4_2"/>
      <w:bookmarkStart w:id="1002" w:name="Tc__7Nvn3NugkGvFXwpVgLAwA_4_0"/>
      <w:bookmarkStart w:id="1003" w:name="Tc_8f_GOoCRbUWsyMjGA9Y4bg_3_12"/>
      <w:bookmarkStart w:id="1004" w:name="Tc_Jwz2qaoil06UI4InWLl9lA_3_9"/>
      <w:bookmarkStart w:id="1005" w:name="Tc_awsifZRnlEun8nXwLXkKEQ_3_5"/>
      <w:bookmarkStart w:id="1006" w:name="Tc_C56fauxIhUaHTRP-wUup8g_3_2"/>
      <w:bookmarkStart w:id="1007" w:name="Tc_K-nRd7UEnU-d7C9VWm-96g_2_9"/>
      <w:bookmarkStart w:id="1008" w:name="Tc_1j4jvJ_B102X07-ia2b1GA_2_2"/>
      <w:bookmarkStart w:id="1009" w:name="Tc_wpPROd3A502tPB4FwWQ4Jw_1_9"/>
      <w:bookmarkStart w:id="1010" w:name="Tc_mHKtg-C2GU2Agq3JaZZX9Q_1_2"/>
      <w:bookmarkStart w:id="1011" w:name="Tc_DLytVr5n_0ui3C971UBbrA_6_5"/>
      <w:bookmarkStart w:id="1012" w:name="Tc_U7RUXX0X2EinBZXn2eLafg_6_2"/>
      <w:bookmarkStart w:id="1013" w:name="Tc_PTnSTMHr7kKF5_yQhRtlFg_6_0"/>
      <w:bookmarkStart w:id="1014" w:name="Tc__NdUQB9ynUuvQrhWkqBZow_5_0"/>
      <w:bookmarkStart w:id="1015" w:name="Tc_NlImkmyj9ECbUy1CDf5V8g_4_0"/>
      <w:bookmarkStart w:id="1016" w:name="Tc_32xS7UcOpkuobsLuo5E80A_3_5"/>
      <w:bookmarkStart w:id="1017" w:name="Tc_c2pRvbHtMUeim5jlhVwGcA_3_2"/>
      <w:bookmarkStart w:id="1018" w:name="Tc_HRWn4cFfiki8UhyZZvCcxQ_3_0"/>
      <w:bookmarkStart w:id="1019" w:name="Tc_WS50YAlf-Uy4c2WnoRI8WQ_2_5"/>
      <w:bookmarkStart w:id="1020" w:name="Tc_FwlZheWqJkOJtWsnexYLMA_2_2"/>
      <w:bookmarkStart w:id="1021" w:name="Tc_hRlHSPJ-qkm5ifZc_L_-CA_1_5"/>
      <w:bookmarkStart w:id="1022" w:name="Tc_Q9bJZ7_dEkqvogNgGjZ9ug_1_2"/>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r>
        <w:rPr>
          <w:rFonts w:ascii="Times New Roman;Times;serif" w:hAnsi="Times New Roman;Times;serif"/>
          <w:sz w:val="20"/>
        </w:rPr>
        <w:t>Notes receivable from mobile home parks, net of allowance for loan losses and deferred financing fees, consisted of the following at September 30, 2024 and December 31, 2023:</w:t>
      </w:r>
    </w:p>
    <w:p>
      <w:pPr>
        <w:pStyle w:val="TextBody"/>
        <w:bidi w:val="0"/>
        <w:spacing w:before="0" w:after="0"/>
        <w:ind w:left="0" w:right="0" w:hanging="0"/>
        <w:jc w:val="left"/>
        <w:rPr/>
      </w:pPr>
      <w:r>
        <w:rPr/>
        <w:t>​</w:t>
      </w:r>
    </w:p>
    <w:tbl>
      <w:tblPr>
        <w:tblW w:w="6909" w:type="dxa"/>
        <w:jc w:val="left"/>
        <w:tblInd w:w="0" w:type="dxa"/>
        <w:tblLayout w:type="fixed"/>
        <w:tblCellMar>
          <w:top w:w="0" w:type="dxa"/>
          <w:left w:w="0" w:type="dxa"/>
          <w:bottom w:w="0" w:type="dxa"/>
          <w:right w:w="0" w:type="dxa"/>
        </w:tblCellMar>
      </w:tblPr>
      <w:tblGrid>
        <w:gridCol w:w="3526"/>
        <w:gridCol w:w="109"/>
        <w:gridCol w:w="332"/>
        <w:gridCol w:w="1228"/>
        <w:gridCol w:w="109"/>
        <w:gridCol w:w="305"/>
        <w:gridCol w:w="1300"/>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239010" cy="175260"/>
                      <wp:effectExtent l="0" t="0" r="0" b="0"/>
                      <wp:wrapNone/>
                      <wp:docPr id="186" name="Frame186"/>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9215" cy="175260"/>
                      <wp:effectExtent l="0" t="0" r="0" b="0"/>
                      <wp:wrapNone/>
                      <wp:docPr id="187" name="Frame1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0820" cy="175260"/>
                      <wp:effectExtent l="0" t="0" r="0" b="0"/>
                      <wp:wrapNone/>
                      <wp:docPr id="188" name="Frame188"/>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779780" cy="175260"/>
                      <wp:effectExtent l="0" t="0" r="0" b="0"/>
                      <wp:wrapNone/>
                      <wp:docPr id="189" name="Frame189"/>
                      <a:graphic xmlns:a="http://schemas.openxmlformats.org/drawingml/2006/main">
                        <a:graphicData uri="http://schemas.microsoft.com/office/word/2010/wordprocessingShape">
                          <wps:wsp>
                            <wps:cNvSpPr txBox="1"/>
                            <wps:spPr>
                              <a:xfrm>
                                <a:off x="0" y="0"/>
                                <a:ext cx="779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9215" cy="175260"/>
                      <wp:effectExtent l="0" t="0" r="0" b="0"/>
                      <wp:wrapNone/>
                      <wp:docPr id="190" name="Frame1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93675" cy="175260"/>
                      <wp:effectExtent l="0" t="0" r="0" b="0"/>
                      <wp:wrapNone/>
                      <wp:docPr id="191" name="Frame191"/>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825500" cy="175260"/>
                      <wp:effectExtent l="0" t="0" r="0" b="0"/>
                      <wp:wrapNone/>
                      <wp:docPr id="192" name="Frame192"/>
                      <a:graphic xmlns:a="http://schemas.openxmlformats.org/drawingml/2006/main">
                        <a:graphicData uri="http://schemas.microsoft.com/office/word/2010/wordprocessingShape">
                          <wps:wsp>
                            <wps:cNvSpPr txBox="1"/>
                            <wps:spPr>
                              <a:xfrm>
                                <a:off x="0" y="0"/>
                                <a:ext cx="825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6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September 30,</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5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principal balance</w:t>
            </w:r>
          </w:p>
        </w:tc>
        <w:tc>
          <w:tcPr>
            <w:tcW w:w="109" w:type="dxa"/>
            <w:tcBorders/>
            <w:shd w:fill="CCEEFF" w:val="clear"/>
            <w:vAlign w:val="center"/>
          </w:tcPr>
          <w:p>
            <w:pPr>
              <w:pStyle w:val="TableContents"/>
              <w:bidi w:val="0"/>
              <w:spacing w:before="0" w:after="1"/>
              <w:ind w:left="0" w:right="0" w:hanging="0"/>
              <w:jc w:val="left"/>
              <w:rPr/>
            </w:pPr>
            <w:r>
              <w:rPr/>
              <w:t>​</w:t>
            </w:r>
          </w:p>
        </w:tc>
        <w:tc>
          <w:tcPr>
            <w:tcW w:w="3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203,374</w:t>
            </w:r>
          </w:p>
        </w:tc>
        <w:tc>
          <w:tcPr>
            <w:tcW w:w="109"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184,280</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Loan discount and deferred financing fees</w:t>
            </w:r>
          </w:p>
        </w:tc>
        <w:tc>
          <w:tcPr>
            <w:tcW w:w="109"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w:t>
            </w:r>
          </w:p>
        </w:tc>
        <w:tc>
          <w:tcPr>
            <w:tcW w:w="12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(1,137)</w:t>
            </w:r>
          </w:p>
        </w:tc>
        <w:tc>
          <w:tcPr>
            <w:tcW w:w="109"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w:t>
            </w:r>
          </w:p>
        </w:tc>
        <w:tc>
          <w:tcPr>
            <w:tcW w:w="13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(1,565)</w:t>
            </w:r>
          </w:p>
        </w:tc>
      </w:tr>
      <w:tr>
        <w:trPr/>
        <w:tc>
          <w:tcPr>
            <w:tcW w:w="3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loan losses</w:t>
            </w:r>
          </w:p>
        </w:tc>
        <w:tc>
          <w:tcPr>
            <w:tcW w:w="109" w:type="dxa"/>
            <w:tcBorders/>
            <w:shd w:fill="CCEEFF" w:val="clear"/>
            <w:vAlign w:val="center"/>
          </w:tcPr>
          <w:p>
            <w:pPr>
              <w:pStyle w:val="TableContents"/>
              <w:bidi w:val="0"/>
              <w:spacing w:before="0" w:after="1"/>
              <w:ind w:left="0" w:right="0" w:hanging="0"/>
              <w:jc w:val="left"/>
              <w:rPr/>
            </w:pPr>
            <w:r>
              <w:rPr/>
              <w:t>​</w:t>
            </w:r>
          </w:p>
        </w:tc>
        <w:tc>
          <w:tcPr>
            <w:tcW w:w="3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(753)</w:t>
            </w:r>
          </w:p>
        </w:tc>
        <w:tc>
          <w:tcPr>
            <w:tcW w:w="109" w:type="dxa"/>
            <w:tcBorders/>
            <w:shd w:fill="CCEEFF" w:val="clear"/>
            <w:vAlign w:val="center"/>
          </w:tcPr>
          <w:p>
            <w:pPr>
              <w:pStyle w:val="TableContents"/>
              <w:bidi w:val="0"/>
              <w:spacing w:before="0" w:after="1"/>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3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w:t>
            </w:r>
          </w:p>
        </w:tc>
      </w:tr>
      <w:tr>
        <w:trPr/>
        <w:tc>
          <w:tcPr>
            <w:tcW w:w="35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1"/>
              <w:ind w:left="0" w:right="0" w:hanging="0"/>
              <w:jc w:val="left"/>
              <w:rPr/>
            </w:pPr>
            <w:r>
              <w:rPr/>
              <w:t>​</w:t>
            </w:r>
          </w:p>
        </w:tc>
        <w:tc>
          <w:tcPr>
            <w:tcW w:w="33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201,484</w:t>
            </w:r>
          </w:p>
        </w:tc>
        <w:tc>
          <w:tcPr>
            <w:tcW w:w="109" w:type="dxa"/>
            <w:tcBorders/>
            <w:vAlign w:val="center"/>
          </w:tcPr>
          <w:p>
            <w:pPr>
              <w:pStyle w:val="TableContents"/>
              <w:bidi w:val="0"/>
              <w:spacing w:before="0" w:after="1"/>
              <w:ind w:left="0" w:right="0" w:hanging="0"/>
              <w:jc w:val="left"/>
              <w:rPr/>
            </w:pPr>
            <w:r>
              <w:rPr/>
              <w:t>​</w:t>
            </w:r>
          </w:p>
        </w:tc>
        <w:tc>
          <w:tcPr>
            <w:tcW w:w="30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0"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181,980</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table presents a detail of the activity in the allowance for loan losses for the three and nine months ended September 30, 2024 and 2023:</w:t>
      </w:r>
    </w:p>
    <w:p>
      <w:pPr>
        <w:pStyle w:val="TextBody"/>
        <w:bidi w:val="0"/>
        <w:spacing w:before="0" w:after="0"/>
        <w:ind w:left="0" w:right="0" w:hanging="0"/>
        <w:jc w:val="left"/>
        <w:rPr/>
      </w:pPr>
      <w:r>
        <w:rPr/>
        <w:t>​</w:t>
      </w:r>
    </w:p>
    <w:tbl>
      <w:tblPr>
        <w:tblW w:w="7391" w:type="dxa"/>
        <w:jc w:val="left"/>
        <w:tblInd w:w="0" w:type="dxa"/>
        <w:tblLayout w:type="fixed"/>
        <w:tblCellMar>
          <w:top w:w="0" w:type="dxa"/>
          <w:left w:w="0" w:type="dxa"/>
          <w:bottom w:w="0" w:type="dxa"/>
          <w:right w:w="0" w:type="dxa"/>
        </w:tblCellMar>
      </w:tblPr>
      <w:tblGrid>
        <w:gridCol w:w="3901"/>
        <w:gridCol w:w="109"/>
        <w:gridCol w:w="246"/>
        <w:gridCol w:w="492"/>
        <w:gridCol w:w="127"/>
        <w:gridCol w:w="246"/>
        <w:gridCol w:w="492"/>
        <w:gridCol w:w="109"/>
        <w:gridCol w:w="109"/>
        <w:gridCol w:w="221"/>
        <w:gridCol w:w="441"/>
        <w:gridCol w:w="114"/>
        <w:gridCol w:w="221"/>
        <w:gridCol w:w="563"/>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477135" cy="175260"/>
                      <wp:effectExtent l="0" t="0" r="0" b="0"/>
                      <wp:wrapNone/>
                      <wp:docPr id="193" name="Frame193"/>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9215" cy="175260"/>
                      <wp:effectExtent l="0" t="0" r="0" b="0"/>
                      <wp:wrapNone/>
                      <wp:docPr id="194" name="Frame1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56210" cy="175260"/>
                      <wp:effectExtent l="0" t="0" r="0" b="0"/>
                      <wp:wrapNone/>
                      <wp:docPr id="195" name="Frame195"/>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312420" cy="175260"/>
                      <wp:effectExtent l="0" t="0" r="0" b="0"/>
                      <wp:wrapNone/>
                      <wp:docPr id="196" name="Frame196"/>
                      <a:graphic xmlns:a="http://schemas.openxmlformats.org/drawingml/2006/main">
                        <a:graphicData uri="http://schemas.microsoft.com/office/word/2010/wordprocessingShape">
                          <wps:wsp>
                            <wps:cNvSpPr txBox="1"/>
                            <wps:spPr>
                              <a:xfrm>
                                <a:off x="0" y="0"/>
                                <a:ext cx="312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80645" cy="175260"/>
                      <wp:effectExtent l="0" t="0" r="0" b="0"/>
                      <wp:wrapNone/>
                      <wp:docPr id="197" name="Frame197"/>
                      <a:graphic xmlns:a="http://schemas.openxmlformats.org/drawingml/2006/main">
                        <a:graphicData uri="http://schemas.microsoft.com/office/word/2010/wordprocessingShape">
                          <wps:wsp>
                            <wps:cNvSpPr txBox="1"/>
                            <wps:spPr>
                              <a:xfrm>
                                <a:off x="0" y="0"/>
                                <a:ext cx="80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56210" cy="175260"/>
                      <wp:effectExtent l="0" t="0" r="0" b="0"/>
                      <wp:wrapNone/>
                      <wp:docPr id="198" name="Frame198"/>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312420" cy="175260"/>
                      <wp:effectExtent l="0" t="0" r="0" b="0"/>
                      <wp:wrapNone/>
                      <wp:docPr id="199" name="Frame199"/>
                      <a:graphic xmlns:a="http://schemas.openxmlformats.org/drawingml/2006/main">
                        <a:graphicData uri="http://schemas.microsoft.com/office/word/2010/wordprocessingShape">
                          <wps:wsp>
                            <wps:cNvSpPr txBox="1"/>
                            <wps:spPr>
                              <a:xfrm>
                                <a:off x="0" y="0"/>
                                <a:ext cx="312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9215" cy="175260"/>
                      <wp:effectExtent l="0" t="0" r="0" b="0"/>
                      <wp:wrapNone/>
                      <wp:docPr id="200" name="Frame2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9215" cy="175260"/>
                      <wp:effectExtent l="0" t="0" r="0" b="0"/>
                      <wp:wrapNone/>
                      <wp:docPr id="201" name="Frame2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40335" cy="175260"/>
                      <wp:effectExtent l="0" t="0" r="0" b="0"/>
                      <wp:wrapNone/>
                      <wp:docPr id="202" name="Frame202"/>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80035" cy="175260"/>
                      <wp:effectExtent l="0" t="0" r="0" b="0"/>
                      <wp:wrapNone/>
                      <wp:docPr id="203" name="Frame203"/>
                      <a:graphic xmlns:a="http://schemas.openxmlformats.org/drawingml/2006/main">
                        <a:graphicData uri="http://schemas.microsoft.com/office/word/2010/wordprocessingShape">
                          <wps:wsp>
                            <wps:cNvSpPr txBox="1"/>
                            <wps:spPr>
                              <a:xfrm>
                                <a:off x="0" y="0"/>
                                <a:ext cx="280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72390" cy="175260"/>
                      <wp:effectExtent l="0" t="0" r="0" b="0"/>
                      <wp:wrapNone/>
                      <wp:docPr id="204" name="Frame204"/>
                      <a:graphic xmlns:a="http://schemas.openxmlformats.org/drawingml/2006/main">
                        <a:graphicData uri="http://schemas.microsoft.com/office/word/2010/wordprocessingShape">
                          <wps:wsp>
                            <wps:cNvSpPr txBox="1"/>
                            <wps:spPr>
                              <a:xfrm>
                                <a:off x="0" y="0"/>
                                <a:ext cx="72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40335" cy="175260"/>
                      <wp:effectExtent l="0" t="0" r="0" b="0"/>
                      <wp:wrapNone/>
                      <wp:docPr id="205" name="Frame205"/>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357505" cy="175260"/>
                      <wp:effectExtent l="0" t="0" r="0" b="0"/>
                      <wp:wrapNone/>
                      <wp:docPr id="206" name="Frame206"/>
                      <a:graphic xmlns:a="http://schemas.openxmlformats.org/drawingml/2006/main">
                        <a:graphicData uri="http://schemas.microsoft.com/office/word/2010/wordprocessingShape">
                          <wps:wsp>
                            <wps:cNvSpPr txBox="1"/>
                            <wps:spPr>
                              <a:xfrm>
                                <a:off x="0" y="0"/>
                                <a:ext cx="357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0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56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3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0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56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w:t>
            </w:r>
          </w:p>
        </w:tc>
      </w:tr>
      <w:tr>
        <w:trPr/>
        <w:tc>
          <w:tcPr>
            <w:tcW w:w="3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27" w:type="dxa"/>
            <w:tcBorders/>
            <w:vAlign w:val="center"/>
          </w:tcPr>
          <w:p>
            <w:pPr>
              <w:pStyle w:val="TableContents"/>
              <w:bidi w:val="0"/>
              <w:spacing w:before="0" w:after="1"/>
              <w:ind w:left="0" w:right="0" w:hanging="0"/>
              <w:jc w:val="left"/>
              <w:rPr/>
            </w:pPr>
            <w:r>
              <w:rPr/>
              <w:t>​</w:t>
            </w:r>
          </w:p>
        </w:tc>
        <w:tc>
          <w:tcPr>
            <w:tcW w:w="7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6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14" w:type="dxa"/>
            <w:tcBorders/>
            <w:vAlign w:val="center"/>
          </w:tcPr>
          <w:p>
            <w:pPr>
              <w:pStyle w:val="TableContents"/>
              <w:bidi w:val="0"/>
              <w:spacing w:before="0" w:after="1"/>
              <w:ind w:left="0" w:right="0" w:hanging="0"/>
              <w:jc w:val="left"/>
              <w:rPr/>
            </w:pPr>
            <w:r>
              <w:rPr/>
              <w:t>​</w:t>
            </w:r>
          </w:p>
        </w:tc>
        <w:tc>
          <w:tcPr>
            <w:tcW w:w="78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loan losses, beginning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711</w:t>
            </w:r>
          </w:p>
        </w:tc>
        <w:tc>
          <w:tcPr>
            <w:tcW w:w="127"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w:t>
            </w:r>
          </w:p>
        </w:tc>
        <w:tc>
          <w:tcPr>
            <w:tcW w:w="114"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3" w:type="dxa"/>
            <w:tcBorders/>
            <w:shd w:fill="CCEEFF" w:val="clear"/>
            <w:vAlign w:val="center"/>
          </w:tcPr>
          <w:p>
            <w:pPr>
              <w:pStyle w:val="TableContents"/>
              <w:bidi w:val="0"/>
              <w:spacing w:before="0" w:after="1"/>
              <w:ind w:left="0" w:right="0" w:hanging="0"/>
              <w:jc w:val="right"/>
              <w:rPr/>
            </w:pPr>
            <w:r>
              <w:rPr/>
              <w:t>—</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loan losses</w:t>
            </w:r>
          </w:p>
        </w:tc>
        <w:tc>
          <w:tcPr>
            <w:tcW w:w="109"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4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127"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4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4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114"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5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751</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(Charge offs) recoveries</w:t>
            </w:r>
          </w:p>
        </w:tc>
        <w:tc>
          <w:tcPr>
            <w:tcW w:w="109"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27"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4"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loan losses, end of period</w:t>
            </w:r>
          </w:p>
        </w:tc>
        <w:tc>
          <w:tcPr>
            <w:tcW w:w="109" w:type="dxa"/>
            <w:tcBorders/>
            <w:vAlign w:val="center"/>
          </w:tcPr>
          <w:p>
            <w:pPr>
              <w:pStyle w:val="TableContents"/>
              <w:bidi w:val="0"/>
              <w:spacing w:before="0" w:after="1"/>
              <w:ind w:left="0" w:right="0" w:hanging="0"/>
              <w:jc w:val="left"/>
              <w:rPr/>
            </w:pPr>
            <w:r>
              <w:rPr/>
              <w:t>​</w:t>
            </w:r>
          </w:p>
        </w:tc>
        <w:tc>
          <w:tcPr>
            <w:tcW w:w="2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753</w:t>
            </w:r>
          </w:p>
        </w:tc>
        <w:tc>
          <w:tcPr>
            <w:tcW w:w="127" w:type="dxa"/>
            <w:tcBorders/>
            <w:vAlign w:val="center"/>
          </w:tcPr>
          <w:p>
            <w:pPr>
              <w:pStyle w:val="TableContents"/>
              <w:bidi w:val="0"/>
              <w:spacing w:before="0" w:after="1"/>
              <w:ind w:left="0" w:right="0" w:hanging="0"/>
              <w:jc w:val="left"/>
              <w:rPr/>
            </w:pPr>
            <w:r>
              <w:rPr/>
              <w:t>​</w:t>
            </w:r>
          </w:p>
        </w:tc>
        <w:tc>
          <w:tcPr>
            <w:tcW w:w="2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751</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753</w:t>
            </w:r>
          </w:p>
        </w:tc>
        <w:tc>
          <w:tcPr>
            <w:tcW w:w="114" w:type="dxa"/>
            <w:tcBorders/>
            <w:vAlign w:val="center"/>
          </w:tcPr>
          <w:p>
            <w:pPr>
              <w:pStyle w:val="TableContents"/>
              <w:bidi w:val="0"/>
              <w:spacing w:before="0" w:after="1"/>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3"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751</w:t>
            </w:r>
          </w:p>
        </w:tc>
      </w:tr>
    </w:tbl>
    <w:p>
      <w:pPr>
        <w:pStyle w:val="TextBody"/>
        <w:bidi w:val="0"/>
        <w:spacing w:before="0" w:after="2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presents impaired and general reserve for allowance for loan losses at September 30, 2024 and December 31, 2023: </w:t>
      </w:r>
    </w:p>
    <w:p>
      <w:pPr>
        <w:pStyle w:val="TextBody"/>
        <w:bidi w:val="0"/>
        <w:spacing w:before="0" w:after="200"/>
        <w:ind w:left="0" w:right="0" w:firstLine="720"/>
        <w:jc w:val="left"/>
        <w:rPr/>
      </w:pPr>
      <w:r>
        <w:rPr/>
        <w:t>​</w:t>
      </w:r>
    </w:p>
    <w:tbl>
      <w:tblPr>
        <w:tblW w:w="7854" w:type="dxa"/>
        <w:jc w:val="left"/>
        <w:tblInd w:w="0" w:type="dxa"/>
        <w:tblLayout w:type="fixed"/>
        <w:tblCellMar>
          <w:top w:w="0" w:type="dxa"/>
          <w:left w:w="0" w:type="dxa"/>
          <w:bottom w:w="0" w:type="dxa"/>
          <w:right w:w="0" w:type="dxa"/>
        </w:tblCellMar>
      </w:tblPr>
      <w:tblGrid>
        <w:gridCol w:w="4471"/>
        <w:gridCol w:w="109"/>
        <w:gridCol w:w="332"/>
        <w:gridCol w:w="1228"/>
        <w:gridCol w:w="109"/>
        <w:gridCol w:w="326"/>
        <w:gridCol w:w="1279"/>
      </w:tblGrid>
      <w:tr>
        <w:trPr/>
        <w:tc>
          <w:tcPr>
            <w:tcW w:w="4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839085" cy="175260"/>
                      <wp:effectExtent l="0" t="0" r="0" b="0"/>
                      <wp:wrapNone/>
                      <wp:docPr id="207" name="Frame207"/>
                      <a:graphic xmlns:a="http://schemas.openxmlformats.org/drawingml/2006/main">
                        <a:graphicData uri="http://schemas.microsoft.com/office/word/2010/wordprocessingShape">
                          <wps:wsp>
                            <wps:cNvSpPr txBox="1"/>
                            <wps:spPr>
                              <a:xfrm>
                                <a:off x="0" y="0"/>
                                <a:ext cx="2839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9215" cy="175260"/>
                      <wp:effectExtent l="0" t="0" r="0" b="0"/>
                      <wp:wrapNone/>
                      <wp:docPr id="208" name="Frame2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0820" cy="175260"/>
                      <wp:effectExtent l="0" t="0" r="0" b="0"/>
                      <wp:wrapNone/>
                      <wp:docPr id="209" name="Frame209"/>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779780" cy="175260"/>
                      <wp:effectExtent l="0" t="0" r="0" b="0"/>
                      <wp:wrapNone/>
                      <wp:docPr id="210" name="Frame210"/>
                      <a:graphic xmlns:a="http://schemas.openxmlformats.org/drawingml/2006/main">
                        <a:graphicData uri="http://schemas.microsoft.com/office/word/2010/wordprocessingShape">
                          <wps:wsp>
                            <wps:cNvSpPr txBox="1"/>
                            <wps:spPr>
                              <a:xfrm>
                                <a:off x="0" y="0"/>
                                <a:ext cx="779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9215" cy="175260"/>
                      <wp:effectExtent l="0" t="0" r="0" b="0"/>
                      <wp:wrapNone/>
                      <wp:docPr id="211" name="Frame2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12"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812165" cy="175260"/>
                      <wp:effectExtent l="0" t="0" r="0" b="0"/>
                      <wp:wrapNone/>
                      <wp:docPr id="213" name="Frame213"/>
                      <a:graphic xmlns:a="http://schemas.openxmlformats.org/drawingml/2006/main">
                        <a:graphicData uri="http://schemas.microsoft.com/office/word/2010/wordprocessingShape">
                          <wps:wsp>
                            <wps:cNvSpPr txBox="1"/>
                            <wps:spPr>
                              <a:xfrm>
                                <a:off x="0" y="0"/>
                                <a:ext cx="812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6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September 30,</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4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MHP loans</w:t>
            </w:r>
          </w:p>
        </w:tc>
        <w:tc>
          <w:tcPr>
            <w:tcW w:w="109" w:type="dxa"/>
            <w:tcBorders/>
            <w:shd w:fill="CCEEFF" w:val="clear"/>
            <w:vAlign w:val="center"/>
          </w:tcPr>
          <w:p>
            <w:pPr>
              <w:pStyle w:val="TableContents"/>
              <w:bidi w:val="0"/>
              <w:spacing w:before="0" w:after="1"/>
              <w:ind w:left="0" w:right="0" w:hanging="0"/>
              <w:jc w:val="left"/>
              <w:rPr/>
            </w:pPr>
            <w:r>
              <w:rPr/>
              <w:t>​</w:t>
            </w:r>
          </w:p>
        </w:tc>
        <w:tc>
          <w:tcPr>
            <w:tcW w:w="3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203,374</w:t>
            </w:r>
          </w:p>
        </w:tc>
        <w:tc>
          <w:tcPr>
            <w:tcW w:w="10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184,280</w:t>
            </w:r>
          </w:p>
        </w:tc>
      </w:tr>
      <w:tr>
        <w:trPr/>
        <w:tc>
          <w:tcPr>
            <w:tcW w:w="4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loan losses</w:t>
            </w:r>
          </w:p>
        </w:tc>
        <w:tc>
          <w:tcPr>
            <w:tcW w:w="109"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w:t>
            </w:r>
          </w:p>
        </w:tc>
        <w:tc>
          <w:tcPr>
            <w:tcW w:w="12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753</w:t>
            </w:r>
          </w:p>
        </w:tc>
        <w:tc>
          <w:tcPr>
            <w:tcW w:w="1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w:t>
            </w:r>
          </w:p>
        </w:tc>
      </w:tr>
      <w:tr>
        <w:trPr/>
        <w:tc>
          <w:tcPr>
            <w:tcW w:w="4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Impaired loans individually evaluated for impairment</w:t>
            </w:r>
          </w:p>
        </w:tc>
        <w:tc>
          <w:tcPr>
            <w:tcW w:w="109" w:type="dxa"/>
            <w:tcBorders/>
            <w:shd w:fill="CCEEFF" w:val="clear"/>
            <w:vAlign w:val="center"/>
          </w:tcPr>
          <w:p>
            <w:pPr>
              <w:pStyle w:val="TableContents"/>
              <w:bidi w:val="0"/>
              <w:spacing w:before="0" w:after="1"/>
              <w:ind w:left="0" w:right="0" w:hanging="0"/>
              <w:jc w:val="lef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122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31,215</w:t>
            </w:r>
          </w:p>
        </w:tc>
      </w:tr>
      <w:tr>
        <w:trPr/>
        <w:tc>
          <w:tcPr>
            <w:tcW w:w="4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Specific reserve against impaired loans</w:t>
            </w:r>
          </w:p>
        </w:tc>
        <w:tc>
          <w:tcPr>
            <w:tcW w:w="109"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w:t>
            </w:r>
          </w:p>
        </w:tc>
        <w:tc>
          <w:tcPr>
            <w:tcW w:w="122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4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loans collectively evaluated for allowance</w:t>
            </w:r>
          </w:p>
        </w:tc>
        <w:tc>
          <w:tcPr>
            <w:tcW w:w="109" w:type="dxa"/>
            <w:tcBorders/>
            <w:shd w:fill="CCEEFF" w:val="clear"/>
            <w:vAlign w:val="center"/>
          </w:tcPr>
          <w:p>
            <w:pPr>
              <w:pStyle w:val="TableContents"/>
              <w:bidi w:val="0"/>
              <w:spacing w:before="0" w:after="1"/>
              <w:ind w:left="0" w:right="0" w:hanging="0"/>
              <w:jc w:val="left"/>
              <w:rPr/>
            </w:pPr>
            <w:r>
              <w:rPr/>
              <w:t>​</w:t>
            </w:r>
          </w:p>
        </w:tc>
        <w:tc>
          <w:tcPr>
            <w:tcW w:w="332" w:type="dxa"/>
            <w:tcBorders/>
            <w:shd w:fill="CCEEFF" w:val="clear"/>
            <w:vAlign w:val="center"/>
          </w:tcPr>
          <w:p>
            <w:pPr>
              <w:pStyle w:val="TableContents"/>
              <w:bidi w:val="0"/>
              <w:spacing w:before="0" w:after="1"/>
              <w:ind w:left="0" w:right="0" w:hanging="0"/>
              <w:jc w:val="left"/>
              <w:rPr/>
            </w:pPr>
            <w:r>
              <w:rPr/>
              <w:t> </w:t>
            </w:r>
          </w:p>
        </w:tc>
        <w:tc>
          <w:tcPr>
            <w:tcW w:w="12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203,374</w:t>
            </w:r>
          </w:p>
        </w:tc>
        <w:tc>
          <w:tcPr>
            <w:tcW w:w="10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153,065</w:t>
            </w:r>
          </w:p>
        </w:tc>
      </w:tr>
      <w:tr>
        <w:trPr/>
        <w:tc>
          <w:tcPr>
            <w:tcW w:w="4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allowance for loan losses</w:t>
            </w:r>
          </w:p>
        </w:tc>
        <w:tc>
          <w:tcPr>
            <w:tcW w:w="109"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w:t>
            </w:r>
          </w:p>
        </w:tc>
        <w:tc>
          <w:tcPr>
            <w:tcW w:w="12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753</w:t>
            </w:r>
          </w:p>
        </w:tc>
        <w:tc>
          <w:tcPr>
            <w:tcW w:w="1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79" w:type="dxa"/>
            <w:tcBorders/>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730</w:t>
            </w:r>
          </w:p>
        </w:tc>
      </w:tr>
    </w:tbl>
    <w:p>
      <w:pPr>
        <w:pStyle w:val="TextBody"/>
        <w:bidi w:val="0"/>
        <w:spacing w:before="0" w:after="2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evaluate the credit quality of our MHP portfolio based on the aging status of the loan and by payment activity. Loan delinquency reporting is generally based upon borrower payment activity relative to the contractual terms of the loan. The following table disaggregates the outstanding principal balance of MHP receivable by credit quality indicator based on delinquency status and fiscal year of origination and is presented as of September 30, 2024: </w:t>
      </w:r>
    </w:p>
    <w:p>
      <w:pPr>
        <w:pStyle w:val="TextBody"/>
        <w:bidi w:val="0"/>
        <w:spacing w:before="0" w:after="200"/>
        <w:ind w:left="0" w:right="0" w:firstLine="720"/>
        <w:jc w:val="left"/>
        <w:rPr/>
      </w:pPr>
      <w:r>
        <w:rPr/>
        <w:t>​</w:t>
      </w:r>
    </w:p>
    <w:tbl>
      <w:tblPr>
        <w:tblW w:w="10037" w:type="dxa"/>
        <w:jc w:val="left"/>
        <w:tblInd w:w="0" w:type="dxa"/>
        <w:tblLayout w:type="fixed"/>
        <w:tblCellMar>
          <w:top w:w="0" w:type="dxa"/>
          <w:left w:w="0" w:type="dxa"/>
          <w:bottom w:w="0" w:type="dxa"/>
          <w:right w:w="0" w:type="dxa"/>
        </w:tblCellMar>
      </w:tblPr>
      <w:tblGrid>
        <w:gridCol w:w="1741"/>
        <w:gridCol w:w="109"/>
        <w:gridCol w:w="211"/>
        <w:gridCol w:w="676"/>
        <w:gridCol w:w="109"/>
        <w:gridCol w:w="211"/>
        <w:gridCol w:w="676"/>
        <w:gridCol w:w="109"/>
        <w:gridCol w:w="211"/>
        <w:gridCol w:w="676"/>
        <w:gridCol w:w="109"/>
        <w:gridCol w:w="211"/>
        <w:gridCol w:w="676"/>
        <w:gridCol w:w="109"/>
        <w:gridCol w:w="211"/>
        <w:gridCol w:w="676"/>
        <w:gridCol w:w="109"/>
        <w:gridCol w:w="211"/>
        <w:gridCol w:w="571"/>
        <w:gridCol w:w="109"/>
        <w:gridCol w:w="211"/>
        <w:gridCol w:w="781"/>
        <w:gridCol w:w="109"/>
        <w:gridCol w:w="343"/>
        <w:gridCol w:w="872"/>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105535" cy="175260"/>
                      <wp:effectExtent l="0" t="0" r="0" b="0"/>
                      <wp:wrapNone/>
                      <wp:docPr id="214" name="Frame214"/>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9215" cy="175260"/>
                      <wp:effectExtent l="0" t="0" r="0" b="0"/>
                      <wp:wrapNone/>
                      <wp:docPr id="215" name="Frame2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33985" cy="175260"/>
                      <wp:effectExtent l="0" t="0" r="0" b="0"/>
                      <wp:wrapNone/>
                      <wp:docPr id="216" name="Frame2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29260" cy="175260"/>
                      <wp:effectExtent l="0" t="0" r="0" b="0"/>
                      <wp:wrapNone/>
                      <wp:docPr id="217" name="Frame21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9215" cy="175260"/>
                      <wp:effectExtent l="0" t="0" r="0" b="0"/>
                      <wp:wrapNone/>
                      <wp:docPr id="218" name="Frame2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33985" cy="175260"/>
                      <wp:effectExtent l="0" t="0" r="0" b="0"/>
                      <wp:wrapNone/>
                      <wp:docPr id="219" name="Frame2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29260" cy="175260"/>
                      <wp:effectExtent l="0" t="0" r="0" b="0"/>
                      <wp:wrapNone/>
                      <wp:docPr id="220" name="Frame22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9215" cy="175260"/>
                      <wp:effectExtent l="0" t="0" r="0" b="0"/>
                      <wp:wrapNone/>
                      <wp:docPr id="221" name="Frame2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3985" cy="175260"/>
                      <wp:effectExtent l="0" t="0" r="0" b="0"/>
                      <wp:wrapNone/>
                      <wp:docPr id="222" name="Frame2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29260" cy="175260"/>
                      <wp:effectExtent l="0" t="0" r="0" b="0"/>
                      <wp:wrapNone/>
                      <wp:docPr id="223" name="Frame22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9215" cy="175260"/>
                      <wp:effectExtent l="0" t="0" r="0" b="0"/>
                      <wp:wrapNone/>
                      <wp:docPr id="224" name="Frame2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225" name="Frame2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429260" cy="175260"/>
                      <wp:effectExtent l="0" t="0" r="0" b="0"/>
                      <wp:wrapNone/>
                      <wp:docPr id="226" name="Frame22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9215" cy="175260"/>
                      <wp:effectExtent l="0" t="0" r="0" b="0"/>
                      <wp:wrapNone/>
                      <wp:docPr id="227" name="Frame2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228" name="Frame2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29260" cy="175260"/>
                      <wp:effectExtent l="0" t="0" r="0" b="0"/>
                      <wp:wrapNone/>
                      <wp:docPr id="229" name="Frame22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9215" cy="175260"/>
                      <wp:effectExtent l="0" t="0" r="0" b="0"/>
                      <wp:wrapNone/>
                      <wp:docPr id="230" name="Frame2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260"/>
                      <wp:effectExtent l="0" t="0" r="0" b="0"/>
                      <wp:wrapNone/>
                      <wp:docPr id="231" name="Frame2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362585" cy="175260"/>
                      <wp:effectExtent l="0" t="0" r="0" b="0"/>
                      <wp:wrapNone/>
                      <wp:docPr id="232" name="Frame23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9215" cy="175260"/>
                      <wp:effectExtent l="0" t="0" r="0" b="0"/>
                      <wp:wrapNone/>
                      <wp:docPr id="233" name="Frame2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260"/>
                      <wp:effectExtent l="0" t="0" r="0" b="0"/>
                      <wp:wrapNone/>
                      <wp:docPr id="234" name="Frame2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95935" cy="175260"/>
                      <wp:effectExtent l="0" t="0" r="0" b="0"/>
                      <wp:wrapNone/>
                      <wp:docPr id="235" name="Frame23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9215" cy="175260"/>
                      <wp:effectExtent l="0" t="0" r="0" b="0"/>
                      <wp:wrapNone/>
                      <wp:docPr id="236" name="Frame2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7805" cy="175260"/>
                      <wp:effectExtent l="0" t="0" r="0" b="0"/>
                      <wp:wrapNone/>
                      <wp:docPr id="237" name="Frame237"/>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553720" cy="175260"/>
                      <wp:effectExtent l="0" t="0" r="0" b="0"/>
                      <wp:wrapNone/>
                      <wp:docPr id="238" name="Frame238"/>
                      <a:graphic xmlns:a="http://schemas.openxmlformats.org/drawingml/2006/main">
                        <a:graphicData uri="http://schemas.microsoft.com/office/word/2010/wordprocessingShape">
                          <wps:wsp>
                            <wps:cNvSpPr txBox="1"/>
                            <wps:spPr>
                              <a:xfrm>
                                <a:off x="0" y="0"/>
                                <a:ext cx="553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187" w:type="dxa"/>
            <w:gridSpan w:val="2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of Origination</w:t>
            </w:r>
          </w:p>
        </w:tc>
      </w:tr>
      <w:tr>
        <w:trPr/>
        <w:tc>
          <w:tcPr>
            <w:tcW w:w="17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Prior</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09" w:type="dxa"/>
            <w:tcBorders/>
            <w:vAlign w:val="center"/>
          </w:tcPr>
          <w:p>
            <w:pPr>
              <w:pStyle w:val="TableContents"/>
              <w:bidi w:val="0"/>
              <w:spacing w:before="0" w:after="1"/>
              <w:ind w:left="0" w:right="0" w:hanging="0"/>
              <w:jc w:val="left"/>
              <w:rPr/>
            </w:pPr>
            <w:r>
              <w:rPr/>
              <w:t>​</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Portfolio</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&lt; 30 days past due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78,028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38,870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33,940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21,683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24,607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199,563</w:t>
            </w:r>
          </w:p>
        </w:tc>
        <w:tc>
          <w:tcPr>
            <w:tcW w:w="109"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98.1</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30-90 days past due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3,811</w:t>
            </w:r>
          </w:p>
        </w:tc>
        <w:tc>
          <w:tcPr>
            <w:tcW w:w="109"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&gt; 90 days past due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78,028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42,681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33,940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21,683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24,607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203,374</w:t>
            </w:r>
          </w:p>
        </w:tc>
        <w:tc>
          <w:tcPr>
            <w:tcW w:w="109" w:type="dxa"/>
            <w:tcBorders/>
            <w:vAlign w:val="center"/>
          </w:tcPr>
          <w:p>
            <w:pPr>
              <w:pStyle w:val="TableContents"/>
              <w:bidi w:val="0"/>
              <w:spacing w:before="0" w:after="1"/>
              <w:ind w:left="0" w:right="0" w:hanging="0"/>
              <w:jc w:val="left"/>
              <w:rPr/>
            </w:pPr>
            <w:r>
              <w:rPr/>
              <w:t>​</w:t>
            </w:r>
          </w:p>
        </w:tc>
        <w:tc>
          <w:tcPr>
            <w:tcW w:w="34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100.0</w:t>
            </w:r>
          </w:p>
        </w:tc>
      </w:tr>
    </w:tbl>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5. OTHER NOTES RECEIVABLE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Other notes receivable relate to notes issued to mobile home park owners and dealers and are not directly tied to the sale of mobile homes. These other notes have varying maturity dates and generally require monthly principal and interest payments. They are collateralized by mortgages on real estate, mobile homes that we have financed for which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bookmarkStart w:id="1023" w:name="Tc_eJTUhVR_NUeOpSGFyCUZng_7_11"/>
      <w:bookmarkStart w:id="1024" w:name="Tc_n8juFCeKPUu5hCFWtSAQfQ_7_8"/>
      <w:bookmarkStart w:id="1025" w:name="Tc_tqKcFk-nIUua2qtVnJl_EQ_7_5"/>
      <w:bookmarkStart w:id="1026" w:name="Tc_P515oQXzW0Cu0nzUHMhpHA_7_2"/>
      <w:bookmarkStart w:id="1027" w:name="Tc_TP7inVlZg0mKQNmazd6XhA_7_0"/>
      <w:bookmarkStart w:id="1028" w:name="Tc_KwP8MBGacUWxUFm-D24bWw_6_12"/>
      <w:bookmarkStart w:id="1029" w:name="Tc_bjw-d8s-mUyMcGELfj4Xqw_6_9"/>
      <w:bookmarkStart w:id="1030" w:name="Tc_ltBeQMJInkSg0HIZXYRWmg_6_6"/>
      <w:bookmarkStart w:id="1031" w:name="Tc_Lrh6-1aDK0a0WZAOjF6C8w_6_3"/>
      <w:bookmarkStart w:id="1032" w:name="Tc_3cgnwtiRgU-k6L6e0AgiiA_6_0"/>
      <w:bookmarkStart w:id="1033" w:name="Tc_afpDZvu8u0SDd4SOU8ceGQ_5_0"/>
      <w:bookmarkStart w:id="1034" w:name="Tc_1DGgTuZOXUOtiF-FRfSGaA_4_12"/>
      <w:bookmarkStart w:id="1035" w:name="Tc_Gur08cV5SEaxD5T9U4UMVw_4_11"/>
      <w:bookmarkStart w:id="1036" w:name="Tc_KAtPpz5cw0eVdmyGvgapaA_4_8"/>
      <w:bookmarkStart w:id="1037" w:name="Tc_SkaG4ymzc0G7jTbHvDAwwg_4_5"/>
      <w:bookmarkStart w:id="1038" w:name="Tc_oZXgndgOe0CsnAFlYVeOSQ_4_2"/>
      <w:bookmarkStart w:id="1039" w:name="Tc_nvv-ySVxUkWlV_VoJ24crA_4_0"/>
      <w:bookmarkStart w:id="1040" w:name="Tc_4UloKsugcUykPjxqDT6E9g_3_11"/>
      <w:bookmarkStart w:id="1041" w:name="Tc_cTg0vzOLEU2EGHl8M10drw_3_8"/>
      <w:bookmarkStart w:id="1042" w:name="Tc_urBEaD9oBkOgGqDcK3vEWA_3_5"/>
      <w:bookmarkStart w:id="1043" w:name="Tc_iiz_Gs-RFEyGZ7l2-thwqQ_3_2"/>
      <w:bookmarkStart w:id="1044" w:name="Tc_z4rEZI0RDEaPm81YwfsovA_2_8"/>
      <w:bookmarkStart w:id="1045" w:name="Tc_bGuPH-gkqEK6yekBeKXVzw_2_2"/>
      <w:bookmarkStart w:id="1046" w:name="Tc__XaJFxPhgkq04tkFulF7FQ_1_8"/>
      <w:bookmarkStart w:id="1047" w:name="Tc_7YloEPYmb0GNSI_Qe9nj9Q_1_2"/>
      <w:bookmarkStart w:id="1048" w:name="Tc_QnbtKuEeZECU3neNKXuJWg_6_5"/>
      <w:bookmarkStart w:id="1049" w:name="Tc_fNH4zTWqR0SWfRbQ7hb0_A_6_2"/>
      <w:bookmarkStart w:id="1050" w:name="Tc_0MzESpsU5kOdrymW6wg6CA_6_0"/>
      <w:bookmarkStart w:id="1051" w:name="Tc_7CPTHo5jbE62dsjM9q9pKw_5_0"/>
      <w:bookmarkStart w:id="1052" w:name="Tc_-aPRU0N9LE2hj_6c_gxsBg_4_0"/>
      <w:bookmarkStart w:id="1053" w:name="Tc_FvSX3Ji6FE-KVIsMG2OERg_3_5"/>
      <w:bookmarkStart w:id="1054" w:name="Tc_2tC5p21NrEea2f-CPseqDw_3_2"/>
      <w:bookmarkStart w:id="1055" w:name="Tc_A3Opcv4iHEaf0ACHsk8jfw_3_0"/>
      <w:bookmarkStart w:id="1056" w:name="Tc_IEOq8WcYcka_VtY9g0eqgA_2_5"/>
      <w:bookmarkStart w:id="1057" w:name="Tc_WEVLAI5_kUWsBMEy1d8vPQ_2_2"/>
      <w:bookmarkStart w:id="1058" w:name="Tc_tq5k3XFHGky-DOo99dVCNQ_1_5"/>
      <w:bookmarkStart w:id="1059" w:name="Tc_5_z_06GB2UCLWQD1rA-dwQ_1_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r>
        <w:rPr>
          <w:rFonts w:ascii="Times New Roman;Times;serif" w:hAnsi="Times New Roman;Times;serif"/>
          <w:sz w:val="20"/>
        </w:rPr>
        <w:t xml:space="preserve">the borrower uses as offices, as well as vehicles. These notes typically are personally guaranteed by the borrowers. The interest rates on the other notes generally are fixed and range from 5.00% to 17.50%. The Company reserves for estimated losses on the other notes based on current economic conditions that may affect the borrower’s ability to pay, the borrower’s financial strength, and historical loss experience.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As of September 30, 2024, there were past due balances of $569 on other notes. As of December 31, 2023, there were past due balances of $22 on other notes, excluding any amounts attributable to the Notes, as described in Note 4, Notes Receivable from Mobile Home Parks, above. For the three months ended September 30, 2024 and 2023, there were no charge offs recorded for other notes. For the nine months ended September 30, 2024 and 2023, there were no charge offs recorded for other notes. Allowance for loan loss for the other notes was $208 and $236 as of September 30, 2024 and December 31, 2023, respectively. As of September 30, 2024 and December 31, 2023, the impaired balance of other notes was $88 and $84, respectively. Collateral for repossessed loans is acquired through foreclosure or similar proceedings and is recorded at the estimated fair value of the home, less the costs to sell.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Note 4, Notes Receivable from Mobile Home Parks, in these Notes to Condensed Financial Statements (Unaudited) for the quarter ended September 30, 2024 provides details regarding a settlement agreement related to prior debt that was presented in Form 10-Q for the quarterly period ended June 30, 2024 on the balance sheets under the headings Current portion of notes receivable from mobile home parks (“MHP”), Notes receivable from mobile home parks, net, Current portion of other notes receivable and Other notes receivable, net.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Other notes receivable, net of allowance for loan losses and deferred financing fees, consisted of the following at September 30, 2024 and December 31, 2023:</w:t>
      </w:r>
    </w:p>
    <w:p>
      <w:pPr>
        <w:pStyle w:val="TextBody"/>
        <w:bidi w:val="0"/>
        <w:spacing w:before="0" w:after="0"/>
        <w:ind w:left="0" w:right="0" w:hanging="0"/>
        <w:jc w:val="left"/>
        <w:rPr/>
      </w:pPr>
      <w:r>
        <w:rPr/>
        <w:t>​</w:t>
      </w:r>
    </w:p>
    <w:tbl>
      <w:tblPr>
        <w:tblW w:w="7388" w:type="dxa"/>
        <w:jc w:val="left"/>
        <w:tblInd w:w="0" w:type="dxa"/>
        <w:tblLayout w:type="fixed"/>
        <w:tblCellMar>
          <w:top w:w="0" w:type="dxa"/>
          <w:left w:w="0" w:type="dxa"/>
          <w:bottom w:w="0" w:type="dxa"/>
          <w:right w:w="0" w:type="dxa"/>
        </w:tblCellMar>
      </w:tblPr>
      <w:tblGrid>
        <w:gridCol w:w="3526"/>
        <w:gridCol w:w="326"/>
        <w:gridCol w:w="432"/>
        <w:gridCol w:w="1173"/>
        <w:gridCol w:w="326"/>
        <w:gridCol w:w="337"/>
        <w:gridCol w:w="1268"/>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239010" cy="175260"/>
                      <wp:effectExtent l="0" t="0" r="0" b="0"/>
                      <wp:wrapNone/>
                      <wp:docPr id="239" name="Frame239"/>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7010" cy="175260"/>
                      <wp:effectExtent l="0" t="0" r="0" b="0"/>
                      <wp:wrapNone/>
                      <wp:docPr id="240" name="Frame2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74320" cy="175260"/>
                      <wp:effectExtent l="0" t="0" r="0" b="0"/>
                      <wp:wrapNone/>
                      <wp:docPr id="241" name="Frame241"/>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744855" cy="175260"/>
                      <wp:effectExtent l="0" t="0" r="0" b="0"/>
                      <wp:wrapNone/>
                      <wp:docPr id="242" name="Frame242"/>
                      <a:graphic xmlns:a="http://schemas.openxmlformats.org/drawingml/2006/main">
                        <a:graphicData uri="http://schemas.microsoft.com/office/word/2010/wordprocessingShape">
                          <wps:wsp>
                            <wps:cNvSpPr txBox="1"/>
                            <wps:spPr>
                              <a:xfrm>
                                <a:off x="0" y="0"/>
                                <a:ext cx="744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43" name="Frame2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3995" cy="175260"/>
                      <wp:effectExtent l="0" t="0" r="0" b="0"/>
                      <wp:wrapNone/>
                      <wp:docPr id="244" name="Frame244"/>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805180" cy="175260"/>
                      <wp:effectExtent l="0" t="0" r="0" b="0"/>
                      <wp:wrapNone/>
                      <wp:docPr id="245" name="Frame245"/>
                      <a:graphic xmlns:a="http://schemas.openxmlformats.org/drawingml/2006/main">
                        <a:graphicData uri="http://schemas.microsoft.com/office/word/2010/wordprocessingShape">
                          <wps:wsp>
                            <wps:cNvSpPr txBox="1"/>
                            <wps:spPr>
                              <a:xfrm>
                                <a:off x="0" y="0"/>
                                <a:ext cx="805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32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principal balance</w:t>
            </w:r>
          </w:p>
        </w:tc>
        <w:tc>
          <w:tcPr>
            <w:tcW w:w="326" w:type="dxa"/>
            <w:tcBorders/>
            <w:shd w:fill="CCEEFF" w:val="clear"/>
            <w:vAlign w:val="center"/>
          </w:tcPr>
          <w:p>
            <w:pPr>
              <w:pStyle w:val="TableContents"/>
              <w:bidi w:val="0"/>
              <w:spacing w:before="0" w:after="0"/>
              <w:ind w:left="0" w:right="0" w:hanging="0"/>
              <w:jc w:val="left"/>
              <w:rPr/>
            </w:pPr>
            <w:r>
              <w:rPr/>
              <w:t>​</w:t>
            </w:r>
          </w:p>
        </w:tc>
        <w:tc>
          <w:tcPr>
            <w:tcW w:w="4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8,151</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35,353</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 discount and deferred financing fees</w:t>
            </w:r>
          </w:p>
        </w:tc>
        <w:tc>
          <w:tcPr>
            <w:tcW w:w="326" w:type="dxa"/>
            <w:tcBorders/>
            <w:vAlign w:val="center"/>
          </w:tcPr>
          <w:p>
            <w:pPr>
              <w:pStyle w:val="TableContents"/>
              <w:bidi w:val="0"/>
              <w:spacing w:before="0" w:after="0"/>
              <w:ind w:left="0" w:right="0" w:hanging="0"/>
              <w:jc w:val="left"/>
              <w:rPr/>
            </w:pPr>
            <w:r>
              <w:rPr/>
              <w:t>​</w:t>
            </w:r>
          </w:p>
        </w:tc>
        <w:tc>
          <w:tcPr>
            <w:tcW w:w="432" w:type="dxa"/>
            <w:tcBorders/>
            <w:vAlign w:val="center"/>
          </w:tcPr>
          <w:p>
            <w:pPr>
              <w:pStyle w:val="TableContents"/>
              <w:bidi w:val="0"/>
              <w:spacing w:before="0" w:after="0"/>
              <w:ind w:left="0" w:right="0" w:hanging="0"/>
              <w:jc w:val="left"/>
              <w:rPr/>
            </w:pPr>
            <w:r>
              <w:rPr/>
              <w:t>​</w:t>
            </w:r>
          </w:p>
        </w:tc>
        <w:tc>
          <w:tcPr>
            <w:tcW w:w="11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12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loan losses</w:t>
            </w:r>
          </w:p>
        </w:tc>
        <w:tc>
          <w:tcPr>
            <w:tcW w:w="326" w:type="dxa"/>
            <w:tcBorders/>
            <w:shd w:fill="CCEEFF" w:val="clear"/>
            <w:vAlign w:val="center"/>
          </w:tcPr>
          <w:p>
            <w:pPr>
              <w:pStyle w:val="TableContents"/>
              <w:bidi w:val="0"/>
              <w:spacing w:before="0" w:after="0"/>
              <w:ind w:left="0" w:right="0" w:hanging="0"/>
              <w:jc w:val="left"/>
              <w:rPr/>
            </w:pPr>
            <w:r>
              <w:rPr/>
              <w:t>​</w:t>
            </w:r>
          </w:p>
        </w:tc>
        <w:tc>
          <w:tcPr>
            <w:tcW w:w="4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4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7,846</w:t>
            </w:r>
          </w:p>
        </w:tc>
        <w:tc>
          <w:tcPr>
            <w:tcW w:w="326" w:type="dxa"/>
            <w:tcBorders/>
            <w:vAlign w:val="center"/>
          </w:tcPr>
          <w:p>
            <w:pPr>
              <w:pStyle w:val="TableContents"/>
              <w:bidi w:val="0"/>
              <w:spacing w:before="0" w:after="0"/>
              <w:ind w:left="0" w:right="0" w:hanging="0"/>
              <w:jc w:val="left"/>
              <w:rPr/>
            </w:pPr>
            <w:r>
              <w:rPr/>
              <w:t>​</w:t>
            </w:r>
          </w:p>
        </w:tc>
        <w:tc>
          <w:tcPr>
            <w:tcW w:w="3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34,590</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table presents a detail of the activity in the allowance for loan losses for the three and nine months ended September 30, 2024 and 2023:</w:t>
      </w:r>
    </w:p>
    <w:p>
      <w:pPr>
        <w:pStyle w:val="TextBody"/>
        <w:bidi w:val="0"/>
        <w:spacing w:before="0" w:after="0"/>
        <w:ind w:left="0" w:right="0" w:hanging="0"/>
        <w:jc w:val="left"/>
        <w:rPr/>
      </w:pPr>
      <w:r>
        <w:rPr/>
        <w:t>​</w:t>
      </w:r>
    </w:p>
    <w:tbl>
      <w:tblPr>
        <w:tblW w:w="7283" w:type="dxa"/>
        <w:jc w:val="left"/>
        <w:tblInd w:w="0" w:type="dxa"/>
        <w:tblLayout w:type="fixed"/>
        <w:tblCellMar>
          <w:top w:w="0" w:type="dxa"/>
          <w:left w:w="0" w:type="dxa"/>
          <w:bottom w:w="0" w:type="dxa"/>
          <w:right w:w="0" w:type="dxa"/>
        </w:tblCellMar>
      </w:tblPr>
      <w:tblGrid>
        <w:gridCol w:w="3901"/>
        <w:gridCol w:w="109"/>
        <w:gridCol w:w="244"/>
        <w:gridCol w:w="487"/>
        <w:gridCol w:w="126"/>
        <w:gridCol w:w="244"/>
        <w:gridCol w:w="504"/>
        <w:gridCol w:w="109"/>
        <w:gridCol w:w="218"/>
        <w:gridCol w:w="452"/>
        <w:gridCol w:w="113"/>
        <w:gridCol w:w="218"/>
        <w:gridCol w:w="558"/>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477135" cy="175260"/>
                      <wp:effectExtent l="0" t="0" r="0" b="0"/>
                      <wp:wrapNone/>
                      <wp:docPr id="246" name="Frame246"/>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9215" cy="175260"/>
                      <wp:effectExtent l="0" t="0" r="0" b="0"/>
                      <wp:wrapNone/>
                      <wp:docPr id="247" name="Frame2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54940" cy="175260"/>
                      <wp:effectExtent l="0" t="0" r="0" b="0"/>
                      <wp:wrapNone/>
                      <wp:docPr id="248" name="Frame248"/>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309245" cy="175260"/>
                      <wp:effectExtent l="0" t="0" r="0" b="0"/>
                      <wp:wrapNone/>
                      <wp:docPr id="249" name="Frame249"/>
                      <a:graphic xmlns:a="http://schemas.openxmlformats.org/drawingml/2006/main">
                        <a:graphicData uri="http://schemas.microsoft.com/office/word/2010/wordprocessingShape">
                          <wps:wsp>
                            <wps:cNvSpPr txBox="1"/>
                            <wps:spPr>
                              <a:xfrm>
                                <a:off x="0" y="0"/>
                                <a:ext cx="309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80010" cy="175260"/>
                      <wp:effectExtent l="0" t="0" r="0" b="0"/>
                      <wp:wrapNone/>
                      <wp:docPr id="250" name="Frame250"/>
                      <a:graphic xmlns:a="http://schemas.openxmlformats.org/drawingml/2006/main">
                        <a:graphicData uri="http://schemas.microsoft.com/office/word/2010/wordprocessingShape">
                          <wps:wsp>
                            <wps:cNvSpPr txBox="1"/>
                            <wps:spPr>
                              <a:xfrm>
                                <a:off x="0" y="0"/>
                                <a:ext cx="80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54940" cy="175260"/>
                      <wp:effectExtent l="0" t="0" r="0" b="0"/>
                      <wp:wrapNone/>
                      <wp:docPr id="251" name="Frame251"/>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320040" cy="175260"/>
                      <wp:effectExtent l="0" t="0" r="0" b="0"/>
                      <wp:wrapNone/>
                      <wp:docPr id="252" name="Frame252"/>
                      <a:graphic xmlns:a="http://schemas.openxmlformats.org/drawingml/2006/main">
                        <a:graphicData uri="http://schemas.microsoft.com/office/word/2010/wordprocessingShape">
                          <wps:wsp>
                            <wps:cNvSpPr txBox="1"/>
                            <wps:spPr>
                              <a:xfrm>
                                <a:off x="0" y="0"/>
                                <a:ext cx="320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9215" cy="175260"/>
                      <wp:effectExtent l="0" t="0" r="0" b="0"/>
                      <wp:wrapNone/>
                      <wp:docPr id="253" name="Frame2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38430" cy="175260"/>
                      <wp:effectExtent l="0" t="0" r="0" b="0"/>
                      <wp:wrapNone/>
                      <wp:docPr id="254" name="Frame254"/>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87020" cy="175260"/>
                      <wp:effectExtent l="0" t="0" r="0" b="0"/>
                      <wp:wrapNone/>
                      <wp:docPr id="255" name="Frame255"/>
                      <a:graphic xmlns:a="http://schemas.openxmlformats.org/drawingml/2006/main">
                        <a:graphicData uri="http://schemas.microsoft.com/office/word/2010/wordprocessingShape">
                          <wps:wsp>
                            <wps:cNvSpPr txBox="1"/>
                            <wps:spPr>
                              <a:xfrm>
                                <a:off x="0" y="0"/>
                                <a:ext cx="287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71755" cy="175260"/>
                      <wp:effectExtent l="0" t="0" r="0" b="0"/>
                      <wp:wrapNone/>
                      <wp:docPr id="256" name="Frame256"/>
                      <a:graphic xmlns:a="http://schemas.openxmlformats.org/drawingml/2006/main">
                        <a:graphicData uri="http://schemas.microsoft.com/office/word/2010/wordprocessingShape">
                          <wps:wsp>
                            <wps:cNvSpPr txBox="1"/>
                            <wps:spPr>
                              <a:xfrm>
                                <a:off x="0" y="0"/>
                                <a:ext cx="71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8430" cy="175260"/>
                      <wp:effectExtent l="0" t="0" r="0" b="0"/>
                      <wp:wrapNone/>
                      <wp:docPr id="257" name="Frame257"/>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354330" cy="175260"/>
                      <wp:effectExtent l="0" t="0" r="0" b="0"/>
                      <wp:wrapNone/>
                      <wp:docPr id="258" name="Frame258"/>
                      <a:graphic xmlns:a="http://schemas.openxmlformats.org/drawingml/2006/main">
                        <a:graphicData uri="http://schemas.microsoft.com/office/word/2010/wordprocessingShape">
                          <wps:wsp>
                            <wps:cNvSpPr txBox="1"/>
                            <wps:spPr>
                              <a:xfrm>
                                <a:off x="0" y="0"/>
                                <a:ext cx="354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0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1"/>
              <w:ind w:left="0" w:right="0" w:hanging="0"/>
              <w:jc w:val="left"/>
              <w:rPr/>
            </w:pPr>
            <w:r>
              <w:rPr/>
              <w:t>​</w:t>
            </w:r>
          </w:p>
        </w:tc>
        <w:tc>
          <w:tcPr>
            <w:tcW w:w="155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3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0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109" w:type="dxa"/>
            <w:tcBorders/>
            <w:vAlign w:val="center"/>
          </w:tcPr>
          <w:p>
            <w:pPr>
              <w:pStyle w:val="TableContents"/>
              <w:bidi w:val="0"/>
              <w:spacing w:before="0" w:after="1"/>
              <w:ind w:left="0" w:right="0" w:hanging="0"/>
              <w:jc w:val="left"/>
              <w:rPr/>
            </w:pPr>
            <w:r>
              <w:rPr/>
              <w:t>​</w:t>
            </w:r>
          </w:p>
        </w:tc>
        <w:tc>
          <w:tcPr>
            <w:tcW w:w="155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w:t>
            </w:r>
          </w:p>
        </w:tc>
      </w:tr>
      <w:tr>
        <w:trPr/>
        <w:tc>
          <w:tcPr>
            <w:tcW w:w="3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26" w:type="dxa"/>
            <w:tcBorders/>
            <w:vAlign w:val="center"/>
          </w:tcPr>
          <w:p>
            <w:pPr>
              <w:pStyle w:val="TableContents"/>
              <w:bidi w:val="0"/>
              <w:spacing w:before="0" w:after="1"/>
              <w:ind w:left="0" w:right="0" w:hanging="0"/>
              <w:jc w:val="left"/>
              <w:rPr/>
            </w:pPr>
            <w:r>
              <w:rPr/>
              <w:t>​</w:t>
            </w:r>
          </w:p>
        </w:tc>
        <w:tc>
          <w:tcPr>
            <w:tcW w:w="74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6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13" w:type="dxa"/>
            <w:tcBorders/>
            <w:vAlign w:val="center"/>
          </w:tcPr>
          <w:p>
            <w:pPr>
              <w:pStyle w:val="TableContents"/>
              <w:bidi w:val="0"/>
              <w:spacing w:before="0" w:after="1"/>
              <w:ind w:left="0" w:right="0" w:hanging="0"/>
              <w:jc w:val="left"/>
              <w:rPr/>
            </w:pPr>
            <w:r>
              <w:rPr/>
              <w:t>​</w:t>
            </w:r>
          </w:p>
        </w:tc>
        <w:tc>
          <w:tcPr>
            <w:tcW w:w="7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loan losses, beginning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w:t>
            </w:r>
          </w:p>
        </w:tc>
        <w:tc>
          <w:tcPr>
            <w:tcW w:w="12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w:t>
            </w:r>
          </w:p>
        </w:tc>
        <w:tc>
          <w:tcPr>
            <w:tcW w:w="113"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8" w:type="dxa"/>
            <w:tcBorders/>
            <w:shd w:fill="CCEEFF" w:val="clear"/>
            <w:vAlign w:val="center"/>
          </w:tcPr>
          <w:p>
            <w:pPr>
              <w:pStyle w:val="TableContents"/>
              <w:bidi w:val="0"/>
              <w:spacing w:before="0" w:after="1"/>
              <w:ind w:left="0" w:right="0" w:hanging="0"/>
              <w:jc w:val="right"/>
              <w:rPr/>
            </w:pPr>
            <w:r>
              <w:rPr/>
              <w:t>—</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loan losses</w:t>
            </w:r>
          </w:p>
        </w:tc>
        <w:tc>
          <w:tcPr>
            <w:tcW w:w="109"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4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12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5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4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113"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(Charge offs) recoveries</w:t>
            </w:r>
          </w:p>
        </w:tc>
        <w:tc>
          <w:tcPr>
            <w:tcW w:w="109" w:type="dxa"/>
            <w:tcBorders/>
            <w:shd w:fill="CCEEFF" w:val="clear"/>
            <w:vAlign w:val="center"/>
          </w:tcPr>
          <w:p>
            <w:pPr>
              <w:pStyle w:val="TableContents"/>
              <w:bidi w:val="0"/>
              <w:spacing w:before="0" w:after="1"/>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26" w:type="dxa"/>
            <w:tcBorders/>
            <w:shd w:fill="CCEEFF" w:val="clear"/>
            <w:vAlign w:val="center"/>
          </w:tcPr>
          <w:p>
            <w:pPr>
              <w:pStyle w:val="TableContents"/>
              <w:bidi w:val="0"/>
              <w:spacing w:before="0" w:after="1"/>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3"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loan losses, end of period</w:t>
            </w:r>
          </w:p>
        </w:tc>
        <w:tc>
          <w:tcPr>
            <w:tcW w:w="109" w:type="dxa"/>
            <w:tcBorders/>
            <w:vAlign w:val="center"/>
          </w:tcPr>
          <w:p>
            <w:pPr>
              <w:pStyle w:val="TableContents"/>
              <w:bidi w:val="0"/>
              <w:spacing w:before="0" w:after="1"/>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w:t>
            </w:r>
          </w:p>
        </w:tc>
        <w:tc>
          <w:tcPr>
            <w:tcW w:w="126" w:type="dxa"/>
            <w:tcBorders/>
            <w:vAlign w:val="center"/>
          </w:tcPr>
          <w:p>
            <w:pPr>
              <w:pStyle w:val="TableContents"/>
              <w:bidi w:val="0"/>
              <w:spacing w:before="0" w:after="1"/>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w:t>
            </w:r>
          </w:p>
        </w:tc>
        <w:tc>
          <w:tcPr>
            <w:tcW w:w="109" w:type="dxa"/>
            <w:tcBorders/>
            <w:vAlign w:val="center"/>
          </w:tcPr>
          <w:p>
            <w:pPr>
              <w:pStyle w:val="TableContents"/>
              <w:bidi w:val="0"/>
              <w:spacing w:before="0" w:after="1"/>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w:t>
            </w:r>
          </w:p>
        </w:tc>
        <w:tc>
          <w:tcPr>
            <w:tcW w:w="113" w:type="dxa"/>
            <w:tcBorders/>
            <w:vAlign w:val="center"/>
          </w:tcPr>
          <w:p>
            <w:pPr>
              <w:pStyle w:val="TableContents"/>
              <w:bidi w:val="0"/>
              <w:spacing w:before="0" w:after="1"/>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8"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189</w:t>
            </w:r>
          </w:p>
        </w:tc>
      </w:tr>
    </w:tbl>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firstLine="720"/>
        <w:jc w:val="left"/>
        <w:rPr/>
      </w:pPr>
      <w:bookmarkStart w:id="1060" w:name="Tc_LGvYe_5HXkamvvFThAeGgw_6_23"/>
      <w:bookmarkStart w:id="1061" w:name="Tc_loZhIlZOM0G2YhBeQjgzaQ_6_20"/>
      <w:bookmarkStart w:id="1062" w:name="Tc_1ike3iS5KUmDM_pOLLTHyQ_6_17"/>
      <w:bookmarkStart w:id="1063" w:name="Tc_jqN2a4Wz8ECkNIUqVZr10Q_6_14"/>
      <w:bookmarkStart w:id="1064" w:name="Tc_t_x0pyjrgUOMM-drvaChIQ_6_11"/>
      <w:bookmarkStart w:id="1065" w:name="Tc_Rcr-xQfgSEekCzeQqR8H4A_6_8"/>
      <w:bookmarkStart w:id="1066" w:name="Tc_jcQqATwuAUeOCKmPra8d3Q_6_5"/>
      <w:bookmarkStart w:id="1067" w:name="Tc_UrcVSc5R0U2P5n80VbZjBw_6_2"/>
      <w:bookmarkStart w:id="1068" w:name="Tc_zIANISJ260up1ba7L8D1qg_6_0"/>
      <w:bookmarkStart w:id="1069" w:name="Tc_Km7mQUmqJkartenNhj50Mw_5_15"/>
      <w:bookmarkStart w:id="1070" w:name="Tc_M798S4k8zEa4dMqKw1_enQ_5_6"/>
      <w:bookmarkStart w:id="1071" w:name="Tc_NEq-rIfhFEK7c0qkZKS6zg_5_3"/>
      <w:bookmarkStart w:id="1072" w:name="Tc_wEWVz3e9k0ykn4CrfsVlhA_5_0"/>
      <w:bookmarkStart w:id="1073" w:name="Tc_Ew86iYQYfEiICFBu0RxfqQ_4_24"/>
      <w:bookmarkStart w:id="1074" w:name="Tc_BdYDzStBjEC_OSBhaRo6gQ_4_21"/>
      <w:bookmarkStart w:id="1075" w:name="Tc_lz8Bgtd4NUCtlIUHwdA2gQ_4_18"/>
      <w:bookmarkStart w:id="1076" w:name="Tc_5qqlwqZph0me4ru8v145SQ_4_15"/>
      <w:bookmarkStart w:id="1077" w:name="Tc_iNC1YW1f90i2f40GMOYiPA_4_12"/>
      <w:bookmarkStart w:id="1078" w:name="Tc_gDkB1CSvSEu6OMmjFoOdzg_4_9"/>
      <w:bookmarkStart w:id="1079" w:name="Tc_kV3ONAFTjEis3m6Pdg9muQ_4_6"/>
      <w:bookmarkStart w:id="1080" w:name="Tc_V-cEdi6LrkKiapFMfsAf8A_4_3"/>
      <w:bookmarkStart w:id="1081" w:name="Tc_FG2JLmOD0UajUkJy_mEDMQ_4_0"/>
      <w:bookmarkStart w:id="1082" w:name="Tc_-mTxiLe5b020nnen8wBq9g_3_23"/>
      <w:bookmarkStart w:id="1083" w:name="Tc_BqAFogpavEq4wV1VSwPskw_3_20"/>
      <w:bookmarkStart w:id="1084" w:name="Tc_WsvJXNNvwUG3VYbdlWTDqQ_3_17"/>
      <w:bookmarkStart w:id="1085" w:name="Tc_eP8yOCNKJECGEZGsEBVM3w_3_14"/>
      <w:bookmarkStart w:id="1086" w:name="Tc_Nu-BjGoevEazbJi9y5kJDw_3_11"/>
      <w:bookmarkStart w:id="1087" w:name="Tc_pZgInn3Rv0q0ATcU_tZ5Dw_3_9"/>
      <w:bookmarkStart w:id="1088" w:name="Tc_GSvRmUUxN0imcsn7qHLtaw_3_8"/>
      <w:bookmarkStart w:id="1089" w:name="Tc_xaSE_OcRO02LlZz4-D1Fyg_3_5"/>
      <w:bookmarkStart w:id="1090" w:name="Tc_eV6M3g6Bt0-GCLtT-pXEyg_3_2"/>
      <w:bookmarkStart w:id="1091" w:name="Tc_ycnzJ_MQXki0rQvOZMNfUQ_3_0"/>
      <w:bookmarkStart w:id="1092" w:name="Tc_nAf3iqNe70ebxOnsOBc0Pw_2_23"/>
      <w:bookmarkStart w:id="1093" w:name="Tc_GC54C3CXeU6bkFnfdP1LhA_2_20"/>
      <w:bookmarkStart w:id="1094" w:name="Tc_lwoIbES4yEuf-jDTzLZhzA_2_17"/>
      <w:bookmarkStart w:id="1095" w:name="Tc_nppYZnTAUkSLJ0QQzBn6Zw_2_14"/>
      <w:bookmarkStart w:id="1096" w:name="Tc_urUUv_KaGkO8wjlNWZNYiQ_2_11"/>
      <w:bookmarkStart w:id="1097" w:name="Tc_aKzit5blTEOWpVtW47h1jQ_2_8"/>
      <w:bookmarkStart w:id="1098" w:name="Tc_R_lHcRRMfUiCv03SsAYeoA_2_5"/>
      <w:bookmarkStart w:id="1099" w:name="Tc_FU6HsJG6W0GYjli4RlCQuA_2_2"/>
      <w:bookmarkStart w:id="1100" w:name="Tc_yDuLVS19UkK4LSpvl7YwjQ_1_2"/>
      <w:bookmarkStart w:id="1101" w:name="Tc_ZQxMHV2QAEe_mDSHyYwcIQ_8_0"/>
      <w:bookmarkStart w:id="1102" w:name="Tc_iJ5lh5lN7EWR5VD4uvobOQ_7_0"/>
      <w:bookmarkStart w:id="1103" w:name="Tc_n0j6-tnc1UqewyCX-r-1HQ_6_0"/>
      <w:bookmarkStart w:id="1104" w:name="Tc_V9A7PK51OkWiDcPNJOQTUQ_5_0"/>
      <w:bookmarkStart w:id="1105" w:name="Tc_Lbr7EY1NeEmDKTmDUcggSQ_4_0"/>
      <w:bookmarkStart w:id="1106" w:name="Tc_N5vPSB1pJkmU0arkgtriyw_3_5"/>
      <w:bookmarkStart w:id="1107" w:name="Tc_IuPVudw_iEGhQo21Q9Ku5w_3_2"/>
      <w:bookmarkStart w:id="1108" w:name="Tc_xWnQHbIADkeS4YY4i8FvqQ_3_0"/>
      <w:bookmarkStart w:id="1109" w:name="Tc_jGbP-255aES_lSBYKBIe2Q_2_5"/>
      <w:bookmarkStart w:id="1110" w:name="Tc_tbo_FlVPxECNrYfzrE3CMQ_2_2"/>
      <w:bookmarkStart w:id="1111" w:name="Tc_im7VVEK4oku6C_My7CC67Q_1_5"/>
      <w:bookmarkStart w:id="1112" w:name="Tc_zaOZesQ5IUKFjTqGDhL70w_1_2"/>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table presents impaired and general reserve for allowance for loan losses at September 30, 2024 and December 31, 2023:</w:t>
      </w:r>
    </w:p>
    <w:p>
      <w:pPr>
        <w:pStyle w:val="TextBody"/>
        <w:bidi w:val="0"/>
        <w:spacing w:before="0" w:after="0"/>
        <w:ind w:left="0" w:right="0" w:hanging="0"/>
        <w:jc w:val="left"/>
        <w:rPr/>
      </w:pPr>
      <w:r>
        <w:rPr/>
        <w:t>​</w:t>
      </w:r>
    </w:p>
    <w:tbl>
      <w:tblPr>
        <w:tblW w:w="8364" w:type="dxa"/>
        <w:jc w:val="left"/>
        <w:tblInd w:w="0" w:type="dxa"/>
        <w:tblLayout w:type="fixed"/>
        <w:tblCellMar>
          <w:top w:w="0" w:type="dxa"/>
          <w:left w:w="0" w:type="dxa"/>
          <w:bottom w:w="0" w:type="dxa"/>
          <w:right w:w="0" w:type="dxa"/>
        </w:tblCellMar>
      </w:tblPr>
      <w:tblGrid>
        <w:gridCol w:w="4936"/>
        <w:gridCol w:w="109"/>
        <w:gridCol w:w="433"/>
        <w:gridCol w:w="1172"/>
        <w:gridCol w:w="109"/>
        <w:gridCol w:w="363"/>
        <w:gridCol w:w="1242"/>
      </w:tblGrid>
      <w:tr>
        <w:trPr/>
        <w:tc>
          <w:tcPr>
            <w:tcW w:w="4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3134360" cy="175260"/>
                      <wp:effectExtent l="0" t="0" r="0" b="0"/>
                      <wp:wrapNone/>
                      <wp:docPr id="259" name="Frame259"/>
                      <a:graphic xmlns:a="http://schemas.openxmlformats.org/drawingml/2006/main">
                        <a:graphicData uri="http://schemas.microsoft.com/office/word/2010/wordprocessingShape">
                          <wps:wsp>
                            <wps:cNvSpPr txBox="1"/>
                            <wps:spPr>
                              <a:xfrm>
                                <a:off x="0" y="0"/>
                                <a:ext cx="3134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9215" cy="175260"/>
                      <wp:effectExtent l="0" t="0" r="0" b="0"/>
                      <wp:wrapNone/>
                      <wp:docPr id="260" name="Frame2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74955" cy="175260"/>
                      <wp:effectExtent l="0" t="0" r="0" b="0"/>
                      <wp:wrapNone/>
                      <wp:docPr id="261" name="Frame261"/>
                      <a:graphic xmlns:a="http://schemas.openxmlformats.org/drawingml/2006/main">
                        <a:graphicData uri="http://schemas.microsoft.com/office/word/2010/wordprocessingShape">
                          <wps:wsp>
                            <wps:cNvSpPr txBox="1"/>
                            <wps:spPr>
                              <a:xfrm>
                                <a:off x="0" y="0"/>
                                <a:ext cx="274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744220" cy="175260"/>
                      <wp:effectExtent l="0" t="0" r="0" b="0"/>
                      <wp:wrapNone/>
                      <wp:docPr id="262" name="Frame262"/>
                      <a:graphic xmlns:a="http://schemas.openxmlformats.org/drawingml/2006/main">
                        <a:graphicData uri="http://schemas.microsoft.com/office/word/2010/wordprocessingShape">
                          <wps:wsp>
                            <wps:cNvSpPr txBox="1"/>
                            <wps:spPr>
                              <a:xfrm>
                                <a:off x="0" y="0"/>
                                <a:ext cx="744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9215" cy="175260"/>
                      <wp:effectExtent l="0" t="0" r="0" b="0"/>
                      <wp:wrapNone/>
                      <wp:docPr id="263" name="Frame2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30505" cy="175260"/>
                      <wp:effectExtent l="0" t="0" r="0" b="0"/>
                      <wp:wrapNone/>
                      <wp:docPr id="264" name="Frame264"/>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788670" cy="175260"/>
                      <wp:effectExtent l="0" t="0" r="0" b="0"/>
                      <wp:wrapNone/>
                      <wp:docPr id="265" name="Frame265"/>
                      <a:graphic xmlns:a="http://schemas.openxmlformats.org/drawingml/2006/main">
                        <a:graphicData uri="http://schemas.microsoft.com/office/word/2010/wordprocessingShape">
                          <wps:wsp>
                            <wps:cNvSpPr txBox="1"/>
                            <wps:spPr>
                              <a:xfrm>
                                <a:off x="0" y="0"/>
                                <a:ext cx="788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9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notes receivable</w:t>
            </w:r>
          </w:p>
        </w:tc>
        <w:tc>
          <w:tcPr>
            <w:tcW w:w="109" w:type="dxa"/>
            <w:tcBorders/>
            <w:shd w:fill="CCEEFF" w:val="clear"/>
            <w:vAlign w:val="center"/>
          </w:tcPr>
          <w:p>
            <w:pPr>
              <w:pStyle w:val="TableContents"/>
              <w:bidi w:val="0"/>
              <w:spacing w:before="0" w:after="1"/>
              <w:ind w:left="0" w:right="0" w:hanging="0"/>
              <w:jc w:val="left"/>
              <w:rPr/>
            </w:pPr>
            <w:r>
              <w:rPr/>
              <w:t>​</w:t>
            </w:r>
          </w:p>
        </w:tc>
        <w:tc>
          <w:tcPr>
            <w:tcW w:w="4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8,151</w:t>
            </w:r>
          </w:p>
        </w:tc>
        <w:tc>
          <w:tcPr>
            <w:tcW w:w="109"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35,353</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loan losses</w:t>
            </w:r>
          </w:p>
        </w:tc>
        <w:tc>
          <w:tcPr>
            <w:tcW w:w="109" w:type="dxa"/>
            <w:tcBorders/>
            <w:vAlign w:val="center"/>
          </w:tcPr>
          <w:p>
            <w:pPr>
              <w:pStyle w:val="TableContents"/>
              <w:bidi w:val="0"/>
              <w:spacing w:before="0" w:after="1"/>
              <w:ind w:left="0" w:right="0" w:hanging="0"/>
              <w:jc w:val="left"/>
              <w:rPr/>
            </w:pPr>
            <w:r>
              <w:rPr/>
              <w:t>​</w:t>
            </w:r>
          </w:p>
        </w:tc>
        <w:tc>
          <w:tcPr>
            <w:tcW w:w="433" w:type="dxa"/>
            <w:tcBorders/>
            <w:vAlign w:val="center"/>
          </w:tcPr>
          <w:p>
            <w:pPr>
              <w:pStyle w:val="TableContents"/>
              <w:bidi w:val="0"/>
              <w:spacing w:before="0" w:after="1"/>
              <w:ind w:left="0" w:right="0" w:hanging="0"/>
              <w:jc w:val="left"/>
              <w:rPr/>
            </w:pPr>
            <w:r>
              <w:rPr/>
              <w:t>​</w:t>
            </w:r>
          </w:p>
        </w:tc>
        <w:tc>
          <w:tcPr>
            <w:tcW w:w="11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w:t>
            </w:r>
          </w:p>
        </w:tc>
        <w:tc>
          <w:tcPr>
            <w:tcW w:w="109"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pPr>
            <w:r>
              <w:rPr/>
              <w:t>​</w:t>
            </w:r>
          </w:p>
        </w:tc>
        <w:tc>
          <w:tcPr>
            <w:tcW w:w="12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Impaired loans individually evaluated for impairment</w:t>
            </w:r>
          </w:p>
        </w:tc>
        <w:tc>
          <w:tcPr>
            <w:tcW w:w="109" w:type="dxa"/>
            <w:tcBorders/>
            <w:shd w:fill="CCEEFF" w:val="clear"/>
            <w:vAlign w:val="center"/>
          </w:tcPr>
          <w:p>
            <w:pPr>
              <w:pStyle w:val="TableContents"/>
              <w:bidi w:val="0"/>
              <w:spacing w:before="0" w:after="1"/>
              <w:ind w:left="0" w:right="0" w:hanging="0"/>
              <w:jc w:val="left"/>
              <w:rPr/>
            </w:pPr>
            <w:r>
              <w:rPr/>
              <w:t>​</w:t>
            </w:r>
          </w:p>
        </w:tc>
        <w:tc>
          <w:tcPr>
            <w:tcW w:w="433" w:type="dxa"/>
            <w:tcBorders/>
            <w:shd w:fill="CCEEFF" w:val="clear"/>
            <w:vAlign w:val="center"/>
          </w:tcPr>
          <w:p>
            <w:pPr>
              <w:pStyle w:val="TableContents"/>
              <w:bidi w:val="0"/>
              <w:spacing w:before="0" w:after="1"/>
              <w:ind w:left="0" w:right="0" w:hanging="0"/>
              <w:jc w:val="left"/>
              <w:rPr/>
            </w:pPr>
            <w:r>
              <w:rPr/>
              <w:t>​</w:t>
            </w:r>
          </w:p>
        </w:tc>
        <w:tc>
          <w:tcPr>
            <w:tcW w:w="11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1,361</w:t>
            </w:r>
          </w:p>
        </w:tc>
        <w:tc>
          <w:tcPr>
            <w:tcW w:w="109"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pPr>
            <w:r>
              <w:rPr/>
              <w:t>​</w:t>
            </w:r>
          </w:p>
        </w:tc>
        <w:tc>
          <w:tcPr>
            <w:tcW w:w="12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25,135</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Specific reserve against impaired loans</w:t>
            </w:r>
          </w:p>
        </w:tc>
        <w:tc>
          <w:tcPr>
            <w:tcW w:w="109" w:type="dxa"/>
            <w:tcBorders/>
            <w:vAlign w:val="center"/>
          </w:tcPr>
          <w:p>
            <w:pPr>
              <w:pStyle w:val="TableContents"/>
              <w:bidi w:val="0"/>
              <w:spacing w:before="0" w:after="1"/>
              <w:ind w:left="0" w:right="0" w:hanging="0"/>
              <w:jc w:val="left"/>
              <w:rPr/>
            </w:pPr>
            <w:r>
              <w:rPr/>
              <w:t>​</w:t>
            </w:r>
          </w:p>
        </w:tc>
        <w:tc>
          <w:tcPr>
            <w:tcW w:w="433" w:type="dxa"/>
            <w:tcBorders/>
            <w:vAlign w:val="center"/>
          </w:tcPr>
          <w:p>
            <w:pPr>
              <w:pStyle w:val="TableContents"/>
              <w:bidi w:val="0"/>
              <w:spacing w:before="0" w:after="1"/>
              <w:ind w:left="0" w:right="0" w:hanging="0"/>
              <w:jc w:val="left"/>
              <w:rPr/>
            </w:pPr>
            <w:r>
              <w:rPr/>
              <w:t>​</w:t>
            </w:r>
          </w:p>
        </w:tc>
        <w:tc>
          <w:tcPr>
            <w:tcW w:w="11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109"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pPr>
            <w:r>
              <w:rPr/>
              <w:t>​</w:t>
            </w:r>
          </w:p>
        </w:tc>
        <w:tc>
          <w:tcPr>
            <w:tcW w:w="12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notes receivable collectively evaluated for allowance</w:t>
            </w:r>
          </w:p>
        </w:tc>
        <w:tc>
          <w:tcPr>
            <w:tcW w:w="109" w:type="dxa"/>
            <w:tcBorders/>
            <w:shd w:fill="CCEEFF" w:val="clear"/>
            <w:vAlign w:val="center"/>
          </w:tcPr>
          <w:p>
            <w:pPr>
              <w:pStyle w:val="TableContents"/>
              <w:bidi w:val="0"/>
              <w:spacing w:before="0" w:after="1"/>
              <w:ind w:left="0" w:right="0" w:hanging="0"/>
              <w:jc w:val="left"/>
              <w:rPr/>
            </w:pPr>
            <w:r>
              <w:rPr/>
              <w:t>​</w:t>
            </w:r>
          </w:p>
        </w:tc>
        <w:tc>
          <w:tcPr>
            <w:tcW w:w="433" w:type="dxa"/>
            <w:tcBorders/>
            <w:shd w:fill="CCEEFF" w:val="clear"/>
            <w:vAlign w:val="center"/>
          </w:tcPr>
          <w:p>
            <w:pPr>
              <w:pStyle w:val="TableContents"/>
              <w:bidi w:val="0"/>
              <w:spacing w:before="0" w:after="1"/>
              <w:ind w:left="0" w:right="0" w:hanging="0"/>
              <w:jc w:val="left"/>
              <w:rPr/>
            </w:pPr>
            <w:r>
              <w:rPr/>
              <w:t> </w:t>
            </w:r>
          </w:p>
        </w:tc>
        <w:tc>
          <w:tcPr>
            <w:tcW w:w="11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6,790</w:t>
            </w:r>
          </w:p>
        </w:tc>
        <w:tc>
          <w:tcPr>
            <w:tcW w:w="109"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pPr>
            <w:r>
              <w:rPr/>
              <w:t> </w:t>
            </w:r>
          </w:p>
        </w:tc>
        <w:tc>
          <w:tcPr>
            <w:tcW w:w="12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10,218</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allowance for loan losses</w:t>
            </w:r>
          </w:p>
        </w:tc>
        <w:tc>
          <w:tcPr>
            <w:tcW w:w="109" w:type="dxa"/>
            <w:tcBorders/>
            <w:vAlign w:val="center"/>
          </w:tcPr>
          <w:p>
            <w:pPr>
              <w:pStyle w:val="TableContents"/>
              <w:bidi w:val="0"/>
              <w:spacing w:before="0" w:after="1"/>
              <w:ind w:left="0" w:right="0" w:hanging="0"/>
              <w:jc w:val="left"/>
              <w:rPr/>
            </w:pPr>
            <w:r>
              <w:rPr/>
              <w:t>​</w:t>
            </w:r>
          </w:p>
        </w:tc>
        <w:tc>
          <w:tcPr>
            <w:tcW w:w="433" w:type="dxa"/>
            <w:tcBorders/>
            <w:vAlign w:val="center"/>
          </w:tcPr>
          <w:p>
            <w:pPr>
              <w:pStyle w:val="TableContents"/>
              <w:bidi w:val="0"/>
              <w:spacing w:before="0" w:after="1"/>
              <w:ind w:left="0" w:right="0" w:hanging="0"/>
              <w:jc w:val="left"/>
              <w:rPr/>
            </w:pPr>
            <w:r>
              <w:rPr/>
              <w:t>​</w:t>
            </w:r>
          </w:p>
        </w:tc>
        <w:tc>
          <w:tcPr>
            <w:tcW w:w="11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c>
          <w:tcPr>
            <w:tcW w:w="109"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pPr>
            <w:r>
              <w:rPr/>
              <w:t>​</w:t>
            </w:r>
          </w:p>
        </w:tc>
        <w:tc>
          <w:tcPr>
            <w:tcW w:w="1242" w:type="dxa"/>
            <w:tcBorders/>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152</w:t>
            </w:r>
          </w:p>
        </w:tc>
      </w:tr>
    </w:tbl>
    <w:p>
      <w:pPr>
        <w:pStyle w:val="TextBody"/>
        <w:bidi w:val="0"/>
        <w:spacing w:before="0" w:after="200"/>
        <w:ind w:left="0" w:right="0" w:firstLine="72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evaluate the credit quality of our Other notes receivable portfolio based on the aging status of the loan and by payment activity. Loan delinquency reporting is generally based upon borrower payment activity, relative to the contractual terms of the loan. The following table disaggregates the outstanding principal balance of Other notes receivable by credit quality indicator based on delinquency status and fiscal year of origination and is presented as of September 30, 2024:</w:t>
      </w:r>
    </w:p>
    <w:p>
      <w:pPr>
        <w:pStyle w:val="TextBody"/>
        <w:bidi w:val="0"/>
        <w:spacing w:before="0" w:after="0"/>
        <w:ind w:left="0" w:right="0" w:hanging="0"/>
        <w:jc w:val="left"/>
        <w:rPr/>
      </w:pPr>
      <w:r>
        <w:rPr/>
        <w:t>​</w:t>
      </w:r>
    </w:p>
    <w:tbl>
      <w:tblPr>
        <w:tblW w:w="8627" w:type="dxa"/>
        <w:jc w:val="left"/>
        <w:tblInd w:w="0" w:type="dxa"/>
        <w:tblLayout w:type="fixed"/>
        <w:tblCellMar>
          <w:top w:w="0" w:type="dxa"/>
          <w:left w:w="0" w:type="dxa"/>
          <w:bottom w:w="0" w:type="dxa"/>
          <w:right w:w="0" w:type="dxa"/>
        </w:tblCellMar>
      </w:tblPr>
      <w:tblGrid>
        <w:gridCol w:w="1741"/>
        <w:gridCol w:w="109"/>
        <w:gridCol w:w="211"/>
        <w:gridCol w:w="571"/>
        <w:gridCol w:w="109"/>
        <w:gridCol w:w="211"/>
        <w:gridCol w:w="571"/>
        <w:gridCol w:w="109"/>
        <w:gridCol w:w="211"/>
        <w:gridCol w:w="421"/>
        <w:gridCol w:w="109"/>
        <w:gridCol w:w="211"/>
        <w:gridCol w:w="421"/>
        <w:gridCol w:w="109"/>
        <w:gridCol w:w="211"/>
        <w:gridCol w:w="421"/>
        <w:gridCol w:w="109"/>
        <w:gridCol w:w="211"/>
        <w:gridCol w:w="346"/>
        <w:gridCol w:w="109"/>
        <w:gridCol w:w="211"/>
        <w:gridCol w:w="571"/>
        <w:gridCol w:w="109"/>
        <w:gridCol w:w="343"/>
        <w:gridCol w:w="872"/>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105535" cy="175260"/>
                      <wp:effectExtent l="0" t="0" r="0" b="0"/>
                      <wp:wrapNone/>
                      <wp:docPr id="266" name="Frame266"/>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9215" cy="175260"/>
                      <wp:effectExtent l="0" t="0" r="0" b="0"/>
                      <wp:wrapNone/>
                      <wp:docPr id="267" name="Frame2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33985" cy="175260"/>
                      <wp:effectExtent l="0" t="0" r="0" b="0"/>
                      <wp:wrapNone/>
                      <wp:docPr id="268" name="Frame2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362585" cy="175260"/>
                      <wp:effectExtent l="0" t="0" r="0" b="0"/>
                      <wp:wrapNone/>
                      <wp:docPr id="269" name="Frame26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9215" cy="175260"/>
                      <wp:effectExtent l="0" t="0" r="0" b="0"/>
                      <wp:wrapNone/>
                      <wp:docPr id="270" name="Frame2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33985" cy="175260"/>
                      <wp:effectExtent l="0" t="0" r="0" b="0"/>
                      <wp:wrapNone/>
                      <wp:docPr id="271" name="Frame2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362585" cy="175260"/>
                      <wp:effectExtent l="0" t="0" r="0" b="0"/>
                      <wp:wrapNone/>
                      <wp:docPr id="272" name="Frame27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9215" cy="175260"/>
                      <wp:effectExtent l="0" t="0" r="0" b="0"/>
                      <wp:wrapNone/>
                      <wp:docPr id="273" name="Frame2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3985" cy="175260"/>
                      <wp:effectExtent l="0" t="0" r="0" b="0"/>
                      <wp:wrapNone/>
                      <wp:docPr id="274" name="Frame2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67335" cy="175260"/>
                      <wp:effectExtent l="0" t="0" r="0" b="0"/>
                      <wp:wrapNone/>
                      <wp:docPr id="275" name="Frame27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9215" cy="175260"/>
                      <wp:effectExtent l="0" t="0" r="0" b="0"/>
                      <wp:wrapNone/>
                      <wp:docPr id="276" name="Frame2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33985" cy="175260"/>
                      <wp:effectExtent l="0" t="0" r="0" b="0"/>
                      <wp:wrapNone/>
                      <wp:docPr id="277" name="Frame2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67335" cy="175260"/>
                      <wp:effectExtent l="0" t="0" r="0" b="0"/>
                      <wp:wrapNone/>
                      <wp:docPr id="278" name="Frame27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9215" cy="175260"/>
                      <wp:effectExtent l="0" t="0" r="0" b="0"/>
                      <wp:wrapNone/>
                      <wp:docPr id="279" name="Frame2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33985" cy="175260"/>
                      <wp:effectExtent l="0" t="0" r="0" b="0"/>
                      <wp:wrapNone/>
                      <wp:docPr id="280" name="Frame2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67335" cy="175260"/>
                      <wp:effectExtent l="0" t="0" r="0" b="0"/>
                      <wp:wrapNone/>
                      <wp:docPr id="281" name="Frame28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9215" cy="175260"/>
                      <wp:effectExtent l="0" t="0" r="0" b="0"/>
                      <wp:wrapNone/>
                      <wp:docPr id="282" name="Frame2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33985" cy="175260"/>
                      <wp:effectExtent l="0" t="0" r="0" b="0"/>
                      <wp:wrapNone/>
                      <wp:docPr id="283" name="Frame2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9710" cy="175260"/>
                      <wp:effectExtent l="0" t="0" r="0" b="0"/>
                      <wp:wrapNone/>
                      <wp:docPr id="284" name="Frame2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9215" cy="175260"/>
                      <wp:effectExtent l="0" t="0" r="0" b="0"/>
                      <wp:wrapNone/>
                      <wp:docPr id="285" name="Frame2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86" name="Frame2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362585" cy="175260"/>
                      <wp:effectExtent l="0" t="0" r="0" b="0"/>
                      <wp:wrapNone/>
                      <wp:docPr id="287" name="Frame28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9215" cy="175260"/>
                      <wp:effectExtent l="0" t="0" r="0" b="0"/>
                      <wp:wrapNone/>
                      <wp:docPr id="288" name="Frame2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17805" cy="175260"/>
                      <wp:effectExtent l="0" t="0" r="0" b="0"/>
                      <wp:wrapNone/>
                      <wp:docPr id="289" name="Frame289"/>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553720" cy="175260"/>
                      <wp:effectExtent l="0" t="0" r="0" b="0"/>
                      <wp:wrapNone/>
                      <wp:docPr id="290" name="Frame290"/>
                      <a:graphic xmlns:a="http://schemas.openxmlformats.org/drawingml/2006/main">
                        <a:graphicData uri="http://schemas.microsoft.com/office/word/2010/wordprocessingShape">
                          <wps:wsp>
                            <wps:cNvSpPr txBox="1"/>
                            <wps:spPr>
                              <a:xfrm>
                                <a:off x="0" y="0"/>
                                <a:ext cx="553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777" w:type="dxa"/>
            <w:gridSpan w:val="2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of Origination</w:t>
            </w:r>
          </w:p>
        </w:tc>
      </w:tr>
      <w:tr>
        <w:trPr/>
        <w:tc>
          <w:tcPr>
            <w:tcW w:w="17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1"/>
              <w:ind w:left="0" w:right="0" w:hanging="0"/>
              <w:jc w:val="left"/>
              <w:rPr/>
            </w:pPr>
            <w:r>
              <w:rPr/>
              <w:t>​</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09" w:type="dxa"/>
            <w:tcBorders/>
            <w:vAlign w:val="center"/>
          </w:tcPr>
          <w:p>
            <w:pPr>
              <w:pStyle w:val="TableContents"/>
              <w:bidi w:val="0"/>
              <w:spacing w:before="0" w:after="1"/>
              <w:ind w:left="0" w:right="0" w:hanging="0"/>
              <w:jc w:val="left"/>
              <w:rPr/>
            </w:pPr>
            <w:r>
              <w:rPr/>
              <w:t>​</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09" w:type="dxa"/>
            <w:tcBorders/>
            <w:vAlign w:val="center"/>
          </w:tcPr>
          <w:p>
            <w:pPr>
              <w:pStyle w:val="TableContents"/>
              <w:bidi w:val="0"/>
              <w:spacing w:before="0" w:after="1"/>
              <w:ind w:left="0" w:right="0" w:hanging="0"/>
              <w:jc w:val="left"/>
              <w:rPr/>
            </w:pPr>
            <w:r>
              <w:rPr/>
              <w:t>​</w:t>
            </w:r>
          </w:p>
        </w:tc>
        <w:tc>
          <w:tcPr>
            <w:tcW w:w="5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Prior</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09" w:type="dxa"/>
            <w:tcBorders/>
            <w:vAlign w:val="center"/>
          </w:tcPr>
          <w:p>
            <w:pPr>
              <w:pStyle w:val="TableContents"/>
              <w:bidi w:val="0"/>
              <w:spacing w:before="0" w:after="1"/>
              <w:ind w:left="0" w:right="0" w:hanging="0"/>
              <w:jc w:val="left"/>
              <w:rPr/>
            </w:pPr>
            <w:r>
              <w:rPr/>
              <w:t>​</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Portfolio</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&lt; 30 days past due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6,790</w:t>
            </w:r>
          </w:p>
        </w:tc>
        <w:tc>
          <w:tcPr>
            <w:tcW w:w="109"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83.3</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30-90 days past due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right"/>
              <w:rPr/>
            </w:pPr>
            <w:r>
              <w:rPr/>
              <w:t>—</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&gt; 90 days past due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1,361</w:t>
            </w:r>
          </w:p>
        </w:tc>
        <w:tc>
          <w:tcPr>
            <w:tcW w:w="109" w:type="dxa"/>
            <w:tcBorders/>
            <w:shd w:fill="CCEEFF" w:val="clear"/>
            <w:vAlign w:val="center"/>
          </w:tcPr>
          <w:p>
            <w:pPr>
              <w:pStyle w:val="TableContents"/>
              <w:bidi w:val="0"/>
              <w:spacing w:before="0" w:after="1"/>
              <w:ind w:left="0" w:right="0" w:hanging="0"/>
              <w:jc w:val="left"/>
              <w:rPr/>
            </w:pPr>
            <w:r>
              <w:rPr/>
              <w:t>​</w:t>
            </w:r>
          </w:p>
        </w:tc>
        <w:tc>
          <w:tcPr>
            <w:tcW w:w="3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8,151</w:t>
            </w:r>
          </w:p>
        </w:tc>
        <w:tc>
          <w:tcPr>
            <w:tcW w:w="109" w:type="dxa"/>
            <w:tcBorders/>
            <w:vAlign w:val="center"/>
          </w:tcPr>
          <w:p>
            <w:pPr>
              <w:pStyle w:val="TableContents"/>
              <w:bidi w:val="0"/>
              <w:spacing w:before="0" w:after="1"/>
              <w:ind w:left="0" w:right="0" w:hanging="0"/>
              <w:jc w:val="left"/>
              <w:rPr/>
            </w:pPr>
            <w:r>
              <w:rPr/>
              <w:t>​</w:t>
            </w:r>
          </w:p>
        </w:tc>
        <w:tc>
          <w:tcPr>
            <w:tcW w:w="34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100.0</w:t>
            </w:r>
          </w:p>
        </w:tc>
      </w:tr>
    </w:tbl>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bookmarkStart w:id="1113" w:name="Tc_NcXp5ayFmEePn572JOeguA_5_5"/>
      <w:bookmarkStart w:id="1114" w:name="Tc_3PN6HgFdQECbE44WyWFd_Q_5_2"/>
      <w:bookmarkStart w:id="1115" w:name="Tc_dc7Fehe-t02s6kXeAn-fAQ_5_0"/>
      <w:bookmarkStart w:id="1116" w:name="Tc__uMhthXtOUWLCiAGbOotHw_4_0"/>
      <w:bookmarkStart w:id="1117" w:name="Tc_G9e1IjWkckiP7mQ7IX_yhQ_3_5"/>
      <w:bookmarkStart w:id="1118" w:name="Tc_FAESOblS9kyQGmhu08woFw_3_2"/>
      <w:bookmarkStart w:id="1119" w:name="Tc_AXu6aEoVbES4sfqrdp-44g_3_0"/>
      <w:bookmarkStart w:id="1120" w:name="Tc_YCOB1A8kqEWHPMiPl8796Q_2_5"/>
      <w:bookmarkStart w:id="1121" w:name="Tc_IvlU6SqDgkOtWYUOzXccxA_2_2"/>
      <w:bookmarkStart w:id="1122" w:name="Tc_i_u1Nd53ikGCjmVHSoD_kQ_1_5"/>
      <w:bookmarkStart w:id="1123" w:name="Tc_g4EUAbblx0OUzBaxhtvzFA_1_2"/>
      <w:bookmarkEnd w:id="1113"/>
      <w:bookmarkEnd w:id="1114"/>
      <w:bookmarkEnd w:id="1115"/>
      <w:bookmarkEnd w:id="1116"/>
      <w:bookmarkEnd w:id="1117"/>
      <w:bookmarkEnd w:id="1118"/>
      <w:bookmarkEnd w:id="1119"/>
      <w:bookmarkEnd w:id="1120"/>
      <w:bookmarkEnd w:id="1121"/>
      <w:bookmarkEnd w:id="1122"/>
      <w:bookmarkEnd w:id="1123"/>
      <w:r>
        <w:rPr>
          <w:rFonts w:ascii="Times New Roman;Times;serif" w:hAnsi="Times New Roman;Times;serif"/>
          <w:b/>
          <w:sz w:val="20"/>
        </w:rPr>
        <w:t>6. DEALER FINANCED RECEIVABLES</w:t>
      </w:r>
    </w:p>
    <w:p>
      <w:pPr>
        <w:pStyle w:val="TextBody"/>
        <w:bidi w:val="0"/>
        <w:spacing w:before="0" w:after="200"/>
        <w:ind w:left="0" w:right="0" w:firstLine="720"/>
        <w:jc w:val="left"/>
        <w:rPr>
          <w:rFonts w:ascii="Times New Roman;Times;serif" w:hAnsi="Times New Roman;Times;serif"/>
          <w:b/>
          <w:sz w:val="20"/>
        </w:rPr>
      </w:pPr>
      <w:r>
        <w:rPr>
          <w:rFonts w:ascii="Times New Roman;Times;serif" w:hAnsi="Times New Roman;Times;serif"/>
          <w:b w:val="false"/>
          <w:sz w:val="20"/>
        </w:rPr>
        <w:t>Dealer finance receivable are receivables for loans that we make to independent retailers, or dealers, for the purchase of mobile homes so that dealers can then market them for sale to consumers. The loans are part of our inventory finance program. In late 2022 and early 2023, the Company transitioned many of its dealers from a traditional consignment arrangement to an inventory finance arrangement. The terms of the financing typically include a three year</w:t>
      </w:r>
      <w:r>
        <w:rPr>
          <w:rFonts w:ascii="Times New Roman;Times;serif" w:hAnsi="Times New Roman;Times;serif"/>
          <w:b/>
          <w:sz w:val="20"/>
        </w:rPr>
        <w:t xml:space="preserve"> </w:t>
      </w:r>
      <w:r>
        <w:rPr>
          <w:rFonts w:ascii="Times New Roman;Times;serif" w:hAnsi="Times New Roman;Times;serif"/>
          <w:b w:val="false"/>
          <w:sz w:val="20"/>
        </w:rPr>
        <w:t>term, a monthly interest payment, an annual curtailment payment and require the retailer to pay the principal amount of the loan to the Company upon the earlier of the sale of the home by the retailer to its customer or the end of the term.</w:t>
      </w:r>
    </w:p>
    <w:p>
      <w:pPr>
        <w:pStyle w:val="TextBody"/>
        <w:bidi w:val="0"/>
        <w:spacing w:before="0" w:after="200"/>
        <w:ind w:left="0" w:right="0" w:firstLine="720"/>
        <w:jc w:val="left"/>
        <w:rPr>
          <w:rFonts w:ascii="Times New Roman;Times;serif" w:hAnsi="Times New Roman;Times;serif"/>
          <w:b w:val="false"/>
          <w:sz w:val="20"/>
        </w:rPr>
      </w:pPr>
      <w:r>
        <w:rPr>
          <w:rFonts w:ascii="Times New Roman;Times;serif" w:hAnsi="Times New Roman;Times;serif"/>
          <w:b w:val="false"/>
          <w:sz w:val="20"/>
        </w:rPr>
        <w:t>Dealer financed notes receivable, net of allowance for loan losses and deferred financing fees, consisted of the following at September 30, 2024 and December 31, 2023:</w:t>
      </w:r>
    </w:p>
    <w:p>
      <w:pPr>
        <w:pStyle w:val="TextBody"/>
        <w:bidi w:val="0"/>
        <w:spacing w:before="0" w:after="0"/>
        <w:ind w:left="0" w:right="0" w:hanging="0"/>
        <w:jc w:val="left"/>
        <w:rPr/>
      </w:pPr>
      <w:r>
        <w:rPr/>
        <w:t>​</w:t>
      </w:r>
    </w:p>
    <w:tbl>
      <w:tblPr>
        <w:tblW w:w="6009" w:type="dxa"/>
        <w:jc w:val="left"/>
        <w:tblInd w:w="0" w:type="dxa"/>
        <w:tblLayout w:type="fixed"/>
        <w:tblCellMar>
          <w:top w:w="0" w:type="dxa"/>
          <w:left w:w="0" w:type="dxa"/>
          <w:bottom w:w="0" w:type="dxa"/>
          <w:right w:w="0" w:type="dxa"/>
        </w:tblCellMar>
      </w:tblPr>
      <w:tblGrid>
        <w:gridCol w:w="2581"/>
        <w:gridCol w:w="109"/>
        <w:gridCol w:w="382"/>
        <w:gridCol w:w="1223"/>
        <w:gridCol w:w="109"/>
        <w:gridCol w:w="337"/>
        <w:gridCol w:w="1268"/>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638935" cy="175260"/>
                      <wp:effectExtent l="0" t="0" r="0" b="0"/>
                      <wp:wrapNone/>
                      <wp:docPr id="291" name="Frame291"/>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9215" cy="175260"/>
                      <wp:effectExtent l="0" t="0" r="0" b="0"/>
                      <wp:wrapNone/>
                      <wp:docPr id="292" name="Frame2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42570" cy="175260"/>
                      <wp:effectExtent l="0" t="0" r="0" b="0"/>
                      <wp:wrapNone/>
                      <wp:docPr id="293" name="Frame293"/>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776605" cy="175260"/>
                      <wp:effectExtent l="0" t="0" r="0" b="0"/>
                      <wp:wrapNone/>
                      <wp:docPr id="294" name="Frame294"/>
                      <a:graphic xmlns:a="http://schemas.openxmlformats.org/drawingml/2006/main">
                        <a:graphicData uri="http://schemas.microsoft.com/office/word/2010/wordprocessingShape">
                          <wps:wsp>
                            <wps:cNvSpPr txBox="1"/>
                            <wps:spPr>
                              <a:xfrm>
                                <a:off x="0" y="0"/>
                                <a:ext cx="776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9215" cy="175260"/>
                      <wp:effectExtent l="0" t="0" r="0" b="0"/>
                      <wp:wrapNone/>
                      <wp:docPr id="295" name="Frame2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13995" cy="175260"/>
                      <wp:effectExtent l="0" t="0" r="0" b="0"/>
                      <wp:wrapNone/>
                      <wp:docPr id="296" name="Frame296"/>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805180" cy="175260"/>
                      <wp:effectExtent l="0" t="0" r="0" b="0"/>
                      <wp:wrapNone/>
                      <wp:docPr id="297" name="Frame297"/>
                      <a:graphic xmlns:a="http://schemas.openxmlformats.org/drawingml/2006/main">
                        <a:graphicData uri="http://schemas.microsoft.com/office/word/2010/wordprocessingShape">
                          <wps:wsp>
                            <wps:cNvSpPr txBox="1"/>
                            <wps:spPr>
                              <a:xfrm>
                                <a:off x="0" y="0"/>
                                <a:ext cx="805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5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principal balance</w:t>
            </w:r>
          </w:p>
        </w:tc>
        <w:tc>
          <w:tcPr>
            <w:tcW w:w="109" w:type="dxa"/>
            <w:tcBorders/>
            <w:shd w:fill="CCEEFF" w:val="clear"/>
            <w:vAlign w:val="center"/>
          </w:tcPr>
          <w:p>
            <w:pPr>
              <w:pStyle w:val="TableContents"/>
              <w:bidi w:val="0"/>
              <w:spacing w:before="0" w:after="1"/>
              <w:ind w:left="0" w:right="0" w:hanging="0"/>
              <w:jc w:val="left"/>
              <w:rPr/>
            </w:pPr>
            <w:r>
              <w:rPr/>
              <w:t>​</w:t>
            </w:r>
          </w:p>
        </w:tc>
        <w:tc>
          <w:tcPr>
            <w:tcW w:w="3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31,869</w:t>
            </w:r>
          </w:p>
        </w:tc>
        <w:tc>
          <w:tcPr>
            <w:tcW w:w="109"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32,980</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loan losses</w:t>
            </w:r>
          </w:p>
        </w:tc>
        <w:tc>
          <w:tcPr>
            <w:tcW w:w="109" w:type="dxa"/>
            <w:tcBorders/>
            <w:vAlign w:val="center"/>
          </w:tcPr>
          <w:p>
            <w:pPr>
              <w:pStyle w:val="TableContents"/>
              <w:bidi w:val="0"/>
              <w:spacing w:before="0" w:after="1"/>
              <w:ind w:left="0" w:right="0" w:hanging="0"/>
              <w:jc w:val="left"/>
              <w:rPr/>
            </w:pPr>
            <w:r>
              <w:rPr/>
              <w:t>​</w:t>
            </w:r>
          </w:p>
        </w:tc>
        <w:tc>
          <w:tcPr>
            <w:tcW w:w="38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w:t>
            </w:r>
          </w:p>
        </w:tc>
        <w:tc>
          <w:tcPr>
            <w:tcW w:w="109" w:type="dxa"/>
            <w:tcBorders/>
            <w:vAlign w:val="center"/>
          </w:tcPr>
          <w:p>
            <w:pPr>
              <w:pStyle w:val="TableContents"/>
              <w:bidi w:val="0"/>
              <w:spacing w:before="0" w:after="1"/>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38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31,690</w:t>
            </w:r>
          </w:p>
        </w:tc>
        <w:tc>
          <w:tcPr>
            <w:tcW w:w="109" w:type="dxa"/>
            <w:tcBorders/>
            <w:shd w:fill="CCEEFF" w:val="clear"/>
            <w:vAlign w:val="center"/>
          </w:tcPr>
          <w:p>
            <w:pPr>
              <w:pStyle w:val="TableContents"/>
              <w:bidi w:val="0"/>
              <w:spacing w:before="0" w:after="1"/>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32,538</w:t>
            </w:r>
          </w:p>
        </w:tc>
      </w:tr>
    </w:tbl>
    <w:p>
      <w:pPr>
        <w:pStyle w:val="TextBody"/>
        <w:bidi w:val="0"/>
        <w:spacing w:before="0" w:after="200"/>
        <w:ind w:left="0" w:right="0" w:firstLine="72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bookmarkStart w:id="1124" w:name="Tc_t0OhVa0QS0Ov9FSwVvOmag_7_11"/>
      <w:bookmarkStart w:id="1125" w:name="Tc_a4OcFGjG6k6MiydB4iAjZQ_7_8"/>
      <w:bookmarkStart w:id="1126" w:name="Tc_CpAK4rkJgUOgjBGdkXbh4A_7_5"/>
      <w:bookmarkStart w:id="1127" w:name="Tc_lw37gWtSO0mOOTgNAsojGw_7_2"/>
      <w:bookmarkStart w:id="1128" w:name="Tc_5MN_Xwk1EUiNziyUqfsJqg_7_0"/>
      <w:bookmarkStart w:id="1129" w:name="Tc_nnmyatY-NUeYfEKfp9upkw_6_12"/>
      <w:bookmarkStart w:id="1130" w:name="Tc_Ygm4u2D9QEGtt7yuNqgy8Q_6_9"/>
      <w:bookmarkStart w:id="1131" w:name="Tc_bojx3Qmpa02sbNyA8f5ZLA_6_6"/>
      <w:bookmarkStart w:id="1132" w:name="Tc_hLHVyvIyEUqxDvu_GV5mVg_6_3"/>
      <w:bookmarkStart w:id="1133" w:name="Tc_06972r8uI0mE9xyNfgGLAA_6_0"/>
      <w:bookmarkStart w:id="1134" w:name="Tc_S4Shi7Ktd0q5MISk8fqmQQ_5_0"/>
      <w:bookmarkStart w:id="1135" w:name="Tc_H-hLczF1bkypTig21oje1Q_4_11"/>
      <w:bookmarkStart w:id="1136" w:name="Tc_X5VSmT4YBEeTf5wuXoy_pg_4_8"/>
      <w:bookmarkStart w:id="1137" w:name="Tc_mAhiLTKgvkyeZudhXj4LHA_4_5"/>
      <w:bookmarkStart w:id="1138" w:name="Tc_Dh3JpzbVj0ebttABf5dl8g_4_2"/>
      <w:bookmarkStart w:id="1139" w:name="Tc_L_s8Oms5W0a3D3FTUmda6A_4_0"/>
      <w:bookmarkStart w:id="1140" w:name="Tc_nuZ13baSaki71vCxwk8upg_3_11"/>
      <w:bookmarkStart w:id="1141" w:name="Tc_KbuxuqfznE2gke_l0vWAnQ_3_8"/>
      <w:bookmarkStart w:id="1142" w:name="Tc_Tajm9DTJ6EOLfBjiSLLWZA_3_5"/>
      <w:bookmarkStart w:id="1143" w:name="Tc_1-UNgXcep0iNiPygb5x0SA_3_2"/>
      <w:bookmarkStart w:id="1144" w:name="Tc_VMAW-LkXXUWZlAuLVnOxpg_2_8"/>
      <w:bookmarkStart w:id="1145" w:name="Tc_bgrNTaxrMUiOZB3wvPuEyg_2_2"/>
      <w:bookmarkStart w:id="1146" w:name="Tc_JeyVthxLP0OA8Ffld3amdA_1_8"/>
      <w:bookmarkStart w:id="1147" w:name="Tc_hgpQNm227ECy1mWoMjQgcw_1_2"/>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r>
        <w:rPr>
          <w:rFonts w:ascii="Times New Roman;Times;serif" w:hAnsi="Times New Roman;Times;serif"/>
          <w:sz w:val="20"/>
        </w:rPr>
        <w:t>The following table presents a detail of the activity in the allowance for loan losses for the three and nine months ended September 30, 2024 and 2023:</w:t>
      </w:r>
    </w:p>
    <w:p>
      <w:pPr>
        <w:pStyle w:val="TextBody"/>
        <w:bidi w:val="0"/>
        <w:spacing w:before="0" w:after="0"/>
        <w:ind w:left="0" w:right="0" w:hanging="0"/>
        <w:jc w:val="left"/>
        <w:rPr/>
      </w:pPr>
      <w:r>
        <w:rPr/>
        <w:t>​</w:t>
      </w:r>
    </w:p>
    <w:tbl>
      <w:tblPr>
        <w:tblW w:w="7286" w:type="dxa"/>
        <w:jc w:val="left"/>
        <w:tblInd w:w="0" w:type="dxa"/>
        <w:tblLayout w:type="fixed"/>
        <w:tblCellMar>
          <w:top w:w="0" w:type="dxa"/>
          <w:left w:w="0" w:type="dxa"/>
          <w:bottom w:w="0" w:type="dxa"/>
          <w:right w:w="0" w:type="dxa"/>
        </w:tblCellMar>
      </w:tblPr>
      <w:tblGrid>
        <w:gridCol w:w="3901"/>
        <w:gridCol w:w="109"/>
        <w:gridCol w:w="239"/>
        <w:gridCol w:w="478"/>
        <w:gridCol w:w="123"/>
        <w:gridCol w:w="239"/>
        <w:gridCol w:w="478"/>
        <w:gridCol w:w="109"/>
        <w:gridCol w:w="211"/>
        <w:gridCol w:w="541"/>
        <w:gridCol w:w="109"/>
        <w:gridCol w:w="211"/>
        <w:gridCol w:w="538"/>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477135" cy="175260"/>
                      <wp:effectExtent l="0" t="0" r="0" b="0"/>
                      <wp:wrapNone/>
                      <wp:docPr id="298" name="Frame298"/>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9215" cy="175260"/>
                      <wp:effectExtent l="0" t="0" r="0" b="0"/>
                      <wp:wrapNone/>
                      <wp:docPr id="299" name="Frame2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51765" cy="175260"/>
                      <wp:effectExtent l="0" t="0" r="0" b="0"/>
                      <wp:wrapNone/>
                      <wp:docPr id="300" name="Frame300"/>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303530" cy="175260"/>
                      <wp:effectExtent l="0" t="0" r="0" b="0"/>
                      <wp:wrapNone/>
                      <wp:docPr id="301" name="Frame301"/>
                      <a:graphic xmlns:a="http://schemas.openxmlformats.org/drawingml/2006/main">
                        <a:graphicData uri="http://schemas.microsoft.com/office/word/2010/wordprocessingShape">
                          <wps:wsp>
                            <wps:cNvSpPr txBox="1"/>
                            <wps:spPr>
                              <a:xfrm>
                                <a:off x="0" y="0"/>
                                <a:ext cx="303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78105" cy="175260"/>
                      <wp:effectExtent l="0" t="0" r="0" b="0"/>
                      <wp:wrapNone/>
                      <wp:docPr id="302" name="Frame302"/>
                      <a:graphic xmlns:a="http://schemas.openxmlformats.org/drawingml/2006/main">
                        <a:graphicData uri="http://schemas.microsoft.com/office/word/2010/wordprocessingShape">
                          <wps:wsp>
                            <wps:cNvSpPr txBox="1"/>
                            <wps:spPr>
                              <a:xfrm>
                                <a:off x="0" y="0"/>
                                <a:ext cx="78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51765" cy="175260"/>
                      <wp:effectExtent l="0" t="0" r="0" b="0"/>
                      <wp:wrapNone/>
                      <wp:docPr id="303" name="Frame303"/>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303530" cy="175260"/>
                      <wp:effectExtent l="0" t="0" r="0" b="0"/>
                      <wp:wrapNone/>
                      <wp:docPr id="304" name="Frame304"/>
                      <a:graphic xmlns:a="http://schemas.openxmlformats.org/drawingml/2006/main">
                        <a:graphicData uri="http://schemas.microsoft.com/office/word/2010/wordprocessingShape">
                          <wps:wsp>
                            <wps:cNvSpPr txBox="1"/>
                            <wps:spPr>
                              <a:xfrm>
                                <a:off x="0" y="0"/>
                                <a:ext cx="303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9215" cy="175260"/>
                      <wp:effectExtent l="0" t="0" r="0" b="0"/>
                      <wp:wrapNone/>
                      <wp:docPr id="305" name="Frame3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33985" cy="175260"/>
                      <wp:effectExtent l="0" t="0" r="0" b="0"/>
                      <wp:wrapNone/>
                      <wp:docPr id="306" name="Frame3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343535" cy="175260"/>
                      <wp:effectExtent l="0" t="0" r="0" b="0"/>
                      <wp:wrapNone/>
                      <wp:docPr id="307" name="Frame307"/>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9215" cy="175260"/>
                      <wp:effectExtent l="0" t="0" r="0" b="0"/>
                      <wp:wrapNone/>
                      <wp:docPr id="308" name="Frame3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33985" cy="175260"/>
                      <wp:effectExtent l="0" t="0" r="0" b="0"/>
                      <wp:wrapNone/>
                      <wp:docPr id="309" name="Frame3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341630" cy="175260"/>
                      <wp:effectExtent l="0" t="0" r="0" b="0"/>
                      <wp:wrapNone/>
                      <wp:docPr id="310" name="Frame310"/>
                      <a:graphic xmlns:a="http://schemas.openxmlformats.org/drawingml/2006/main">
                        <a:graphicData uri="http://schemas.microsoft.com/office/word/2010/wordprocessingShape">
                          <wps:wsp>
                            <wps:cNvSpPr txBox="1"/>
                            <wps:spPr>
                              <a:xfrm>
                                <a:off x="0" y="0"/>
                                <a:ext cx="341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57"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109" w:type="dxa"/>
            <w:tcBorders/>
            <w:vAlign w:val="center"/>
          </w:tcPr>
          <w:p>
            <w:pPr>
              <w:pStyle w:val="TableContents"/>
              <w:bidi w:val="0"/>
              <w:spacing w:before="0" w:after="1"/>
              <w:ind w:left="0" w:right="0" w:hanging="0"/>
              <w:jc w:val="left"/>
              <w:rPr/>
            </w:pPr>
            <w:r>
              <w:rPr/>
              <w:t>​</w:t>
            </w:r>
          </w:p>
        </w:tc>
        <w:tc>
          <w:tcPr>
            <w:tcW w:w="161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r>
      <w:tr>
        <w:trPr/>
        <w:tc>
          <w:tcPr>
            <w:tcW w:w="3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57"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109" w:type="dxa"/>
            <w:tcBorders/>
            <w:vAlign w:val="center"/>
          </w:tcPr>
          <w:p>
            <w:pPr>
              <w:pStyle w:val="TableContents"/>
              <w:bidi w:val="0"/>
              <w:spacing w:before="0" w:after="1"/>
              <w:ind w:left="0" w:right="0" w:hanging="0"/>
              <w:jc w:val="left"/>
              <w:rPr/>
            </w:pPr>
            <w:r>
              <w:rPr/>
              <w:t>​</w:t>
            </w:r>
          </w:p>
        </w:tc>
        <w:tc>
          <w:tcPr>
            <w:tcW w:w="161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w:t>
            </w:r>
          </w:p>
        </w:tc>
      </w:tr>
      <w:tr>
        <w:trPr/>
        <w:tc>
          <w:tcPr>
            <w:tcW w:w="39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23" w:type="dxa"/>
            <w:tcBorders/>
            <w:vAlign w:val="center"/>
          </w:tcPr>
          <w:p>
            <w:pPr>
              <w:pStyle w:val="TableContents"/>
              <w:bidi w:val="0"/>
              <w:spacing w:before="0" w:after="1"/>
              <w:ind w:left="0" w:right="0" w:hanging="0"/>
              <w:jc w:val="left"/>
              <w:rPr/>
            </w:pPr>
            <w:r>
              <w:rPr/>
              <w:t>​</w:t>
            </w:r>
          </w:p>
        </w:tc>
        <w:tc>
          <w:tcPr>
            <w:tcW w:w="7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74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loan losses, beginning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123"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loan losses</w:t>
            </w:r>
          </w:p>
        </w:tc>
        <w:tc>
          <w:tcPr>
            <w:tcW w:w="109"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4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123"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4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(Charge offs) recoveries</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23"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loan losses, end of period</w:t>
            </w:r>
          </w:p>
        </w:tc>
        <w:tc>
          <w:tcPr>
            <w:tcW w:w="109"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w:t>
            </w:r>
          </w:p>
        </w:tc>
        <w:tc>
          <w:tcPr>
            <w:tcW w:w="123"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8"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448</w:t>
            </w:r>
          </w:p>
        </w:tc>
      </w:tr>
    </w:tbl>
    <w:p>
      <w:pPr>
        <w:pStyle w:val="TextBody"/>
        <w:bidi w:val="0"/>
        <w:spacing w:before="0" w:after="200"/>
        <w:ind w:left="0" w:right="0" w:firstLine="720"/>
        <w:jc w:val="left"/>
        <w:rPr/>
      </w:pPr>
      <w:r>
        <w:rPr/>
        <w:t>​</w:t>
      </w:r>
    </w:p>
    <w:p>
      <w:pPr>
        <w:pStyle w:val="TextBody"/>
        <w:bidi w:val="0"/>
        <w:spacing w:before="0" w:after="200"/>
        <w:ind w:left="0" w:right="0" w:firstLine="720"/>
        <w:jc w:val="left"/>
        <w:rPr>
          <w:rFonts w:ascii="Times New Roman;Times;serif" w:hAnsi="Times New Roman;Times;serif"/>
          <w:b w:val="false"/>
          <w:sz w:val="20"/>
        </w:rPr>
      </w:pPr>
      <w:r>
        <w:rPr>
          <w:rFonts w:ascii="Times New Roman;Times;serif" w:hAnsi="Times New Roman;Times;serif"/>
          <w:b w:val="false"/>
          <w:sz w:val="20"/>
        </w:rPr>
        <w:t>The dealer financed loan portfolio was established primarily in late 2022 and 2023 as a result of converting from consignment arrangements with dealers to inventory finance arrangements with dealers. As such, there is relatively little historical data to measure credit quality of the loans in this portfolio.</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7. LEASES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currently has 13 operating leases, eight of which are for the Company’s Heritage Housing and Tiny Homes retail locations, three are subleased by the Company and two are for corporate and administrative offices in Bedford, TX and Norcross, GA. These leases typically have initial terms ranging from 5 to 10 years and include one or more options to renew.</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Under ASC 842, the Company elected the modified retrospective approach, applying the new standard to all leases at the date of initial application.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determine if an arrangement is or contains a lease at inception. Operating leases are right-of-use (“ROU”) assets and are shown as ROU assets – operating leases on our balance sheets. The lease liabilities are shown as Operating lease obligation and Operating lease obligation, less current portion on our balance sheets. ROU assets represent our right to use an underlying asset for the lease term, and lease liabilities represent our obligation to make lease payments arising from the lease.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ROU assets and liabilities are recognized at the lease commencement date based on the estimated present value of lease payments over the lease term. We have elected the practical expedient to not separate lease and non-lease components. Therefore, lease payments included in the measurement of the lease liability include all fixed payments in the lease arrangement. We record a ROU asset for an amount equal to the lease liability, increased for any prepaid lease costs and initial direct costs and reduced by any lease incentives. We remeasure the lease liability and ROU asset when a change to our future minimum lease payments occurs. Key assumptions and judgments included in the determination of the lease liability include the discount rate used in the present value calculation and the exercise of renewal options.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Many of our leases contain renewal options. As the exercise of the renewal options is not likely at the commencement of a lease, we generally do not include the option periods in the lease term when determining the lease liabilities and ROU assets. We remeasure the lease liability and ROU asset when it is reasonably likely that we will exercise a renewal option.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Our leases do not provide information about the rate implicit in the lease. Therefore, we utilize an incremental borrowing rate to calculate the present value of our future lease obligations. The incremental borrowing rate represents the rate of interest we would otherwise pay on a collateralized borrowing, for an amount equal to the lease payments, over a similar term and in a similar economic environment. As of September 30, 2024, the remaining weighted-average lease term is 3.34 years and the weighted-average discount rate is 2.80%.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bookmarkStart w:id="1148" w:name="Tc_OmH_E86t-kOb4_DbP6gK5g_11_2"/>
      <w:bookmarkStart w:id="1149" w:name="Tc_qn1Xnk7CT0KuM5r2YK4Ovw_11_0"/>
      <w:bookmarkStart w:id="1150" w:name="Tc_L4EDVXmFLUKwYiZIURJk9Q_10_0"/>
      <w:bookmarkStart w:id="1151" w:name="Tc_-wQRLYmuAEm3KTBpRclH8w_9_2"/>
      <w:bookmarkStart w:id="1152" w:name="Tc_yk6QjleJwUO4pWydUGdMig_9_0"/>
      <w:bookmarkStart w:id="1153" w:name="Tc_iQNhkT37MECJ8wNChnytaw_8_0"/>
      <w:bookmarkStart w:id="1154" w:name="Tc_-JJCZFMqKEyzyWKMu1t8-w_7_2"/>
      <w:bookmarkStart w:id="1155" w:name="Tc_Lllo0OQwv0SZH4586hjI6g_7_0"/>
      <w:bookmarkStart w:id="1156" w:name="Tc_mdRFWofMH0Ch31-vYXi3cA_6_3"/>
      <w:bookmarkStart w:id="1157" w:name="Tc_LMWvuQtrjEC-HDqYy6hxmQ_6_0"/>
      <w:bookmarkStart w:id="1158" w:name="Tc_fQ8xKhC9VkivMUmpL8Jrdg_5_0"/>
      <w:bookmarkStart w:id="1159" w:name="Tc_pHjpxjghskyRuzyQrw4LIw_4_0"/>
      <w:bookmarkStart w:id="1160" w:name="Tc_zslwG5n6vUCuO859sV1_FQ_3_0"/>
      <w:bookmarkStart w:id="1161" w:name="Tc_rZ-Q3rDW0UGNuT6NuquB9w_2_0"/>
      <w:bookmarkStart w:id="1162" w:name="Tc_8YqCZCkx4EegLJ_MCylcDw_1_2"/>
      <w:bookmarkStart w:id="1163" w:name="Tc_0HZXFwc5wU2apu7LP8PXcw_1_0"/>
      <w:bookmarkStart w:id="1164" w:name="_4ed4dbcf_74cc_4e49_b829_f6533c90b63f"/>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r>
        <w:rPr>
          <w:rFonts w:ascii="Times New Roman;Times;serif" w:hAnsi="Times New Roman;Times;serif"/>
          <w:sz w:val="20"/>
        </w:rPr>
        <w:t>We consider lease payments that cannot be predicted with reasonable certainty upon lease commencement to be variable lease payments, which are recorded as incurred each period and are excluded from our calculation of lease liabilities. There were no variable lease costs for the three months ended September 30, 2024.</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Short-term leases, those with a term of 12 months or less, are not recorded on our balance sheet. Our short-term lease costs were not material for the three months ended September 30, 2024.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Lease expense for operating leases consists of fixed lease payments recognized on a straight-line basis over the lease term plus variable lease payments as incurred. Amortization of the ROU asset for operating leases reflects amortization of the lease liability, any differences between straight-line expense and related lease payments during the accounting period, and any impairments.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As of September 30, 2024, present value of future lease payments under our operating lease liabilities were as follows:</w:t>
      </w:r>
    </w:p>
    <w:tbl>
      <w:tblPr>
        <w:tblW w:w="4061" w:type="dxa"/>
        <w:jc w:val="left"/>
        <w:tblInd w:w="0" w:type="dxa"/>
        <w:tblLayout w:type="fixed"/>
        <w:tblCellMar>
          <w:top w:w="0" w:type="dxa"/>
          <w:left w:w="0" w:type="dxa"/>
          <w:bottom w:w="0" w:type="dxa"/>
          <w:right w:w="0" w:type="dxa"/>
        </w:tblCellMar>
      </w:tblPr>
      <w:tblGrid>
        <w:gridCol w:w="2836"/>
        <w:gridCol w:w="326"/>
        <w:gridCol w:w="211"/>
        <w:gridCol w:w="688"/>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800860" cy="175260"/>
                      <wp:effectExtent l="0" t="0" r="0" b="0"/>
                      <wp:wrapNone/>
                      <wp:docPr id="311" name="Frame311"/>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07010" cy="175260"/>
                      <wp:effectExtent l="0" t="0" r="0" b="0"/>
                      <wp:wrapNone/>
                      <wp:docPr id="312" name="Frame3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33985" cy="175260"/>
                      <wp:effectExtent l="0" t="0" r="0" b="0"/>
                      <wp:wrapNone/>
                      <wp:docPr id="313" name="Frame3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436880" cy="175260"/>
                      <wp:effectExtent l="0" t="0" r="0" b="0"/>
                      <wp:wrapNone/>
                      <wp:docPr id="314" name="Frame314"/>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1,540</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amount representing interest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1,514</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current lease liability</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non-current lease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1,036</w:t>
            </w:r>
          </w:p>
        </w:tc>
      </w:tr>
    </w:tbl>
    <w:p>
      <w:pPr>
        <w:pStyle w:val="TextBody"/>
        <w:bidi w:val="0"/>
        <w:spacing w:before="0" w:after="200"/>
        <w:ind w:left="0" w:right="0" w:firstLine="72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165" w:name="Tc_Ae79fXCVrk2jNsA6zuEVCg_6_5"/>
      <w:bookmarkStart w:id="1166" w:name="Tc_KgV_WAzVIECdjWVpmzkwaQ_6_2"/>
      <w:bookmarkStart w:id="1167" w:name="Tc_2-JeAJS9bUyruW2hWwIkzw_6_0"/>
      <w:bookmarkStart w:id="1168" w:name="Tc_2HlnfNAOm06CjEDpGjgFgQ_5_0"/>
      <w:bookmarkStart w:id="1169" w:name="Tc_NYJ4SNkAGEGv2WVbbkGqDw_4_0"/>
      <w:bookmarkStart w:id="1170" w:name="Tc_rAP6gsLoW0CmMDeFWzISiA_3_5"/>
      <w:bookmarkStart w:id="1171" w:name="Tc_Rdxx7AFuWUuw_5fYlyEM5w_3_2"/>
      <w:bookmarkStart w:id="1172" w:name="Tc_5yYmgC_40EiH-MnCP1ZaNg_3_0"/>
      <w:bookmarkStart w:id="1173" w:name="Tc_zwCUUQOa2UywT9V6SyO0MA_2_5"/>
      <w:bookmarkStart w:id="1174" w:name="Tc_0mtmaj-OZUCCEw3pwIkLUA_2_2"/>
      <w:bookmarkStart w:id="1175" w:name="Tc_dobFfNk3_0aUSmZAPtytJQ_1_5"/>
      <w:bookmarkStart w:id="1176" w:name="Tc_2v7_wCmijU-goULmRAkkOQ_1_2"/>
      <w:bookmarkEnd w:id="1165"/>
      <w:bookmarkEnd w:id="1166"/>
      <w:bookmarkEnd w:id="1167"/>
      <w:bookmarkEnd w:id="1168"/>
      <w:bookmarkEnd w:id="1169"/>
      <w:bookmarkEnd w:id="1170"/>
      <w:bookmarkEnd w:id="1171"/>
      <w:bookmarkEnd w:id="1172"/>
      <w:bookmarkEnd w:id="1173"/>
      <w:bookmarkEnd w:id="1174"/>
      <w:bookmarkEnd w:id="1175"/>
      <w:bookmarkEnd w:id="1176"/>
      <w:r>
        <w:rPr>
          <w:rFonts w:ascii="Times New Roman;Times;serif" w:hAnsi="Times New Roman;Times;serif"/>
          <w:b/>
          <w:sz w:val="20"/>
        </w:rPr>
        <w:t>8. INVENTORIES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Inventories consisted of the following at September 30, 2024 and December 31, 2023:</w:t>
      </w:r>
    </w:p>
    <w:p>
      <w:pPr>
        <w:pStyle w:val="TextBody"/>
        <w:bidi w:val="0"/>
        <w:spacing w:before="0" w:after="0"/>
        <w:ind w:left="0" w:right="0" w:hanging="0"/>
        <w:jc w:val="left"/>
        <w:rPr/>
      </w:pPr>
      <w:r>
        <w:rPr/>
        <w:t>​</w:t>
      </w:r>
    </w:p>
    <w:tbl>
      <w:tblPr>
        <w:tblW w:w="5363" w:type="dxa"/>
        <w:jc w:val="left"/>
        <w:tblInd w:w="0" w:type="dxa"/>
        <w:tblLayout w:type="fixed"/>
        <w:tblCellMar>
          <w:top w:w="0" w:type="dxa"/>
          <w:left w:w="0" w:type="dxa"/>
          <w:bottom w:w="0" w:type="dxa"/>
          <w:right w:w="0" w:type="dxa"/>
        </w:tblCellMar>
      </w:tblPr>
      <w:tblGrid>
        <w:gridCol w:w="1501"/>
        <w:gridCol w:w="326"/>
        <w:gridCol w:w="380"/>
        <w:gridCol w:w="1225"/>
        <w:gridCol w:w="326"/>
        <w:gridCol w:w="337"/>
        <w:gridCol w:w="1268"/>
      </w:tblGrid>
      <w:tr>
        <w:trPr/>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953135" cy="175260"/>
                      <wp:effectExtent l="0" t="0" r="0" b="0"/>
                      <wp:wrapNone/>
                      <wp:docPr id="315" name="Frame315"/>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7010" cy="175260"/>
                      <wp:effectExtent l="0" t="0" r="0" b="0"/>
                      <wp:wrapNone/>
                      <wp:docPr id="316" name="Frame3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41300" cy="175260"/>
                      <wp:effectExtent l="0" t="0" r="0" b="0"/>
                      <wp:wrapNone/>
                      <wp:docPr id="317" name="Frame317"/>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777875" cy="175260"/>
                      <wp:effectExtent l="0" t="0" r="0" b="0"/>
                      <wp:wrapNone/>
                      <wp:docPr id="318" name="Frame318"/>
                      <a:graphic xmlns:a="http://schemas.openxmlformats.org/drawingml/2006/main">
                        <a:graphicData uri="http://schemas.microsoft.com/office/word/2010/wordprocessingShape">
                          <wps:wsp>
                            <wps:cNvSpPr txBox="1"/>
                            <wps:spPr>
                              <a:xfrm>
                                <a:off x="0" y="0"/>
                                <a:ext cx="777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9" name="Frame3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13995" cy="175260"/>
                      <wp:effectExtent l="0" t="0" r="0" b="0"/>
                      <wp:wrapNone/>
                      <wp:docPr id="320" name="Frame320"/>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805180" cy="175260"/>
                      <wp:effectExtent l="0" t="0" r="0" b="0"/>
                      <wp:wrapNone/>
                      <wp:docPr id="321" name="Frame321"/>
                      <a:graphic xmlns:a="http://schemas.openxmlformats.org/drawingml/2006/main">
                        <a:graphicData uri="http://schemas.microsoft.com/office/word/2010/wordprocessingShape">
                          <wps:wsp>
                            <wps:cNvSpPr txBox="1"/>
                            <wps:spPr>
                              <a:xfrm>
                                <a:off x="0" y="0"/>
                                <a:ext cx="805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32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15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11,973</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13,506</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progress</w:t>
            </w:r>
          </w:p>
        </w:tc>
        <w:tc>
          <w:tcPr>
            <w:tcW w:w="32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 </w:t>
            </w:r>
          </w:p>
        </w:tc>
        <w:tc>
          <w:tcPr>
            <w:tcW w:w="12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w:t>
            </w:r>
          </w:p>
        </w:tc>
        <w:tc>
          <w:tcPr>
            <w:tcW w:w="3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 </w:t>
            </w:r>
          </w:p>
        </w:tc>
        <w:tc>
          <w:tcPr>
            <w:tcW w:w="12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26,604</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26,911</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3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39,026</w:t>
            </w:r>
          </w:p>
        </w:tc>
        <w:tc>
          <w:tcPr>
            <w:tcW w:w="326" w:type="dxa"/>
            <w:tcBorders/>
            <w:vAlign w:val="center"/>
          </w:tcPr>
          <w:p>
            <w:pPr>
              <w:pStyle w:val="TableContents"/>
              <w:bidi w:val="0"/>
              <w:spacing w:before="0" w:after="0"/>
              <w:ind w:left="0" w:right="0" w:hanging="0"/>
              <w:jc w:val="left"/>
              <w:rPr/>
            </w:pPr>
            <w:r>
              <w:rPr/>
              <w:t>​</w:t>
            </w:r>
          </w:p>
        </w:tc>
        <w:tc>
          <w:tcPr>
            <w:tcW w:w="3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40,969</w:t>
            </w:r>
          </w:p>
        </w:tc>
      </w:tr>
    </w:tbl>
    <w:p>
      <w:pPr>
        <w:pStyle w:val="TextBody"/>
        <w:bidi w:val="0"/>
        <w:spacing w:before="0" w:after="0"/>
        <w:ind w:left="0" w:right="0" w:hanging="0"/>
        <w:jc w:val="left"/>
        <w:rPr/>
      </w:pPr>
      <w:r>
        <w:rPr/>
        <w:t>​</w:t>
      </w:r>
    </w:p>
    <w:p>
      <w:pPr>
        <w:pStyle w:val="TextBody"/>
        <w:bidi w:val="0"/>
        <w:spacing w:before="120" w:after="0"/>
        <w:ind w:left="720" w:right="0" w:hanging="0"/>
        <w:jc w:val="left"/>
        <w:rPr>
          <w:rFonts w:ascii="Times New Roman;Times;serif" w:hAnsi="Times New Roman;Times;serif"/>
          <w:sz w:val="20"/>
        </w:rPr>
      </w:pPr>
      <w:r>
        <w:rPr>
          <w:rFonts w:ascii="Times New Roman;Times;serif" w:hAnsi="Times New Roman;Times;serif"/>
          <w:sz w:val="20"/>
        </w:rPr>
        <w:t>Finished goods expected to be held for more than twelve months are classified as long-term and represented $9,803 and $7,793 as of September 30, 2024 and December 31, 2023, respectively. The Company has an inventory allowance of $673 and $439 as of September 30, 2024 and December 31, 2023, respectively, for finished goods classified as long-term.</w:t>
      </w:r>
    </w:p>
    <w:p>
      <w:pPr>
        <w:pStyle w:val="TextBody"/>
        <w:bidi w:val="0"/>
        <w:spacing w:before="120" w:after="0"/>
        <w:ind w:left="1080" w:right="0" w:hanging="0"/>
        <w:jc w:val="left"/>
        <w:rPr/>
      </w:pPr>
      <w:r>
        <w:rPr/>
        <w:t>​</w:t>
      </w:r>
    </w:p>
    <w:p>
      <w:pPr>
        <w:pStyle w:val="TextBody"/>
        <w:bidi w:val="0"/>
        <w:spacing w:before="0" w:after="0"/>
        <w:ind w:left="0" w:right="0" w:hanging="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177" w:name="Tc_s78TBh13gUW16Szp6Tpp6A_11_5"/>
      <w:bookmarkStart w:id="1178" w:name="Tc_dr99UduVRkaVW1Ei56svBg_11_2"/>
      <w:bookmarkStart w:id="1179" w:name="Tc_Vy1FbsVRH0iaaoLjnDmItA_11_0"/>
      <w:bookmarkStart w:id="1180" w:name="Tc_cYBSRCmltE6_wvcvnZusog_10_0"/>
      <w:bookmarkStart w:id="1181" w:name="Tc_aMCE_ewEl02Ek47JTTjXBw_9_0"/>
      <w:bookmarkStart w:id="1182" w:name="Tc_4FuquV7V50mBT-O7UsK3QA_8_0"/>
      <w:bookmarkStart w:id="1183" w:name="Tc_zgrDRHZrgEypD1o3JZXxVw_7_0"/>
      <w:bookmarkStart w:id="1184" w:name="Tc_ttpZ_EkJSEiAVNO83RJIzw_6_0"/>
      <w:bookmarkStart w:id="1185" w:name="Tc_MjbKk12v0kaL11_C9VmhiA_5_0"/>
      <w:bookmarkStart w:id="1186" w:name="Tc_xfjWAESOnEuohyqcE5Mpfg_4_0"/>
      <w:bookmarkStart w:id="1187" w:name="Tc_VfZ4fNdxPU-SIfUeKxUI4Q_3_5"/>
      <w:bookmarkStart w:id="1188" w:name="Tc_lbBRSCKCJ0axyGJQNn0Rjw_3_2"/>
      <w:bookmarkStart w:id="1189" w:name="Tc_ofzbYaOkVkiPhrFwy7IbwQ_3_0"/>
      <w:bookmarkStart w:id="1190" w:name="Tc_Lhfqf1_CMUyFGSV8lDTtew_2_5"/>
      <w:bookmarkStart w:id="1191" w:name="Tc_BYDTYZYbHUWOUvR3ZqzfKA_2_2"/>
      <w:bookmarkStart w:id="1192" w:name="Tc_P48YtMQJXU-YV55wVAdWzQ_1_5"/>
      <w:bookmarkStart w:id="1193" w:name="Tc_PstWj9xmt02l_pcGjQXgzA_1_2"/>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r>
        <w:rPr>
          <w:rFonts w:ascii="Times New Roman;Times;serif" w:hAnsi="Times New Roman;Times;serif"/>
          <w:b/>
          <w:sz w:val="20"/>
        </w:rPr>
        <w:t>9. PROPERTY, PLANT AND EQUIPMENT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Property, plant and equipment consisted of the following at September 30, 2024 and December 31, 2023:</w:t>
      </w:r>
    </w:p>
    <w:p>
      <w:pPr>
        <w:pStyle w:val="TextBody"/>
        <w:bidi w:val="0"/>
        <w:spacing w:before="0" w:after="0"/>
        <w:ind w:left="0" w:right="0" w:hanging="0"/>
        <w:jc w:val="left"/>
        <w:rPr/>
      </w:pPr>
      <w:r>
        <w:rPr/>
        <w:t>​</w:t>
      </w:r>
    </w:p>
    <w:tbl>
      <w:tblPr>
        <w:tblW w:w="7163" w:type="dxa"/>
        <w:jc w:val="left"/>
        <w:tblInd w:w="0" w:type="dxa"/>
        <w:tblLayout w:type="fixed"/>
        <w:tblCellMar>
          <w:top w:w="0" w:type="dxa"/>
          <w:left w:w="0" w:type="dxa"/>
          <w:bottom w:w="0" w:type="dxa"/>
          <w:right w:w="0" w:type="dxa"/>
        </w:tblCellMar>
      </w:tblPr>
      <w:tblGrid>
        <w:gridCol w:w="3301"/>
        <w:gridCol w:w="326"/>
        <w:gridCol w:w="357"/>
        <w:gridCol w:w="1248"/>
        <w:gridCol w:w="326"/>
        <w:gridCol w:w="337"/>
        <w:gridCol w:w="1268"/>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96135" cy="175260"/>
                      <wp:effectExtent l="0" t="0" r="0" b="0"/>
                      <wp:wrapNone/>
                      <wp:docPr id="322" name="Frame322"/>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07010" cy="175260"/>
                      <wp:effectExtent l="0" t="0" r="0" b="0"/>
                      <wp:wrapNone/>
                      <wp:docPr id="323" name="Frame3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26695" cy="175260"/>
                      <wp:effectExtent l="0" t="0" r="0" b="0"/>
                      <wp:wrapNone/>
                      <wp:docPr id="324" name="Frame324"/>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792480" cy="175260"/>
                      <wp:effectExtent l="0" t="0" r="0" b="0"/>
                      <wp:wrapNone/>
                      <wp:docPr id="325" name="Frame325"/>
                      <a:graphic xmlns:a="http://schemas.openxmlformats.org/drawingml/2006/main">
                        <a:graphicData uri="http://schemas.microsoft.com/office/word/2010/wordprocessingShape">
                          <wps:wsp>
                            <wps:cNvSpPr txBox="1"/>
                            <wps:spPr>
                              <a:xfrm>
                                <a:off x="0" y="0"/>
                                <a:ext cx="792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07010" cy="175260"/>
                      <wp:effectExtent l="0" t="0" r="0" b="0"/>
                      <wp:wrapNone/>
                      <wp:docPr id="326" name="Frame3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13995" cy="175260"/>
                      <wp:effectExtent l="0" t="0" r="0" b="0"/>
                      <wp:wrapNone/>
                      <wp:docPr id="327" name="Frame327"/>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805180" cy="175260"/>
                      <wp:effectExtent l="0" t="0" r="0" b="0"/>
                      <wp:wrapNone/>
                      <wp:docPr id="328" name="Frame328"/>
                      <a:graphic xmlns:a="http://schemas.openxmlformats.org/drawingml/2006/main">
                        <a:graphicData uri="http://schemas.microsoft.com/office/word/2010/wordprocessingShape">
                          <wps:wsp>
                            <wps:cNvSpPr txBox="1"/>
                            <wps:spPr>
                              <a:xfrm>
                                <a:off x="0" y="0"/>
                                <a:ext cx="805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32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20,475</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14,953</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 and leasehold improvements</w:t>
            </w:r>
          </w:p>
        </w:tc>
        <w:tc>
          <w:tcPr>
            <w:tcW w:w="32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 </w:t>
            </w:r>
          </w:p>
        </w:tc>
        <w:tc>
          <w:tcPr>
            <w:tcW w:w="12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13,237</w:t>
            </w:r>
          </w:p>
        </w:tc>
        <w:tc>
          <w:tcPr>
            <w:tcW w:w="3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 </w:t>
            </w:r>
          </w:p>
        </w:tc>
        <w:tc>
          <w:tcPr>
            <w:tcW w:w="12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13,419</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12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17,855</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12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11,576</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w:t>
            </w:r>
          </w:p>
        </w:tc>
        <w:tc>
          <w:tcPr>
            <w:tcW w:w="32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 </w:t>
            </w:r>
          </w:p>
        </w:tc>
        <w:tc>
          <w:tcPr>
            <w:tcW w:w="12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w:t>
            </w:r>
          </w:p>
        </w:tc>
        <w:tc>
          <w:tcPr>
            <w:tcW w:w="3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 </w:t>
            </w:r>
          </w:p>
        </w:tc>
        <w:tc>
          <w:tcPr>
            <w:tcW w:w="12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1,571</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 </w:t>
            </w:r>
          </w:p>
        </w:tc>
        <w:tc>
          <w:tcPr>
            <w:tcW w:w="12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7,102</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 </w:t>
            </w:r>
          </w:p>
        </w:tc>
        <w:tc>
          <w:tcPr>
            <w:tcW w:w="12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6,527</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vAlign w:val="center"/>
          </w:tcPr>
          <w:p>
            <w:pPr>
              <w:pStyle w:val="TableContents"/>
              <w:bidi w:val="0"/>
              <w:spacing w:before="0" w:after="0"/>
              <w:ind w:left="0" w:right="0" w:hanging="0"/>
              <w:jc w:val="left"/>
              <w:rPr/>
            </w:pPr>
            <w:r>
              <w:rPr/>
              <w:t>​</w:t>
            </w:r>
          </w:p>
        </w:tc>
        <w:tc>
          <w:tcPr>
            <w:tcW w:w="35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w:t>
            </w:r>
          </w:p>
        </w:tc>
        <w:tc>
          <w:tcPr>
            <w:tcW w:w="326" w:type="dxa"/>
            <w:tcBorders/>
            <w:vAlign w:val="center"/>
          </w:tcPr>
          <w:p>
            <w:pPr>
              <w:pStyle w:val="TableContents"/>
              <w:bidi w:val="0"/>
              <w:spacing w:before="0" w:after="0"/>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 </w:t>
            </w:r>
          </w:p>
        </w:tc>
        <w:tc>
          <w:tcPr>
            <w:tcW w:w="12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60,561</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 </w:t>
            </w:r>
          </w:p>
        </w:tc>
        <w:tc>
          <w:tcPr>
            <w:tcW w:w="12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48,375</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vAlign w:val="center"/>
          </w:tcPr>
          <w:p>
            <w:pPr>
              <w:pStyle w:val="TableContents"/>
              <w:bidi w:val="0"/>
              <w:spacing w:before="0" w:after="0"/>
              <w:ind w:left="0" w:right="0" w:hanging="0"/>
              <w:jc w:val="left"/>
              <w:rPr/>
            </w:pPr>
            <w:r>
              <w:rPr/>
              <w:t>​</w:t>
            </w:r>
          </w:p>
        </w:tc>
        <w:tc>
          <w:tcPr>
            <w:tcW w:w="35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(11,297)</w:t>
            </w:r>
          </w:p>
        </w:tc>
        <w:tc>
          <w:tcPr>
            <w:tcW w:w="326" w:type="dxa"/>
            <w:tcBorders/>
            <w:vAlign w:val="center"/>
          </w:tcPr>
          <w:p>
            <w:pPr>
              <w:pStyle w:val="TableContents"/>
              <w:bidi w:val="0"/>
              <w:spacing w:before="0" w:after="0"/>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(10,495)</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plant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49,264</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37,880</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Depreciation expense was $481 and $412 for the three months ended September 30, 2024 and 2023, respectively, and includes depreciation expense for leased mobile homes. Depreciation expense also includes $168 and $127 as a component of cost of product sales for the three months ended September 30, 2024 and 2023, respectively. Depreciation expense was $1,337 and 1,235 for the nine months ended September 30, 2024 and 2023, respectively, and includes depreciation expense for leased mobile homes. Depreciation expense also includes $494 and $377 as a component of cost of product sales for the nine months ended September 30, 2024 and 2023, respectively. </w:t>
      </w:r>
    </w:p>
    <w:p>
      <w:pPr>
        <w:pStyle w:val="TextBody"/>
        <w:bidi w:val="0"/>
        <w:spacing w:before="0" w:after="200"/>
        <w:ind w:left="0" w:right="0" w:hanging="0"/>
        <w:jc w:val="left"/>
        <w:rPr>
          <w:rFonts w:ascii="Times New Roman;Times;serif" w:hAnsi="Times New Roman;Times;serif"/>
          <w:b/>
          <w:sz w:val="20"/>
        </w:rPr>
      </w:pPr>
      <w:bookmarkStart w:id="1194" w:name="Tc_9Rbu8hhalUa5kxr3EfICNA_6_5"/>
      <w:bookmarkStart w:id="1195" w:name="Tc_DYfWLRNYU0ef3R49hC4Xcg_6_2"/>
      <w:bookmarkStart w:id="1196" w:name="Tc_vFUEbapWdkq8E_dsBO08hA_6_0"/>
      <w:bookmarkStart w:id="1197" w:name="Tc_qW9GxF1n10Kx5sR3cScL_w_5_0"/>
      <w:bookmarkStart w:id="1198" w:name="Tc_w_mPrwaXJUeGXN89-t549g_4_0"/>
      <w:bookmarkStart w:id="1199" w:name="Tc_24xOeYYQy0GwROpbNN6Dnw_3_5"/>
      <w:bookmarkStart w:id="1200" w:name="Tc_rnooWLEG8Uujewv_QC38hA_3_2"/>
      <w:bookmarkStart w:id="1201" w:name="Tc_jzCRMAa48UumH12pyXBjrA_3_0"/>
      <w:bookmarkStart w:id="1202" w:name="Tc_nFgtAtnu2USQn4dUtUhjBg_2_5"/>
      <w:bookmarkStart w:id="1203" w:name="Tc_tRhvfqcsbE2VCz1HrfzYmQ_2_2"/>
      <w:bookmarkStart w:id="1204" w:name="Tc_AIihqGulP0icN2mmC6MGHw_1_5"/>
      <w:bookmarkStart w:id="1205" w:name="Tc_sKyZAYsJDkaenA-2DllNWA_1_2"/>
      <w:bookmarkEnd w:id="1194"/>
      <w:bookmarkEnd w:id="1195"/>
      <w:bookmarkEnd w:id="1196"/>
      <w:bookmarkEnd w:id="1197"/>
      <w:bookmarkEnd w:id="1198"/>
      <w:bookmarkEnd w:id="1199"/>
      <w:bookmarkEnd w:id="1200"/>
      <w:bookmarkEnd w:id="1201"/>
      <w:bookmarkEnd w:id="1202"/>
      <w:bookmarkEnd w:id="1203"/>
      <w:bookmarkEnd w:id="1204"/>
      <w:bookmarkEnd w:id="1205"/>
      <w:r>
        <w:rPr>
          <w:rFonts w:ascii="Times New Roman;Times;serif" w:hAnsi="Times New Roman;Times;serif"/>
          <w:b/>
          <w:sz w:val="20"/>
        </w:rPr>
        <w:t>10. OTHER ASSETS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Other assets consisted of the following at September 30, 2024 and December 31, 2023:</w:t>
      </w:r>
    </w:p>
    <w:p>
      <w:pPr>
        <w:pStyle w:val="TextBody"/>
        <w:bidi w:val="0"/>
        <w:spacing w:before="0" w:after="0"/>
        <w:ind w:left="0" w:right="0" w:hanging="0"/>
        <w:jc w:val="left"/>
        <w:rPr/>
      </w:pPr>
      <w:r>
        <w:rPr/>
        <w:t>​</w:t>
      </w:r>
    </w:p>
    <w:tbl>
      <w:tblPr>
        <w:tblW w:w="5573" w:type="dxa"/>
        <w:jc w:val="left"/>
        <w:tblInd w:w="0" w:type="dxa"/>
        <w:tblLayout w:type="fixed"/>
        <w:tblCellMar>
          <w:top w:w="0" w:type="dxa"/>
          <w:left w:w="0" w:type="dxa"/>
          <w:bottom w:w="0" w:type="dxa"/>
          <w:right w:w="0" w:type="dxa"/>
        </w:tblCellMar>
      </w:tblPr>
      <w:tblGrid>
        <w:gridCol w:w="1711"/>
        <w:gridCol w:w="326"/>
        <w:gridCol w:w="432"/>
        <w:gridCol w:w="1173"/>
        <w:gridCol w:w="326"/>
        <w:gridCol w:w="376"/>
        <w:gridCol w:w="1229"/>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086485" cy="175260"/>
                      <wp:effectExtent l="0" t="0" r="0" b="0"/>
                      <wp:wrapNone/>
                      <wp:docPr id="329" name="Frame329"/>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7010" cy="175260"/>
                      <wp:effectExtent l="0" t="0" r="0" b="0"/>
                      <wp:wrapNone/>
                      <wp:docPr id="330" name="Frame3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74320" cy="175260"/>
                      <wp:effectExtent l="0" t="0" r="0" b="0"/>
                      <wp:wrapNone/>
                      <wp:docPr id="331" name="Frame331"/>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744855" cy="175260"/>
                      <wp:effectExtent l="0" t="0" r="0" b="0"/>
                      <wp:wrapNone/>
                      <wp:docPr id="332" name="Frame332"/>
                      <a:graphic xmlns:a="http://schemas.openxmlformats.org/drawingml/2006/main">
                        <a:graphicData uri="http://schemas.microsoft.com/office/word/2010/wordprocessingShape">
                          <wps:wsp>
                            <wps:cNvSpPr txBox="1"/>
                            <wps:spPr>
                              <a:xfrm>
                                <a:off x="0" y="0"/>
                                <a:ext cx="744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07010" cy="175260"/>
                      <wp:effectExtent l="0" t="0" r="0" b="0"/>
                      <wp:wrapNone/>
                      <wp:docPr id="333" name="Frame3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38760" cy="175260"/>
                      <wp:effectExtent l="0" t="0" r="0" b="0"/>
                      <wp:wrapNone/>
                      <wp:docPr id="334" name="Frame334"/>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780415" cy="175260"/>
                      <wp:effectExtent l="0" t="0" r="0" b="0"/>
                      <wp:wrapNone/>
                      <wp:docPr id="335" name="Frame335"/>
                      <a:graphic xmlns:a="http://schemas.openxmlformats.org/drawingml/2006/main">
                        <a:graphicData uri="http://schemas.microsoft.com/office/word/2010/wordprocessingShape">
                          <wps:wsp>
                            <wps:cNvSpPr txBox="1"/>
                            <wps:spPr>
                              <a:xfrm>
                                <a:off x="0" y="0"/>
                                <a:ext cx="780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6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326" w:type="dxa"/>
            <w:tcBorders/>
            <w:vAlign w:val="center"/>
          </w:tcPr>
          <w:p>
            <w:pPr>
              <w:pStyle w:val="TableContents"/>
              <w:bidi w:val="0"/>
              <w:spacing w:before="0" w:after="1"/>
              <w:ind w:left="0" w:right="0" w:hanging="0"/>
              <w:jc w:val="left"/>
              <w:rPr/>
            </w:pPr>
            <w:r>
              <w:rPr/>
              <w:t>    </w:t>
            </w:r>
          </w:p>
        </w:tc>
        <w:tc>
          <w:tcPr>
            <w:tcW w:w="16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17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rent</w:t>
            </w:r>
          </w:p>
        </w:tc>
        <w:tc>
          <w:tcPr>
            <w:tcW w:w="326" w:type="dxa"/>
            <w:tcBorders/>
            <w:shd w:fill="CCEEFF" w:val="clear"/>
            <w:vAlign w:val="center"/>
          </w:tcPr>
          <w:p>
            <w:pPr>
              <w:pStyle w:val="TableContents"/>
              <w:bidi w:val="0"/>
              <w:spacing w:before="0" w:after="1"/>
              <w:ind w:left="0" w:right="0" w:hanging="0"/>
              <w:jc w:val="left"/>
              <w:rPr/>
            </w:pPr>
            <w:r>
              <w:rPr/>
              <w:t>​</w:t>
            </w:r>
          </w:p>
        </w:tc>
        <w:tc>
          <w:tcPr>
            <w:tcW w:w="4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w:t>
            </w:r>
          </w:p>
        </w:tc>
        <w:tc>
          <w:tcPr>
            <w:tcW w:w="32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w:t>
            </w:r>
          </w:p>
        </w:tc>
      </w:tr>
      <w:tr>
        <w:trPr/>
        <w:tc>
          <w:tcPr>
            <w:tcW w:w="1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1"/>
              <w:ind w:left="0" w:right="0" w:hanging="0"/>
              <w:jc w:val="left"/>
              <w:rPr/>
            </w:pPr>
            <w:r>
              <w:rPr/>
              <w:t>​</w:t>
            </w:r>
          </w:p>
        </w:tc>
        <w:tc>
          <w:tcPr>
            <w:tcW w:w="432" w:type="dxa"/>
            <w:tcBorders/>
            <w:vAlign w:val="center"/>
          </w:tcPr>
          <w:p>
            <w:pPr>
              <w:pStyle w:val="TableContents"/>
              <w:bidi w:val="0"/>
              <w:spacing w:before="0" w:after="1"/>
              <w:ind w:left="0" w:right="0" w:hanging="0"/>
              <w:jc w:val="left"/>
              <w:rPr/>
            </w:pPr>
            <w:r>
              <w:rPr/>
              <w:t> </w:t>
            </w:r>
          </w:p>
        </w:tc>
        <w:tc>
          <w:tcPr>
            <w:tcW w:w="11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left"/>
              <w:rPr/>
            </w:pPr>
            <w:r>
              <w:rPr/>
              <w:t> </w:t>
            </w:r>
          </w:p>
        </w:tc>
        <w:tc>
          <w:tcPr>
            <w:tcW w:w="12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1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Repossessed homes</w:t>
            </w:r>
          </w:p>
        </w:tc>
        <w:tc>
          <w:tcPr>
            <w:tcW w:w="326" w:type="dxa"/>
            <w:tcBorders/>
            <w:shd w:fill="CCEEFF" w:val="clear"/>
            <w:vAlign w:val="center"/>
          </w:tcPr>
          <w:p>
            <w:pPr>
              <w:pStyle w:val="TableContents"/>
              <w:bidi w:val="0"/>
              <w:spacing w:before="0" w:after="1"/>
              <w:ind w:left="0" w:right="0" w:hanging="0"/>
              <w:jc w:val="left"/>
              <w:rPr/>
            </w:pPr>
            <w:r>
              <w:rPr/>
              <w:t>​</w:t>
            </w:r>
          </w:p>
        </w:tc>
        <w:tc>
          <w:tcPr>
            <w:tcW w:w="4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9,532</w:t>
            </w:r>
          </w:p>
        </w:tc>
        <w:tc>
          <w:tcPr>
            <w:tcW w:w="326" w:type="dxa"/>
            <w:tcBorders/>
            <w:shd w:fill="CCEEFF" w:val="clear"/>
            <w:vAlign w:val="center"/>
          </w:tcPr>
          <w:p>
            <w:pPr>
              <w:pStyle w:val="TableContents"/>
              <w:bidi w:val="0"/>
              <w:spacing w:before="0" w:after="1"/>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2,215</w:t>
            </w:r>
          </w:p>
        </w:tc>
      </w:tr>
      <w:tr>
        <w:trPr/>
        <w:tc>
          <w:tcPr>
            <w:tcW w:w="1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w:t>
            </w:r>
          </w:p>
        </w:tc>
        <w:tc>
          <w:tcPr>
            <w:tcW w:w="43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9,888</w:t>
            </w:r>
          </w:p>
        </w:tc>
        <w:tc>
          <w:tcPr>
            <w:tcW w:w="326" w:type="dxa"/>
            <w:tcBorders/>
            <w:vAlign w:val="center"/>
          </w:tcPr>
          <w:p>
            <w:pPr>
              <w:pStyle w:val="TableContents"/>
              <w:bidi w:val="0"/>
              <w:spacing w:before="0" w:after="1"/>
              <w:ind w:left="0" w:right="0" w:hanging="0"/>
              <w:jc w:val="left"/>
              <w:rPr/>
            </w:pPr>
            <w:r>
              <w:rPr/>
              <w:t>​</w:t>
            </w:r>
          </w:p>
        </w:tc>
        <w:tc>
          <w:tcPr>
            <w:tcW w:w="37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2,571</w:t>
            </w:r>
          </w:p>
        </w:tc>
      </w:tr>
    </w:tbl>
    <w:p>
      <w:pPr>
        <w:pStyle w:val="TextBody"/>
        <w:bidi w:val="0"/>
        <w:spacing w:before="0" w:after="200"/>
        <w:ind w:left="0" w:right="0" w:firstLine="72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Repossessed homes balance as of September 30, 2024 includes $3,986 for homes repossessed from the consumer loan portfolio and $5,546 for homes repossessed from the MHP loan portfolio. Repossessed homes balance as of December 31, 2023 includes $2,215 for homes repossessed from the consumer loan portfolio.</w:t>
      </w:r>
    </w:p>
    <w:p>
      <w:pPr>
        <w:pStyle w:val="TextBody"/>
        <w:bidi w:val="0"/>
        <w:spacing w:before="0" w:after="200"/>
        <w:ind w:left="0" w:right="0" w:firstLine="72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206" w:name="Tc_QILAg8TTC0O3PngLiEJ7Mw_12_5"/>
      <w:bookmarkStart w:id="1207" w:name="Tc_TLYuKGi0rkWkjWdH1xjfDg_12_2"/>
      <w:bookmarkStart w:id="1208" w:name="Tc_2w5qId3wQEyjGDlUoGiGxg_12_0"/>
      <w:bookmarkStart w:id="1209" w:name="Tc_6B9O-Sz5d0u2tn46O1QZ9A_11_0"/>
      <w:bookmarkStart w:id="1210" w:name="Tc__0gR8oUwwUaEPjh_0ZpXxA_10_0"/>
      <w:bookmarkStart w:id="1211" w:name="Tc_e5MhGMedwkSbuXAsEdUlNA_9_0"/>
      <w:bookmarkStart w:id="1212" w:name="Tc_qqyh1qPCdUmgSUNW9zzdKg_8_0"/>
      <w:bookmarkStart w:id="1213" w:name="Tc_Mk1hxz701ka1LusQzAc1Bw_7_0"/>
      <w:bookmarkStart w:id="1214" w:name="Tc_hHdxpfkOeU-bUH4Vwo5IAw_6_0"/>
      <w:bookmarkStart w:id="1215" w:name="Tc_PY8Z-jktiEiGd-OK2uY2zw_5_0"/>
      <w:bookmarkStart w:id="1216" w:name="Tc_NHX5KeLeGESdIcldhfhh_A_4_0"/>
      <w:bookmarkStart w:id="1217" w:name="Tc_79GA_biVJ0utdQDEbxxpmA_3_5"/>
      <w:bookmarkStart w:id="1218" w:name="Tc_6v1moF4kRE-ZMwFWpUUwNg_3_2"/>
      <w:bookmarkStart w:id="1219" w:name="Tc_Od3lD7xFN0iThovtgHWGJg_3_0"/>
      <w:bookmarkStart w:id="1220" w:name="Tc_WMlR8KmIfkCN1tX99osh0A_2_5"/>
      <w:bookmarkStart w:id="1221" w:name="Tc_I5rqZ_-RpUyg9vLzHFjBjg_2_2"/>
      <w:bookmarkStart w:id="1222" w:name="Tc_o8PH5micQkivkkG_7PbWKg_1_5"/>
      <w:bookmarkStart w:id="1223" w:name="Tc_is3SxOWUlU203jhR1ctjdw_1_2"/>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r>
        <w:rPr>
          <w:rFonts w:ascii="Times New Roman;Times;serif" w:hAnsi="Times New Roman;Times;serif"/>
          <w:b/>
          <w:sz w:val="20"/>
        </w:rPr>
        <w:t>11. ACCRUED LIABILITIES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Accrued liabilities consisted of the following at September 30, 2024 and December 31, 2023: </w:t>
      </w:r>
    </w:p>
    <w:p>
      <w:pPr>
        <w:pStyle w:val="TextBody"/>
        <w:bidi w:val="0"/>
        <w:spacing w:before="0" w:after="0"/>
        <w:ind w:left="0" w:right="0" w:hanging="0"/>
        <w:jc w:val="left"/>
        <w:rPr/>
      </w:pPr>
      <w:r>
        <w:rPr/>
        <w:t>​</w:t>
      </w:r>
    </w:p>
    <w:tbl>
      <w:tblPr>
        <w:tblW w:w="6458" w:type="dxa"/>
        <w:jc w:val="left"/>
        <w:tblInd w:w="0" w:type="dxa"/>
        <w:tblLayout w:type="fixed"/>
        <w:tblCellMar>
          <w:top w:w="0" w:type="dxa"/>
          <w:left w:w="0" w:type="dxa"/>
          <w:bottom w:w="0" w:type="dxa"/>
          <w:right w:w="0" w:type="dxa"/>
        </w:tblCellMar>
      </w:tblPr>
      <w:tblGrid>
        <w:gridCol w:w="2596"/>
        <w:gridCol w:w="326"/>
        <w:gridCol w:w="380"/>
        <w:gridCol w:w="1225"/>
        <w:gridCol w:w="326"/>
        <w:gridCol w:w="337"/>
        <w:gridCol w:w="1268"/>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648460" cy="175260"/>
                      <wp:effectExtent l="0" t="0" r="0" b="0"/>
                      <wp:wrapNone/>
                      <wp:docPr id="336" name="Frame336"/>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07010" cy="175260"/>
                      <wp:effectExtent l="0" t="0" r="0" b="0"/>
                      <wp:wrapNone/>
                      <wp:docPr id="337" name="Frame3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41300" cy="175260"/>
                      <wp:effectExtent l="0" t="0" r="0" b="0"/>
                      <wp:wrapNone/>
                      <wp:docPr id="338" name="Frame338"/>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777875" cy="175260"/>
                      <wp:effectExtent l="0" t="0" r="0" b="0"/>
                      <wp:wrapNone/>
                      <wp:docPr id="339" name="Frame339"/>
                      <a:graphic xmlns:a="http://schemas.openxmlformats.org/drawingml/2006/main">
                        <a:graphicData uri="http://schemas.microsoft.com/office/word/2010/wordprocessingShape">
                          <wps:wsp>
                            <wps:cNvSpPr txBox="1"/>
                            <wps:spPr>
                              <a:xfrm>
                                <a:off x="0" y="0"/>
                                <a:ext cx="777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7010" cy="175260"/>
                      <wp:effectExtent l="0" t="0" r="0" b="0"/>
                      <wp:wrapNone/>
                      <wp:docPr id="340" name="Frame3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3995" cy="175260"/>
                      <wp:effectExtent l="0" t="0" r="0" b="0"/>
                      <wp:wrapNone/>
                      <wp:docPr id="341" name="Frame341"/>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805180" cy="175260"/>
                      <wp:effectExtent l="0" t="0" r="0" b="0"/>
                      <wp:wrapNone/>
                      <wp:docPr id="342" name="Frame342"/>
                      <a:graphic xmlns:a="http://schemas.openxmlformats.org/drawingml/2006/main">
                        <a:graphicData uri="http://schemas.microsoft.com/office/word/2010/wordprocessingShape">
                          <wps:wsp>
                            <wps:cNvSpPr txBox="1"/>
                            <wps:spPr>
                              <a:xfrm>
                                <a:off x="0" y="0"/>
                                <a:ext cx="805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32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reserve</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2,167</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2,910</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Litigation reserve</w:t>
            </w:r>
          </w:p>
        </w:tc>
        <w:tc>
          <w:tcPr>
            <w:tcW w:w="32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 </w:t>
            </w:r>
          </w:p>
        </w:tc>
        <w:tc>
          <w:tcPr>
            <w:tcW w:w="12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w:t>
            </w:r>
          </w:p>
        </w:tc>
        <w:tc>
          <w:tcPr>
            <w:tcW w:w="3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 </w:t>
            </w:r>
          </w:p>
        </w:tc>
        <w:tc>
          <w:tcPr>
            <w:tcW w:w="12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Payroll</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1,637</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12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Portfolio taxes and title</w:t>
            </w:r>
          </w:p>
        </w:tc>
        <w:tc>
          <w:tcPr>
            <w:tcW w:w="32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 </w:t>
            </w:r>
          </w:p>
        </w:tc>
        <w:tc>
          <w:tcPr>
            <w:tcW w:w="12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w:t>
            </w:r>
          </w:p>
        </w:tc>
        <w:tc>
          <w:tcPr>
            <w:tcW w:w="3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 </w:t>
            </w:r>
          </w:p>
        </w:tc>
        <w:tc>
          <w:tcPr>
            <w:tcW w:w="12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2,234</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tax</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12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Dealer rebates</w:t>
            </w:r>
          </w:p>
        </w:tc>
        <w:tc>
          <w:tcPr>
            <w:tcW w:w="32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w:t>
            </w:r>
          </w:p>
        </w:tc>
        <w:tc>
          <w:tcPr>
            <w:tcW w:w="12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w:t>
            </w:r>
          </w:p>
        </w:tc>
        <w:tc>
          <w:tcPr>
            <w:tcW w:w="3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12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tax</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 </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 </w:t>
            </w:r>
          </w:p>
        </w:tc>
        <w:tc>
          <w:tcPr>
            <w:tcW w:w="12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 and state income taxes</w:t>
            </w:r>
          </w:p>
        </w:tc>
        <w:tc>
          <w:tcPr>
            <w:tcW w:w="32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 </w:t>
            </w:r>
          </w:p>
        </w:tc>
        <w:tc>
          <w:tcPr>
            <w:tcW w:w="12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2,079</w:t>
            </w:r>
          </w:p>
        </w:tc>
        <w:tc>
          <w:tcPr>
            <w:tcW w:w="3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 </w:t>
            </w:r>
          </w:p>
        </w:tc>
        <w:tc>
          <w:tcPr>
            <w:tcW w:w="12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3,759</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3,229</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5,484</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accrued liabilities</w:t>
            </w:r>
          </w:p>
        </w:tc>
        <w:tc>
          <w:tcPr>
            <w:tcW w:w="326" w:type="dxa"/>
            <w:tcBorders/>
            <w:vAlign w:val="center"/>
          </w:tcPr>
          <w:p>
            <w:pPr>
              <w:pStyle w:val="TableContents"/>
              <w:bidi w:val="0"/>
              <w:spacing w:before="0" w:after="0"/>
              <w:ind w:left="0" w:right="0" w:hanging="0"/>
              <w:jc w:val="left"/>
              <w:rPr/>
            </w:pPr>
            <w:r>
              <w:rPr/>
              <w:t>​</w:t>
            </w:r>
          </w:p>
        </w:tc>
        <w:tc>
          <w:tcPr>
            <w:tcW w:w="3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13,256</w:t>
            </w:r>
          </w:p>
        </w:tc>
        <w:tc>
          <w:tcPr>
            <w:tcW w:w="326" w:type="dxa"/>
            <w:tcBorders/>
            <w:vAlign w:val="center"/>
          </w:tcPr>
          <w:p>
            <w:pPr>
              <w:pStyle w:val="TableContents"/>
              <w:bidi w:val="0"/>
              <w:spacing w:before="0" w:after="0"/>
              <w:ind w:left="0" w:right="0" w:hanging="0"/>
              <w:jc w:val="left"/>
              <w:rPr/>
            </w:pPr>
            <w:r>
              <w:rPr/>
              <w:t>​</w:t>
            </w:r>
          </w:p>
        </w:tc>
        <w:tc>
          <w:tcPr>
            <w:tcW w:w="3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18,504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12. LINES OF CREDIT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On July 28, 2023, the Company entered into a new Credit Agreement (the “Revolver”), by and among the Company as borrower, the financial institutions from time to time party thereto, as lenders, and Prosperity Bank as administrative agent. Subsequently, the Company repaid in full the balance due on its prior line of credit with Capital One, N.A. and all commitments under this prior line of credit were terminated. The Revolver provides for a four-year senior secured revolving credit facility with an initial commitment of $50,000 and an additional $25,000 commitment under an accordion feature. The Revolver is secured by the Company’s consumer loans receivables and all escrow accounts associated with the consumer loans receivables. At the Company's option, borrowings will bear interest at a per annum rate equal to, (i) Term Secured Overnight Financing Rate (“SOFR”) plus an applicable margin of 2.5% or 2.75% based upon the Company's average quarterly borrowings under the Revolver or (ii) a base rate plus an applicable margin of 2.5% or 2.75% based upon the Company's average quarterly borrowings under the Revolver. The Company paid certain arrangement fees and other fees in connection with the Revolver of approximately $271, which were capitalized as unamortized debt issuance costs and included within lines of credit balance in the accompanying balance sheets and are amortized to interest expense over the life of the Revolver. The Revolver matures July 28, 2027.</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For the three months ended September 30, 2024, interest expense under the Revolver was $175, and for the three months ended September 30, 2023, interest expense under the Revolver and prior line of credit was $302. For the nine months ended September 30, 2024, interest expense under the Revolver was $686, and for the nine months ended September 30, 2023, interest expense under the Revolver and prior line of credit was $588. The outstanding balance of the Revolver as of September 30, 2024 and December 31, 2023 was $2,111 and $23,680, respectively. The interest rate in effect as of September 30, 2024 and December 31, 2023 for the Revolver was 7.61% and 7.95%, respectively. The amount of available credit under the Revolver was $47,889 and $26,320 as of September 30, 2024 and December 31, 2023, respectively. The Revolver requires the Company to comply with certain financial and non-financial covenants. As of September 30, 2024, the Company was in compliance with all financial covenants, including that it maintain a maximum leverage ratio of no more than 1.00 to 1.00 and a minimum fixed charge coverage ratio of no less than 1.75 to 1.00.</w:t>
      </w:r>
    </w:p>
    <w:p>
      <w:pPr>
        <w:pStyle w:val="TextBody"/>
        <w:bidi w:val="0"/>
        <w:spacing w:before="0" w:after="200"/>
        <w:ind w:left="0" w:right="0" w:firstLine="72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224" w:name="Tc_a_voa2JuHkq4H13FcXM2Vg_24_4"/>
      <w:bookmarkStart w:id="1225" w:name="Tc_v1qpX1moxUqffI3rT1aSZg_24_0"/>
      <w:bookmarkStart w:id="1226" w:name="Tc_oLqXHf-9ZkSmNYlPTTE1cA_23_5"/>
      <w:bookmarkStart w:id="1227" w:name="Tc_edwEmzIjREmLMTEJDa2ZbA_23_4"/>
      <w:bookmarkStart w:id="1228" w:name="Tc_o6ud9UDV6kC_hwa18PvpJw_23_2"/>
      <w:bookmarkStart w:id="1229" w:name="Tc_HXMKzJOF5kqrW7GLmXom_w_23_0"/>
      <w:bookmarkStart w:id="1230" w:name="Tc_ZNefCHToO0uI0iUNQdhqUg_22_5"/>
      <w:bookmarkStart w:id="1231" w:name="Tc_CRtxA6jrRkuuSt26OAusWw_22_4"/>
      <w:bookmarkStart w:id="1232" w:name="Tc_QqUxwy1bSkOliIdoD2_tJA_22_2"/>
      <w:bookmarkStart w:id="1233" w:name="Tc_EseYiX5r0EWc5OkBCm18FA_22_0"/>
      <w:bookmarkStart w:id="1234" w:name="Tc_a-__zCOJoU2kkQ-iYesCZA_21_5"/>
      <w:bookmarkStart w:id="1235" w:name="Tc_AZHQjtw3ckKM2lpF2daUNQ_21_4"/>
      <w:bookmarkStart w:id="1236" w:name="Tc_rHwvuaGuLE6Nkzz5no-vJQ_21_2"/>
      <w:bookmarkStart w:id="1237" w:name="Tc_zZCxJmJ9f0iPRkTJagzqKw_21_0"/>
      <w:bookmarkStart w:id="1238" w:name="Tc_X7RZnCs4MUmqvSK1mFDVug_20_4"/>
      <w:bookmarkStart w:id="1239" w:name="Tc_kRzj6foE-0efIAZkLmUqyg_20_0"/>
      <w:bookmarkStart w:id="1240" w:name="Tc_F_XPpprgAkGenDZ66aWFNQ_18_4"/>
      <w:bookmarkStart w:id="1241" w:name="Tc_6NEQtEwjLE2X8LUw0RC_pA_18_0"/>
      <w:bookmarkStart w:id="1242" w:name="Tc_7GUpqA8Q_Ui3484cp05J0Q_17_5"/>
      <w:bookmarkStart w:id="1243" w:name="Tc_DJizKIG5TUWe1glCLONYLA_17_4"/>
      <w:bookmarkStart w:id="1244" w:name="Tc_kSeIMGYJ4kG0aeBktUEHEw_17_2"/>
      <w:bookmarkStart w:id="1245" w:name="Tc_en-kAoD1k0uw4o5DMQXbIw_17_0"/>
      <w:bookmarkStart w:id="1246" w:name="Tc_7qfijMefB0KCJCW8MumLZA_16_4"/>
      <w:bookmarkStart w:id="1247" w:name="Tc_f5alxnbxYkOdAmOfd8WLLw_16_0"/>
      <w:bookmarkStart w:id="1248" w:name="Tc_PnonLUY7V0qcZvK0sWTMdw_15_5"/>
      <w:bookmarkStart w:id="1249" w:name="Tc_jBUTBaeso0aPpl08ij_4zg_15_4"/>
      <w:bookmarkStart w:id="1250" w:name="Tc_1zuREs0TcESQabaYJDctrQ_15_2"/>
      <w:bookmarkStart w:id="1251" w:name="Tc_DlBld99Yj0SjqKL__meEOw_15_0"/>
      <w:bookmarkStart w:id="1252" w:name="Tc_UbVPA5BH90KaMod7Cg0R_Q_14_4"/>
      <w:bookmarkStart w:id="1253" w:name="Tc__T0v2w7BdUm0GXpkhzuj8g_14_0"/>
      <w:bookmarkStart w:id="1254" w:name="Tc_gt09G66zckqBJrV-UkA2_Q_12_4"/>
      <w:bookmarkStart w:id="1255" w:name="Tc_JNTv4WUtmkWq2YZtjH0POQ_12_0"/>
      <w:bookmarkStart w:id="1256" w:name="Tc_F2CQLX912E2MrB72Zt4H5Q_11_5"/>
      <w:bookmarkStart w:id="1257" w:name="Tc_ZouhXObmtUCCx3JynzisQw_11_4"/>
      <w:bookmarkStart w:id="1258" w:name="Tc_-1JBZIw1r0SBJN_nh5D-Zg_11_2"/>
      <w:bookmarkStart w:id="1259" w:name="Tc_loryECBUyU2C2dE0CKn0Uw_11_0"/>
      <w:bookmarkStart w:id="1260" w:name="Tc_BEXolTeKfUK56AAsM5W0gQ_10_5"/>
      <w:bookmarkStart w:id="1261" w:name="Tc_fnMnObsrYkizU4xsBPG66g_10_4"/>
      <w:bookmarkStart w:id="1262" w:name="Tc_OQE8_vpDgkezCdIOs1EW3A_10_2"/>
      <w:bookmarkStart w:id="1263" w:name="Tc_mLLGbnucUEOX2GXI1lfbww_10_0"/>
      <w:bookmarkStart w:id="1264" w:name="Tc_bImIrosfxEeDEpWgFpdQ4A_9_5"/>
      <w:bookmarkStart w:id="1265" w:name="Tc_r4f_vmw5v06p4MBhNK8dfQ_9_4"/>
      <w:bookmarkStart w:id="1266" w:name="Tc_oB3xwbzj-kK9Jh_K_rEEBw_9_2"/>
      <w:bookmarkStart w:id="1267" w:name="Tc_CLIR2yTkkEqMA6BVLeV6yQ_9_0"/>
      <w:bookmarkStart w:id="1268" w:name="Tc_oMirtD51fU6yzcZgxyMdEA_8_4"/>
      <w:bookmarkStart w:id="1269" w:name="Tc_yHopVFw_jE2Sz2_BTEdg2A_8_0"/>
      <w:bookmarkStart w:id="1270" w:name="Tc_T69aWXeoX0OtKzh_7JUBtA_6_4"/>
      <w:bookmarkStart w:id="1271" w:name="Tc_xyfU0DV-JEqffJm98pucIA_6_0"/>
      <w:bookmarkStart w:id="1272" w:name="Tc_RcbwV8MaAkmKHTDz1vHlJQ_5_4"/>
      <w:bookmarkStart w:id="1273" w:name="Tc_yKsHn_UX70uPdPzWG7cQig_5_0"/>
      <w:bookmarkStart w:id="1274" w:name="Tc_vps_zXxttk6ydkjHeJm3aw_4_4"/>
      <w:bookmarkStart w:id="1275" w:name="Tc_169ehgi5w02GzVrqHLN76w_4_0"/>
      <w:bookmarkStart w:id="1276" w:name="Tc_Wm-uYK-SaUqlcWFcVQHsCg_3_4"/>
      <w:bookmarkStart w:id="1277" w:name="Tc_iULw7z-sUU2yH4dp7ADJmQ_3_0"/>
      <w:bookmarkStart w:id="1278" w:name="Tc_P92EmIswlEm7UEU_UKo1yg_2_4"/>
      <w:bookmarkStart w:id="1279" w:name="Tc_CXdwSjS1mUeBSq3lMvIC4A_2_0"/>
      <w:bookmarkStart w:id="1280" w:name="Tc_n6no4uyZx06SWR4xT9UkGw_1_5"/>
      <w:bookmarkStart w:id="1281" w:name="Tc_NIQFnPFABUaO4BnJ7B7mYA_1_2"/>
      <w:bookmarkStart w:id="1282" w:name="_de3e5b58_8053_4f02_86c9_7cfb8704b4a7"/>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r>
        <w:rPr>
          <w:rFonts w:ascii="Times New Roman;Times;serif" w:hAnsi="Times New Roman;Times;serif"/>
          <w:b/>
          <w:sz w:val="20"/>
        </w:rPr>
        <w:t>13. SHARE-BASED COMPENSATION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Pursuant to the Legacy Housing Corporation 2018 Incentive Compensation Plan (the “Plan”), the Company may issue up to 10.0 million equity awards to employees, directors, consultants and nonemployee service providers in the form of stock options, stock, restricted stock and stock appreciation rights. Stock options may be granted with a contractual life of up to ten years. At September 30, 2024, the Company had 8.7 million shares available for grant under the Plan. </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Restricted Stock</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following is a summary of restricted stock award activity for the year ended December 31, 2023 and the three and nine months ended September 30, 2024 (number of units in thousands except per unit data): </w:t>
      </w:r>
    </w:p>
    <w:tbl>
      <w:tblPr>
        <w:tblW w:w="8247" w:type="dxa"/>
        <w:jc w:val="left"/>
        <w:tblInd w:w="0" w:type="dxa"/>
        <w:tblLayout w:type="fixed"/>
        <w:tblCellMar>
          <w:top w:w="0" w:type="dxa"/>
          <w:left w:w="0" w:type="dxa"/>
          <w:bottom w:w="0" w:type="dxa"/>
          <w:right w:w="0" w:type="dxa"/>
        </w:tblCellMar>
      </w:tblPr>
      <w:tblGrid>
        <w:gridCol w:w="2401"/>
        <w:gridCol w:w="109"/>
        <w:gridCol w:w="1411"/>
        <w:gridCol w:w="109"/>
        <w:gridCol w:w="196"/>
        <w:gridCol w:w="4021"/>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524635" cy="175260"/>
                      <wp:effectExtent l="0" t="0" r="0" b="0"/>
                      <wp:wrapNone/>
                      <wp:docPr id="343" name="Frame343"/>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9215" cy="175260"/>
                      <wp:effectExtent l="0" t="0" r="0" b="0"/>
                      <wp:wrapNone/>
                      <wp:docPr id="344" name="Frame3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895985" cy="175260"/>
                      <wp:effectExtent l="0" t="0" r="0" b="0"/>
                      <wp:wrapNone/>
                      <wp:docPr id="345" name="Frame345"/>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9215" cy="175260"/>
                      <wp:effectExtent l="0" t="0" r="0" b="0"/>
                      <wp:wrapNone/>
                      <wp:docPr id="346" name="Frame3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24460" cy="175260"/>
                      <wp:effectExtent l="0" t="0" r="0" b="0"/>
                      <wp:wrapNone/>
                      <wp:docPr id="347" name="Frame3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553335" cy="175260"/>
                      <wp:effectExtent l="0" t="0" r="0" b="0"/>
                      <wp:wrapNone/>
                      <wp:docPr id="348" name="Frame348"/>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 Units</w:t>
            </w:r>
          </w:p>
        </w:tc>
        <w:tc>
          <w:tcPr>
            <w:tcW w:w="109"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40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 Average Grant Date Fair Value Per Unit</w:t>
            </w:r>
          </w:p>
        </w:tc>
      </w:tr>
      <w:tr>
        <w:trPr/>
        <w:tc>
          <w:tcPr>
            <w:tcW w:w="24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Nonvested, January 1, 2023</w:t>
            </w:r>
          </w:p>
        </w:tc>
        <w:tc>
          <w:tcPr>
            <w:tcW w:w="109"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6.93</w:t>
            </w:r>
          </w:p>
        </w:tc>
      </w:tr>
      <w:tr>
        <w:trPr/>
        <w:tc>
          <w:tcPr>
            <w:tcW w:w="24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Granted</w:t>
            </w:r>
          </w:p>
        </w:tc>
        <w:tc>
          <w:tcPr>
            <w:tcW w:w="109"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23.26</w:t>
            </w:r>
          </w:p>
        </w:tc>
      </w:tr>
      <w:tr>
        <w:trPr/>
        <w:tc>
          <w:tcPr>
            <w:tcW w:w="24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Vested</w:t>
            </w:r>
          </w:p>
        </w:tc>
        <w:tc>
          <w:tcPr>
            <w:tcW w:w="109"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14.98</w:t>
            </w:r>
          </w:p>
        </w:tc>
      </w:tr>
      <w:tr>
        <w:trPr/>
        <w:tc>
          <w:tcPr>
            <w:tcW w:w="24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Canceled</w:t>
            </w:r>
          </w:p>
        </w:tc>
        <w:tc>
          <w:tcPr>
            <w:tcW w:w="109" w:type="dxa"/>
            <w:tcBorders/>
            <w:vAlign w:val="center"/>
          </w:tcPr>
          <w:p>
            <w:pPr>
              <w:pStyle w:val="TableContents"/>
              <w:bidi w:val="0"/>
              <w:spacing w:before="0" w:after="1"/>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13.63</w:t>
            </w:r>
          </w:p>
        </w:tc>
      </w:tr>
      <w:tr>
        <w:trPr/>
        <w:tc>
          <w:tcPr>
            <w:tcW w:w="24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Nonvested, December 31, 2023</w:t>
            </w:r>
          </w:p>
        </w:tc>
        <w:tc>
          <w:tcPr>
            <w:tcW w:w="109" w:type="dxa"/>
            <w:tcBorders/>
            <w:shd w:fill="CCEEFF" w:val="clear"/>
            <w:vAlign w:val="center"/>
          </w:tcPr>
          <w:p>
            <w:pPr>
              <w:pStyle w:val="TableContents"/>
              <w:bidi w:val="0"/>
              <w:spacing w:before="0" w:after="1"/>
              <w:ind w:left="0" w:right="0" w:hanging="0"/>
              <w:jc w:val="left"/>
              <w:rPr/>
            </w:pPr>
            <w:r>
              <w:rPr/>
              <w:t>​</w:t>
            </w:r>
          </w:p>
        </w:tc>
        <w:tc>
          <w:tcPr>
            <w:tcW w:w="14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17.09</w:t>
            </w:r>
          </w:p>
        </w:tc>
      </w:tr>
      <w:tr>
        <w:trPr/>
        <w:tc>
          <w:tcPr>
            <w:tcW w:w="24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021" w:type="dxa"/>
            <w:tcBorders/>
            <w:vAlign w:val="center"/>
          </w:tcPr>
          <w:p>
            <w:pPr>
              <w:pStyle w:val="TableContents"/>
              <w:bidi w:val="0"/>
              <w:spacing w:before="0" w:after="1"/>
              <w:ind w:left="0" w:right="0" w:hanging="0"/>
              <w:jc w:val="left"/>
              <w:rPr/>
            </w:pPr>
            <w:r>
              <w:rPr/>
              <w:t>​</w:t>
            </w:r>
          </w:p>
        </w:tc>
      </w:tr>
      <w:tr>
        <w:trPr/>
        <w:tc>
          <w:tcPr>
            <w:tcW w:w="24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Nonvested, January 1, 2024</w:t>
            </w:r>
          </w:p>
        </w:tc>
        <w:tc>
          <w:tcPr>
            <w:tcW w:w="109"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17.09</w:t>
            </w:r>
          </w:p>
        </w:tc>
      </w:tr>
      <w:tr>
        <w:trPr/>
        <w:tc>
          <w:tcPr>
            <w:tcW w:w="24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Granted</w:t>
            </w:r>
          </w:p>
        </w:tc>
        <w:tc>
          <w:tcPr>
            <w:tcW w:w="109"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24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Vested</w:t>
            </w:r>
          </w:p>
        </w:tc>
        <w:tc>
          <w:tcPr>
            <w:tcW w:w="109"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24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Canceled</w:t>
            </w:r>
          </w:p>
        </w:tc>
        <w:tc>
          <w:tcPr>
            <w:tcW w:w="109" w:type="dxa"/>
            <w:tcBorders/>
            <w:vAlign w:val="center"/>
          </w:tcPr>
          <w:p>
            <w:pPr>
              <w:pStyle w:val="TableContents"/>
              <w:bidi w:val="0"/>
              <w:spacing w:before="0" w:after="1"/>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24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Nonvested, March 31, 2024</w:t>
            </w:r>
          </w:p>
        </w:tc>
        <w:tc>
          <w:tcPr>
            <w:tcW w:w="109" w:type="dxa"/>
            <w:tcBorders/>
            <w:shd w:fill="CCEEFF" w:val="clear"/>
            <w:vAlign w:val="center"/>
          </w:tcPr>
          <w:p>
            <w:pPr>
              <w:pStyle w:val="TableContents"/>
              <w:bidi w:val="0"/>
              <w:spacing w:before="0" w:after="1"/>
              <w:ind w:left="0" w:right="0" w:hanging="0"/>
              <w:jc w:val="left"/>
              <w:rPr/>
            </w:pPr>
            <w:r>
              <w:rPr/>
              <w:t>​</w:t>
            </w:r>
          </w:p>
        </w:tc>
        <w:tc>
          <w:tcPr>
            <w:tcW w:w="14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17.09</w:t>
            </w:r>
          </w:p>
        </w:tc>
      </w:tr>
      <w:tr>
        <w:trPr/>
        <w:tc>
          <w:tcPr>
            <w:tcW w:w="24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021" w:type="dxa"/>
            <w:tcBorders/>
            <w:vAlign w:val="center"/>
          </w:tcPr>
          <w:p>
            <w:pPr>
              <w:pStyle w:val="TableContents"/>
              <w:bidi w:val="0"/>
              <w:spacing w:before="0" w:after="1"/>
              <w:ind w:left="0" w:right="0" w:hanging="0"/>
              <w:jc w:val="left"/>
              <w:rPr/>
            </w:pPr>
            <w:r>
              <w:rPr/>
              <w:t>​</w:t>
            </w:r>
          </w:p>
        </w:tc>
      </w:tr>
      <w:tr>
        <w:trPr/>
        <w:tc>
          <w:tcPr>
            <w:tcW w:w="24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Nonvested, March 31, 2024</w:t>
            </w:r>
          </w:p>
        </w:tc>
        <w:tc>
          <w:tcPr>
            <w:tcW w:w="109"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17.09</w:t>
            </w:r>
          </w:p>
        </w:tc>
      </w:tr>
      <w:tr>
        <w:trPr/>
        <w:tc>
          <w:tcPr>
            <w:tcW w:w="24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Granted</w:t>
            </w:r>
          </w:p>
        </w:tc>
        <w:tc>
          <w:tcPr>
            <w:tcW w:w="109"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24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Vested</w:t>
            </w:r>
          </w:p>
        </w:tc>
        <w:tc>
          <w:tcPr>
            <w:tcW w:w="109"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16.01</w:t>
            </w:r>
          </w:p>
        </w:tc>
      </w:tr>
      <w:tr>
        <w:trPr/>
        <w:tc>
          <w:tcPr>
            <w:tcW w:w="24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Canceled</w:t>
            </w:r>
          </w:p>
        </w:tc>
        <w:tc>
          <w:tcPr>
            <w:tcW w:w="109" w:type="dxa"/>
            <w:tcBorders/>
            <w:vAlign w:val="center"/>
          </w:tcPr>
          <w:p>
            <w:pPr>
              <w:pStyle w:val="TableContents"/>
              <w:bidi w:val="0"/>
              <w:spacing w:before="0" w:after="1"/>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24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Nonvested, June 30, 2024</w:t>
            </w:r>
          </w:p>
        </w:tc>
        <w:tc>
          <w:tcPr>
            <w:tcW w:w="109" w:type="dxa"/>
            <w:tcBorders/>
            <w:shd w:fill="CCEEFF" w:val="clear"/>
            <w:vAlign w:val="center"/>
          </w:tcPr>
          <w:p>
            <w:pPr>
              <w:pStyle w:val="TableContents"/>
              <w:bidi w:val="0"/>
              <w:spacing w:before="0" w:after="1"/>
              <w:ind w:left="0" w:right="0" w:hanging="0"/>
              <w:jc w:val="left"/>
              <w:rPr/>
            </w:pPr>
            <w:r>
              <w:rPr/>
              <w:t>​</w:t>
            </w:r>
          </w:p>
        </w:tc>
        <w:tc>
          <w:tcPr>
            <w:tcW w:w="14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23.26</w:t>
            </w:r>
          </w:p>
        </w:tc>
      </w:tr>
      <w:tr>
        <w:trPr/>
        <w:tc>
          <w:tcPr>
            <w:tcW w:w="24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021" w:type="dxa"/>
            <w:tcBorders/>
            <w:vAlign w:val="center"/>
          </w:tcPr>
          <w:p>
            <w:pPr>
              <w:pStyle w:val="TableContents"/>
              <w:bidi w:val="0"/>
              <w:spacing w:before="0" w:after="1"/>
              <w:ind w:left="0" w:right="0" w:hanging="0"/>
              <w:jc w:val="left"/>
              <w:rPr/>
            </w:pPr>
            <w:r>
              <w:rPr/>
              <w:t>​</w:t>
            </w:r>
          </w:p>
        </w:tc>
      </w:tr>
      <w:tr>
        <w:trPr/>
        <w:tc>
          <w:tcPr>
            <w:tcW w:w="24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Nonvested, June 30, 2024</w:t>
            </w:r>
          </w:p>
        </w:tc>
        <w:tc>
          <w:tcPr>
            <w:tcW w:w="109"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23.26</w:t>
            </w:r>
          </w:p>
        </w:tc>
      </w:tr>
      <w:tr>
        <w:trPr/>
        <w:tc>
          <w:tcPr>
            <w:tcW w:w="24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Granted</w:t>
            </w:r>
          </w:p>
        </w:tc>
        <w:tc>
          <w:tcPr>
            <w:tcW w:w="109"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24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Vested</w:t>
            </w:r>
          </w:p>
        </w:tc>
        <w:tc>
          <w:tcPr>
            <w:tcW w:w="109"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24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Canceled</w:t>
            </w:r>
          </w:p>
        </w:tc>
        <w:tc>
          <w:tcPr>
            <w:tcW w:w="109" w:type="dxa"/>
            <w:tcBorders/>
            <w:vAlign w:val="center"/>
          </w:tcPr>
          <w:p>
            <w:pPr>
              <w:pStyle w:val="TableContents"/>
              <w:bidi w:val="0"/>
              <w:spacing w:before="0" w:after="1"/>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24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Nonvested, September 30, 2024</w:t>
            </w:r>
          </w:p>
        </w:tc>
        <w:tc>
          <w:tcPr>
            <w:tcW w:w="109" w:type="dxa"/>
            <w:tcBorders/>
            <w:shd w:fill="CCEEFF" w:val="clear"/>
            <w:vAlign w:val="center"/>
          </w:tcPr>
          <w:p>
            <w:pPr>
              <w:pStyle w:val="TableContents"/>
              <w:bidi w:val="0"/>
              <w:spacing w:before="0" w:after="1"/>
              <w:ind w:left="0" w:right="0" w:hanging="0"/>
              <w:jc w:val="left"/>
              <w:rPr/>
            </w:pPr>
            <w:r>
              <w:rPr/>
              <w:t>​</w:t>
            </w:r>
          </w:p>
        </w:tc>
        <w:tc>
          <w:tcPr>
            <w:tcW w:w="14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21"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23.26</w:t>
            </w:r>
          </w:p>
        </w:tc>
      </w:tr>
    </w:tbl>
    <w:p>
      <w:pPr>
        <w:pStyle w:val="TextBody"/>
        <w:bidi w:val="0"/>
        <w:spacing w:before="0" w:after="0"/>
        <w:ind w:left="0" w:right="0" w:hanging="0"/>
        <w:jc w:val="left"/>
        <w:rPr/>
      </w:pPr>
      <w:r>
        <w:rPr/>
        <w:t>​</w:t>
      </w:r>
    </w:p>
    <w:p>
      <w:pPr>
        <w:pStyle w:val="TextBody"/>
        <w:bidi w:val="0"/>
        <w:spacing w:before="120" w:after="200"/>
        <w:ind w:left="0" w:right="0" w:firstLine="720"/>
        <w:jc w:val="left"/>
        <w:rPr>
          <w:rFonts w:ascii="Times New Roman;Times;serif" w:hAnsi="Times New Roman;Times;serif"/>
          <w:sz w:val="20"/>
        </w:rPr>
      </w:pPr>
      <w:r>
        <w:rPr>
          <w:rFonts w:ascii="Times New Roman;Times;serif" w:hAnsi="Times New Roman;Times;serif"/>
          <w:sz w:val="20"/>
        </w:rPr>
        <w:t xml:space="preserve">As of September 30, 2024, approximately 1,000 shares of restricted stock remained unvested. Unrecognized compensation expense related to these restricted stock awards at September 30, 2024 was $3 and is expected to be recognized over </w:t>
      </w:r>
      <w:r>
        <w:rPr>
          <w:rFonts w:ascii="Times New Roman;Times;serif" w:hAnsi="Times New Roman;Times;serif"/>
          <w:b w:val="false"/>
          <w:i w:val="false"/>
          <w:caps w:val="false"/>
          <w:smallCaps w:val="false"/>
          <w:sz w:val="20"/>
        </w:rPr>
        <w:t>0.08</w:t>
      </w:r>
      <w:r>
        <w:rPr>
          <w:rFonts w:ascii="Times New Roman;Times;serif" w:hAnsi="Times New Roman;Times;serif"/>
          <w:sz w:val="20"/>
        </w:rPr>
        <w:t xml:space="preserve"> years. Compensation expense for restricted stock awards for the three months ended September 30, 2024 and 2023 was $5 and $67, respectively, and for the nine months ended September 30, 2024 and 2023 was $69 and $200, respectively.</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i/>
          <w:sz w:val="20"/>
        </w:rPr>
      </w:pPr>
      <w:bookmarkStart w:id="1283" w:name="Tc_K0VH4iEb4Ui8oxBA7bJGsQ_28_12"/>
      <w:bookmarkStart w:id="1284" w:name="Tc_jqWxaKSJCEehcRTimSG4Tw_28_7"/>
      <w:bookmarkStart w:id="1285" w:name="Tc_qV0jWx76rku0Ge28P0djTA_28_4"/>
      <w:bookmarkStart w:id="1286" w:name="Tc_O1Z2w7EqM067uQd58Zz5XQ_28_0"/>
      <w:bookmarkStart w:id="1287" w:name="Tc_gWECen5r50-8p7jbCwVdgA_27_12"/>
      <w:bookmarkStart w:id="1288" w:name="Tc_JLl5Kj1UyEOqKFLC12BTVg_27_7"/>
      <w:bookmarkStart w:id="1289" w:name="Tc_WxsmB9y5B0OKLNxn6YQ0iA_27_4"/>
      <w:bookmarkStart w:id="1290" w:name="Tc_CadXAUAnmk2aFycwnOd_ZA_27_0"/>
      <w:bookmarkStart w:id="1291" w:name="Tc_a2iLS1tK5Uq_gnCnRb7vzw_26_10"/>
      <w:bookmarkStart w:id="1292" w:name="Tc_zApUHgetWka_wyM-sYGdRQ_26_8"/>
      <w:bookmarkStart w:id="1293" w:name="Tc_r2qU6lOFTUWhhDLk6B6j5A_26_7"/>
      <w:bookmarkStart w:id="1294" w:name="Tc_DBHKZ-lE-ke0ZpYtO4hGHg_26_5"/>
      <w:bookmarkStart w:id="1295" w:name="Tc_IZZPe4tIL0e09g0wg7gdsQ_26_4"/>
      <w:bookmarkStart w:id="1296" w:name="Tc_SFjYp0oBZUKuEiFLy-ppiQ_26_2"/>
      <w:bookmarkStart w:id="1297" w:name="Tc_aPojycHHS0qM7m9KQqLeFw_26_0"/>
      <w:bookmarkStart w:id="1298" w:name="Tc_JenJFLwD0UWQd6bFlYMjyA_25_10"/>
      <w:bookmarkStart w:id="1299" w:name="Tc_3fXSGmzU3U6LQyVDpQU3qQ_25_7"/>
      <w:bookmarkStart w:id="1300" w:name="Tc_6TIi-fl9Vk-97CYZ4sEqlw_25_4"/>
      <w:bookmarkStart w:id="1301" w:name="Tc_hdR_vEGWzUiLfgp7qAvnOw_25_0"/>
      <w:bookmarkStart w:id="1302" w:name="Tc_F6AmJO-F30SWmXVtyOUkpQ_24_7"/>
      <w:bookmarkStart w:id="1303" w:name="Tc__b0yxkDC6UC4hVLBPfaGJQ_24_4"/>
      <w:bookmarkStart w:id="1304" w:name="Tc_PbZoyMOZUUyEOaGidcXymg_24_0"/>
      <w:bookmarkStart w:id="1305" w:name="Tc_w_IE50hRs0e4WW5ZqCFRaQ_23_7"/>
      <w:bookmarkStart w:id="1306" w:name="Tc_1OdjXka9oEe7zJDPpa5SOQ_23_4"/>
      <w:bookmarkStart w:id="1307" w:name="Tc_9jQ1y9eBFk-FIaVz9dhJMQ_23_0"/>
      <w:bookmarkStart w:id="1308" w:name="Tc_pDB3VTWGqEmP5gMykmc4gQ_21_12"/>
      <w:bookmarkStart w:id="1309" w:name="Tc_GhMXBrcVu0-fl1wN18auyg_21_7"/>
      <w:bookmarkStart w:id="1310" w:name="Tc_9tzPYCGqLU6yMT4ARuywng_21_4"/>
      <w:bookmarkStart w:id="1311" w:name="Tc_dnWYwl6FSUW-dhfmOvbi2A_21_0"/>
      <w:bookmarkStart w:id="1312" w:name="Tc_fX4329HsHE28W1MO0lDIzg_20_12"/>
      <w:bookmarkStart w:id="1313" w:name="Tc_yRdgyIzaP0m_nV-WBVavCg_20_7"/>
      <w:bookmarkStart w:id="1314" w:name="Tc_G9oKpELVZEC9B-b_e7Wvvw_20_4"/>
      <w:bookmarkStart w:id="1315" w:name="Tc_sSFEfTg17UqHofd78Hmisg_20_0"/>
      <w:bookmarkStart w:id="1316" w:name="Tc_yXbfn0_XXUe3B_Pr1zqWFg_19_10"/>
      <w:bookmarkStart w:id="1317" w:name="Tc_xyNx7cr7JEaB-yyMVtEfOw_19_8"/>
      <w:bookmarkStart w:id="1318" w:name="Tc_GkZHrihgj0eX1tMUx7udGA_19_7"/>
      <w:bookmarkStart w:id="1319" w:name="Tc_W5bhpO7TfEiVugpDPWiqdA_19_5"/>
      <w:bookmarkStart w:id="1320" w:name="Tc_OiP1AnA4s0awNfkG_9noNg_19_4"/>
      <w:bookmarkStart w:id="1321" w:name="Tc_AqQsccnAiE2Y-AjYGQMxng_19_2"/>
      <w:bookmarkStart w:id="1322" w:name="Tc_jiLBG-YzpE25TlpT5-p_KA_19_0"/>
      <w:bookmarkStart w:id="1323" w:name="Tc_r2-7r4h6qUueHIQtfjC3qQ_18_10"/>
      <w:bookmarkStart w:id="1324" w:name="Tc_HJSRZUFKFU6TlDIgyfGsbA_18_8"/>
      <w:bookmarkStart w:id="1325" w:name="Tc_3mTs0M6FDEKeVlGPUEt__g_18_7"/>
      <w:bookmarkStart w:id="1326" w:name="Tc_2v7GJ30ff0OfFYut3Ii6pw_18_5"/>
      <w:bookmarkStart w:id="1327" w:name="Tc_sO25HNoQSEqDP-6kCFJJpg_18_4"/>
      <w:bookmarkStart w:id="1328" w:name="Tc_6qei1DAxPEWeYeWtgbhvpw_18_2"/>
      <w:bookmarkStart w:id="1329" w:name="Tc_Zn-OmFYi7kOV2qaVOmEOZw_18_0"/>
      <w:bookmarkStart w:id="1330" w:name="Tc_yhng4QcTM0ewHkiQIXNItQ_17_10"/>
      <w:bookmarkStart w:id="1331" w:name="Tc_SoXgtyka1EK36GGS35PmSg_17_8"/>
      <w:bookmarkStart w:id="1332" w:name="Tc_Cb5372_aG0yxYBLrn8PL0g_17_7"/>
      <w:bookmarkStart w:id="1333" w:name="Tc_A9p-6UYHDUCyrjgZcin6Mg_17_5"/>
      <w:bookmarkStart w:id="1334" w:name="Tc_RiB3bMYyDEebheq6hcRq3w_17_4"/>
      <w:bookmarkStart w:id="1335" w:name="Tc_amXOWrdIL0SN2NTW6wXf2w_17_2"/>
      <w:bookmarkStart w:id="1336" w:name="Tc_JJf8TVJ9KUiK4ab5cap-fA_17_0"/>
      <w:bookmarkStart w:id="1337" w:name="Tc_JfQGepj8SE2Nj9axBgEYmw_16_7"/>
      <w:bookmarkStart w:id="1338" w:name="Tc_Pl1ssSFcSkW-tGs3JGBYDQ_16_4"/>
      <w:bookmarkStart w:id="1339" w:name="Tc_pXV6bN1fmEOnBOSZ6G0RdQ_16_0"/>
      <w:bookmarkStart w:id="1340" w:name="Tc_9O614UYy206QyJOFzngZow_14_13"/>
      <w:bookmarkStart w:id="1341" w:name="Tc_ByhUvpdjOUSufCuC6DD5Aw_14_12"/>
      <w:bookmarkStart w:id="1342" w:name="Tc_wyBnL4xz2keV6hgG0IZuqg_14_7"/>
      <w:bookmarkStart w:id="1343" w:name="Tc_h3Z-riHZI0aG5LtnhnJrcg_14_4"/>
      <w:bookmarkStart w:id="1344" w:name="Tc_4lZSv8uYxEyxKC35EKyY9g_14_0"/>
      <w:bookmarkStart w:id="1345" w:name="Tc_Te1X1lRW5UeIpsDt5Z0axg_13_12"/>
      <w:bookmarkStart w:id="1346" w:name="Tc_QIuRfAqAkkWv7L4GbCOBCA_13_7"/>
      <w:bookmarkStart w:id="1347" w:name="Tc_STLaz1vH5kSULN8v9e0Fgg_13_4"/>
      <w:bookmarkStart w:id="1348" w:name="Tc_TZiy1fI7lEm0I0g2S0yTmg_13_0"/>
      <w:bookmarkStart w:id="1349" w:name="Tc_gesHSnzQ3UKfmc2RDB1Ljw_12_10"/>
      <w:bookmarkStart w:id="1350" w:name="Tc_wR-dMPu21kOb3ERPsYO0MQ_12_8"/>
      <w:bookmarkStart w:id="1351" w:name="Tc_Bxvdb21EzUyo8xzsTIz8SA_12_7"/>
      <w:bookmarkStart w:id="1352" w:name="Tc_AAT7aBXbGE2iy6mI9Zvp-A_12_5"/>
      <w:bookmarkStart w:id="1353" w:name="Tc_OWiEouL_20uk-OJvPuFKfg_12_4"/>
      <w:bookmarkStart w:id="1354" w:name="Tc_EuSoFDiZLEC4uU40bgXqTA_12_2"/>
      <w:bookmarkStart w:id="1355" w:name="Tc_cBAZz50t5EG9uIRO7LvFHg_12_0"/>
      <w:bookmarkStart w:id="1356" w:name="Tc_K6--yqARC0-jp6dpHZL5iw_11_10"/>
      <w:bookmarkStart w:id="1357" w:name="Tc_p9s39OBqYEW8kLCpwNSvBA_11_7"/>
      <w:bookmarkStart w:id="1358" w:name="Tc_VvXpoEpFQkypviwAdNsyvg_11_4"/>
      <w:bookmarkStart w:id="1359" w:name="Tc_c8m322qnHEKq17Gk7VVtXg_11_0"/>
      <w:bookmarkStart w:id="1360" w:name="Tc_fVHoBmSqTEuPF3BVqRQDPg_10_10"/>
      <w:bookmarkStart w:id="1361" w:name="Tc_NH7L7a75rUG2bOkGhtByDA_10_8"/>
      <w:bookmarkStart w:id="1362" w:name="Tc_Ts0GKY1CuUCKSkQpGPmEGw_10_7"/>
      <w:bookmarkStart w:id="1363" w:name="Tc_xWj3vyoDskClN1u2LQnj1w_10_5"/>
      <w:bookmarkStart w:id="1364" w:name="Tc_xsV38ttgb0-Mu-gXCQlhLw_10_4"/>
      <w:bookmarkStart w:id="1365" w:name="Tc_oYf9A8SKOEWe4zLCIUV4_Q_10_2"/>
      <w:bookmarkStart w:id="1366" w:name="Tc_YpTYos9uBEudLxaNK0_4QQ_10_0"/>
      <w:bookmarkStart w:id="1367" w:name="Tc_ED9XcZxFyUi5JQIknkl54Q_9_7"/>
      <w:bookmarkStart w:id="1368" w:name="Tc_vj2HvMXEVEy2FIuVo4r2Iw_9_4"/>
      <w:bookmarkStart w:id="1369" w:name="Tc_EfpgTse-g0iiLOq21VFKMw_9_0"/>
      <w:bookmarkStart w:id="1370" w:name="Tc_qP9z8ezy1kKRZ1kVAoQk5A_7_13"/>
      <w:bookmarkStart w:id="1371" w:name="Tc_Lm4DxSX5Mk6zrYz4LEwyxw_7_12"/>
      <w:bookmarkStart w:id="1372" w:name="Tc_5sBFdcnQLUKfuNfRSv6ilQ_7_7"/>
      <w:bookmarkStart w:id="1373" w:name="Tc_d0u72nVGDkK-rC5GzaeSlQ_7_4"/>
      <w:bookmarkStart w:id="1374" w:name="Tc_V1k0pDnSxUODyqX5PqYNZg_7_0"/>
      <w:bookmarkStart w:id="1375" w:name="Tc_geI_Zy4LcE28qi3dL0mtWw_6_12"/>
      <w:bookmarkStart w:id="1376" w:name="Tc_u0JG_Gd5jE2XiR7BIy4q_Q_6_7"/>
      <w:bookmarkStart w:id="1377" w:name="Tc_870jdo6FmEO4-8LDtqwg7Q_6_4"/>
      <w:bookmarkStart w:id="1378" w:name="Tc_5RbjVvIrhk6b9N2qUBAnQQ_6_0"/>
      <w:bookmarkStart w:id="1379" w:name="Tc_zjBtpFES3kyJI_Q4QtJUpw_5_10"/>
      <w:bookmarkStart w:id="1380" w:name="Tc_7f-jgcg1_ESCOuwcIDypWg_5_7"/>
      <w:bookmarkStart w:id="1381" w:name="Tc_Mm6RIP7sfECfTvdgJwMHcQ_5_4"/>
      <w:bookmarkStart w:id="1382" w:name="Tc_RagwVZhVJ0ixzo3cENVcVg_5_0"/>
      <w:bookmarkStart w:id="1383" w:name="Tc_Zj53NK5SekWjIE2Lejb2HA_4_10"/>
      <w:bookmarkStart w:id="1384" w:name="Tc_MGeBuI8fHkm82-Ctz_2FxQ_4_7"/>
      <w:bookmarkStart w:id="1385" w:name="Tc_rlGj7w7skECNseeJSFWDoQ_4_4"/>
      <w:bookmarkStart w:id="1386" w:name="Tc_-jNnnfh2nEKHwxl_FT_0YQ_4_0"/>
      <w:bookmarkStart w:id="1387" w:name="Tc_rhwNMIfWSUmSMYJp1XMcAQ_3_7"/>
      <w:bookmarkStart w:id="1388" w:name="Tc_J0Jdz1h-mEi1ysq-MKoT5A_3_4"/>
      <w:bookmarkStart w:id="1389" w:name="Tc_hOoXNtdQxUKc7nHO5E4C2A_3_0"/>
      <w:bookmarkStart w:id="1390" w:name="Tc_Qjdt00PBe0iTBuep2D7YBw_2_7"/>
      <w:bookmarkStart w:id="1391" w:name="Tc_pKvhFP0RdkyXkNip2mQO-A_2_4"/>
      <w:bookmarkStart w:id="1392" w:name="Tc_6ErLm2nM_EG4vNNXvOLhOw_2_0"/>
      <w:bookmarkStart w:id="1393" w:name="Tc_KzNGIPG8RUqWjEfTS3IDJg_1_12"/>
      <w:bookmarkStart w:id="1394" w:name="Tc_ruWRvjvvCUaCKgQ5sLuKpA_1_10"/>
      <w:bookmarkStart w:id="1395" w:name="Tc_VcUvO7g960i1Kfi1dHegVA_1_7"/>
      <w:bookmarkStart w:id="1396" w:name="Tc_t8E_YtSE90-dll5N86E45A_1_4"/>
      <w:bookmarkStart w:id="1397" w:name="Tc_2mpA2I1_e0uJ12CrtJVbGQ_1_2"/>
      <w:bookmarkStart w:id="1398" w:name="_1c252a45_39b5_4113_bca2_d77d8cb739c4"/>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r>
        <w:rPr>
          <w:rFonts w:ascii="Times New Roman;Times;serif" w:hAnsi="Times New Roman;Times;serif"/>
          <w:i/>
          <w:sz w:val="20"/>
        </w:rPr>
        <w:t>Stock Options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following is a summary of option award activity for the year ended December 31, 2023 and the three and nine months ended September 30, 2024 (number of units in thousands except per unit data): </w:t>
      </w:r>
    </w:p>
    <w:tbl>
      <w:tblPr>
        <w:tblW w:w="10205" w:type="dxa"/>
        <w:jc w:val="left"/>
        <w:tblInd w:w="0" w:type="dxa"/>
        <w:tblLayout w:type="fixed"/>
        <w:tblCellMar>
          <w:top w:w="0" w:type="dxa"/>
          <w:left w:w="0" w:type="dxa"/>
          <w:bottom w:w="0" w:type="dxa"/>
          <w:right w:w="0" w:type="dxa"/>
        </w:tblCellMar>
      </w:tblPr>
      <w:tblGrid>
        <w:gridCol w:w="1977"/>
        <w:gridCol w:w="326"/>
        <w:gridCol w:w="1173"/>
        <w:gridCol w:w="326"/>
        <w:gridCol w:w="411"/>
        <w:gridCol w:w="1072"/>
        <w:gridCol w:w="326"/>
        <w:gridCol w:w="376"/>
        <w:gridCol w:w="982"/>
        <w:gridCol w:w="326"/>
        <w:gridCol w:w="1621"/>
        <w:gridCol w:w="326"/>
        <w:gridCol w:w="318"/>
        <w:gridCol w:w="645"/>
      </w:tblGrid>
      <w:tr>
        <w:trPr/>
        <w:tc>
          <w:tcPr>
            <w:tcW w:w="1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255395" cy="175260"/>
                      <wp:effectExtent l="0" t="0" r="0" b="0"/>
                      <wp:wrapNone/>
                      <wp:docPr id="349" name="Frame349"/>
                      <a:graphic xmlns:a="http://schemas.openxmlformats.org/drawingml/2006/main">
                        <a:graphicData uri="http://schemas.microsoft.com/office/word/2010/wordprocessingShape">
                          <wps:wsp>
                            <wps:cNvSpPr txBox="1"/>
                            <wps:spPr>
                              <a:xfrm>
                                <a:off x="0" y="0"/>
                                <a:ext cx="1255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07010" cy="175260"/>
                      <wp:effectExtent l="0" t="0" r="0" b="0"/>
                      <wp:wrapNone/>
                      <wp:docPr id="350" name="Frame3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744855" cy="175260"/>
                      <wp:effectExtent l="0" t="0" r="0" b="0"/>
                      <wp:wrapNone/>
                      <wp:docPr id="351" name="Frame351"/>
                      <a:graphic xmlns:a="http://schemas.openxmlformats.org/drawingml/2006/main">
                        <a:graphicData uri="http://schemas.microsoft.com/office/word/2010/wordprocessingShape">
                          <wps:wsp>
                            <wps:cNvSpPr txBox="1"/>
                            <wps:spPr>
                              <a:xfrm>
                                <a:off x="0" y="0"/>
                                <a:ext cx="744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07010" cy="175260"/>
                      <wp:effectExtent l="0" t="0" r="0" b="0"/>
                      <wp:wrapNone/>
                      <wp:docPr id="352" name="Frame3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60985" cy="175260"/>
                      <wp:effectExtent l="0" t="0" r="0" b="0"/>
                      <wp:wrapNone/>
                      <wp:docPr id="353" name="Frame353"/>
                      <a:graphic xmlns:a="http://schemas.openxmlformats.org/drawingml/2006/main">
                        <a:graphicData uri="http://schemas.microsoft.com/office/word/2010/wordprocessingShape">
                          <wps:wsp>
                            <wps:cNvSpPr txBox="1"/>
                            <wps:spPr>
                              <a:xfrm>
                                <a:off x="0" y="0"/>
                                <a:ext cx="26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80720" cy="175260"/>
                      <wp:effectExtent l="0" t="0" r="0" b="0"/>
                      <wp:wrapNone/>
                      <wp:docPr id="354" name="Frame354"/>
                      <a:graphic xmlns:a="http://schemas.openxmlformats.org/drawingml/2006/main">
                        <a:graphicData uri="http://schemas.microsoft.com/office/word/2010/wordprocessingShape">
                          <wps:wsp>
                            <wps:cNvSpPr txBox="1"/>
                            <wps:spPr>
                              <a:xfrm>
                                <a:off x="0" y="0"/>
                                <a:ext cx="680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07010" cy="175260"/>
                      <wp:effectExtent l="0" t="0" r="0" b="0"/>
                      <wp:wrapNone/>
                      <wp:docPr id="355" name="Frame3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38760" cy="175260"/>
                      <wp:effectExtent l="0" t="0" r="0" b="0"/>
                      <wp:wrapNone/>
                      <wp:docPr id="356" name="Frame356"/>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23570" cy="175260"/>
                      <wp:effectExtent l="0" t="0" r="0" b="0"/>
                      <wp:wrapNone/>
                      <wp:docPr id="357" name="Frame357"/>
                      <a:graphic xmlns:a="http://schemas.openxmlformats.org/drawingml/2006/main">
                        <a:graphicData uri="http://schemas.microsoft.com/office/word/2010/wordprocessingShape">
                          <wps:wsp>
                            <wps:cNvSpPr txBox="1"/>
                            <wps:spPr>
                              <a:xfrm>
                                <a:off x="0" y="0"/>
                                <a:ext cx="623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07010" cy="175260"/>
                      <wp:effectExtent l="0" t="0" r="0" b="0"/>
                      <wp:wrapNone/>
                      <wp:docPr id="358" name="Frame3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029335" cy="175260"/>
                      <wp:effectExtent l="0" t="0" r="0" b="0"/>
                      <wp:wrapNone/>
                      <wp:docPr id="359" name="Frame359"/>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07010" cy="175260"/>
                      <wp:effectExtent l="0" t="0" r="0" b="0"/>
                      <wp:wrapNone/>
                      <wp:docPr id="360" name="Frame3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01930" cy="175260"/>
                      <wp:effectExtent l="0" t="0" r="0" b="0"/>
                      <wp:wrapNone/>
                      <wp:docPr id="361" name="Frame361"/>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409575" cy="175260"/>
                      <wp:effectExtent l="0" t="0" r="0" b="0"/>
                      <wp:wrapNone/>
                      <wp:docPr id="362" name="Frame362"/>
                      <a:graphic xmlns:a="http://schemas.openxmlformats.org/drawingml/2006/main">
                        <a:graphicData uri="http://schemas.microsoft.com/office/word/2010/wordprocessingShape">
                          <wps:wsp>
                            <wps:cNvSpPr txBox="1"/>
                            <wps:spPr>
                              <a:xfrm>
                                <a:off x="0" y="0"/>
                                <a:ext cx="409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7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7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Number of Units</w:t>
            </w:r>
          </w:p>
        </w:tc>
        <w:tc>
          <w:tcPr>
            <w:tcW w:w="326" w:type="dxa"/>
            <w:tcBorders/>
            <w:vAlign w:val="center"/>
          </w:tcPr>
          <w:p>
            <w:pPr>
              <w:pStyle w:val="TableContents"/>
              <w:bidi w:val="0"/>
              <w:spacing w:before="0" w:after="0"/>
              <w:ind w:left="0" w:right="0" w:hanging="0"/>
              <w:jc w:val="left"/>
              <w:rPr/>
            </w:pPr>
            <w:r>
              <w:rPr/>
              <w:t>    </w:t>
            </w:r>
          </w:p>
        </w:tc>
        <w:tc>
          <w:tcPr>
            <w:tcW w:w="14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Weighted </w:t>
              <w:br/>
              <w:t xml:space="preserve">Average </w:t>
              <w:br/>
              <w:t>Exercise Price Per Unit</w:t>
            </w:r>
          </w:p>
        </w:tc>
        <w:tc>
          <w:tcPr>
            <w:tcW w:w="326" w:type="dxa"/>
            <w:tcBorders/>
            <w:vAlign w:val="center"/>
          </w:tcPr>
          <w:p>
            <w:pPr>
              <w:pStyle w:val="TableContents"/>
              <w:bidi w:val="0"/>
              <w:spacing w:before="0" w:after="0"/>
              <w:ind w:left="0" w:right="0" w:hanging="0"/>
              <w:jc w:val="left"/>
              <w:rPr/>
            </w:pPr>
            <w:r>
              <w:rPr/>
              <w:t>    </w:t>
            </w:r>
          </w:p>
        </w:tc>
        <w:tc>
          <w:tcPr>
            <w:tcW w:w="13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Weighted </w:t>
              <w:br/>
              <w:t>Average Grant Date</w:t>
              <w:br/>
              <w:t>Fair Value Per Unit</w:t>
            </w:r>
          </w:p>
        </w:tc>
        <w:tc>
          <w:tcPr>
            <w:tcW w:w="326" w:type="dxa"/>
            <w:tcBorders/>
            <w:vAlign w:val="center"/>
          </w:tcPr>
          <w:p>
            <w:pPr>
              <w:pStyle w:val="TableContents"/>
              <w:bidi w:val="0"/>
              <w:spacing w:before="0" w:after="0"/>
              <w:ind w:left="0" w:right="0" w:hanging="0"/>
              <w:jc w:val="left"/>
              <w:rPr/>
            </w:pPr>
            <w:r>
              <w:rPr/>
              <w:t>    </w:t>
            </w:r>
          </w:p>
        </w:tc>
        <w:tc>
          <w:tcPr>
            <w:tcW w:w="16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Weighted </w:t>
              <w:br/>
              <w:t xml:space="preserve">Average </w:t>
              <w:br/>
              <w:t xml:space="preserve">Remaining </w:t>
              <w:br/>
              <w:t>Contractual Life (years)</w:t>
            </w:r>
          </w:p>
        </w:tc>
        <w:tc>
          <w:tcPr>
            <w:tcW w:w="326" w:type="dxa"/>
            <w:tcBorders/>
            <w:vAlign w:val="center"/>
          </w:tcPr>
          <w:p>
            <w:pPr>
              <w:pStyle w:val="TableContents"/>
              <w:bidi w:val="0"/>
              <w:spacing w:before="0" w:after="0"/>
              <w:ind w:left="0" w:right="0" w:hanging="0"/>
              <w:jc w:val="left"/>
              <w:rPr/>
            </w:pPr>
            <w:r>
              <w:rPr/>
              <w:t>    </w:t>
            </w:r>
          </w:p>
        </w:tc>
        <w:tc>
          <w:tcPr>
            <w:tcW w:w="9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Aggregate </w:t>
              <w:br/>
              <w:t xml:space="preserve">Intrinsic </w:t>
              <w:br/>
              <w:t>Value</w:t>
            </w:r>
          </w:p>
        </w:tc>
      </w:tr>
      <w:tr>
        <w:trPr/>
        <w:tc>
          <w:tcPr>
            <w:tcW w:w="197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Outstanding, January 1, 2023</w:t>
            </w:r>
          </w:p>
        </w:tc>
        <w:tc>
          <w:tcPr>
            <w:tcW w:w="326" w:type="dxa"/>
            <w:tcBorders/>
            <w:shd w:fill="CCEEFF" w:val="clear"/>
            <w:vAlign w:val="center"/>
          </w:tcPr>
          <w:p>
            <w:pPr>
              <w:pStyle w:val="TableContents"/>
              <w:bidi w:val="0"/>
              <w:spacing w:before="0" w:after="0"/>
              <w:ind w:left="0" w:right="0" w:hanging="0"/>
              <w:jc w:val="left"/>
              <w:rPr/>
            </w:pPr>
            <w:r>
              <w:rPr/>
              <w:t>​</w:t>
            </w:r>
          </w:p>
        </w:tc>
        <w:tc>
          <w:tcPr>
            <w:tcW w:w="11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1,025</w:t>
            </w:r>
          </w:p>
        </w:tc>
        <w:tc>
          <w:tcPr>
            <w:tcW w:w="326" w:type="dxa"/>
            <w:tcBorders/>
            <w:shd w:fill="CCEEFF" w:val="clear"/>
            <w:vAlign w:val="center"/>
          </w:tcPr>
          <w:p>
            <w:pPr>
              <w:pStyle w:val="TableContents"/>
              <w:bidi w:val="0"/>
              <w:spacing w:before="0" w:after="0"/>
              <w:ind w:left="0" w:right="0" w:hanging="0"/>
              <w:jc w:val="left"/>
              <w:rPr/>
            </w:pPr>
            <w:r>
              <w:rPr/>
              <w:t>​</w:t>
            </w:r>
          </w:p>
        </w:tc>
        <w:tc>
          <w:tcPr>
            <w:tcW w:w="4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40.59</w:t>
            </w:r>
          </w:p>
        </w:tc>
        <w:tc>
          <w:tcPr>
            <w:tcW w:w="32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4.99</w:t>
            </w:r>
          </w:p>
        </w:tc>
        <w:tc>
          <w:tcPr>
            <w:tcW w:w="326" w:type="dxa"/>
            <w:tcBorders/>
            <w:shd w:fill="CCEEFF" w:val="clear"/>
            <w:vAlign w:val="center"/>
          </w:tcPr>
          <w:p>
            <w:pPr>
              <w:pStyle w:val="TableContents"/>
              <w:bidi w:val="0"/>
              <w:spacing w:before="0" w:after="0"/>
              <w:ind w:left="0" w:right="0" w:hanging="0"/>
              <w:jc w:val="left"/>
              <w:rPr/>
            </w:pPr>
            <w:r>
              <w:rPr/>
              <w:t>​</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9.44</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c>
          <w:tcPr>
            <w:tcW w:w="645" w:type="dxa"/>
            <w:tcBorders/>
            <w:shd w:fill="CCEEFF" w:val="clear"/>
            <w:vAlign w:val="center"/>
          </w:tcPr>
          <w:p>
            <w:pPr>
              <w:pStyle w:val="TableContents"/>
              <w:bidi w:val="0"/>
              <w:spacing w:before="0" w:after="0"/>
              <w:ind w:left="0" w:right="0" w:hanging="0"/>
              <w:jc w:val="left"/>
              <w:rPr/>
            </w:pPr>
            <w:r>
              <w:rPr/>
              <w:t>​</w:t>
            </w:r>
          </w:p>
        </w:tc>
      </w:tr>
      <w:tr>
        <w:trPr/>
        <w:tc>
          <w:tcPr>
            <w:tcW w:w="197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Granted</w:t>
            </w:r>
          </w:p>
        </w:tc>
        <w:tc>
          <w:tcPr>
            <w:tcW w:w="326" w:type="dxa"/>
            <w:tcBorders/>
            <w:vAlign w:val="center"/>
          </w:tcPr>
          <w:p>
            <w:pPr>
              <w:pStyle w:val="TableContents"/>
              <w:bidi w:val="0"/>
              <w:spacing w:before="0" w:after="0"/>
              <w:ind w:left="0" w:right="0" w:hanging="0"/>
              <w:jc w:val="left"/>
              <w:rPr/>
            </w:pPr>
            <w:r>
              <w:rPr/>
              <w:t>​</w:t>
            </w:r>
          </w:p>
        </w:tc>
        <w:tc>
          <w:tcPr>
            <w:tcW w:w="11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w:t>
            </w:r>
          </w:p>
        </w:tc>
        <w:tc>
          <w:tcPr>
            <w:tcW w:w="326" w:type="dxa"/>
            <w:tcBorders/>
            <w:vAlign w:val="center"/>
          </w:tcPr>
          <w:p>
            <w:pPr>
              <w:pStyle w:val="TableContents"/>
              <w:bidi w:val="0"/>
              <w:spacing w:before="0" w:after="0"/>
              <w:ind w:left="0" w:right="0" w:hanging="0"/>
              <w:jc w:val="left"/>
              <w:rPr/>
            </w:pPr>
            <w:r>
              <w:rPr/>
              <w:t>​</w:t>
            </w:r>
          </w:p>
        </w:tc>
        <w:tc>
          <w:tcPr>
            <w:tcW w:w="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22.94</w:t>
            </w:r>
          </w:p>
        </w:tc>
        <w:tc>
          <w:tcPr>
            <w:tcW w:w="32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15.32</w:t>
            </w:r>
          </w:p>
        </w:tc>
        <w:tc>
          <w:tcPr>
            <w:tcW w:w="32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4.70</w:t>
            </w:r>
          </w:p>
        </w:tc>
        <w:tc>
          <w:tcPr>
            <w:tcW w:w="32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w:t>
            </w:r>
          </w:p>
        </w:tc>
        <w:tc>
          <w:tcPr>
            <w:tcW w:w="645" w:type="dxa"/>
            <w:tcBorders/>
            <w:vAlign w:val="center"/>
          </w:tcPr>
          <w:p>
            <w:pPr>
              <w:pStyle w:val="TableContents"/>
              <w:bidi w:val="0"/>
              <w:spacing w:before="0" w:after="0"/>
              <w:ind w:left="0" w:right="0" w:hanging="0"/>
              <w:jc w:val="left"/>
              <w:rPr/>
            </w:pPr>
            <w:r>
              <w:rPr/>
              <w:t>​</w:t>
            </w:r>
          </w:p>
        </w:tc>
      </w:tr>
      <w:tr>
        <w:trPr/>
        <w:tc>
          <w:tcPr>
            <w:tcW w:w="197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Exercised</w:t>
            </w:r>
          </w:p>
        </w:tc>
        <w:tc>
          <w:tcPr>
            <w:tcW w:w="326" w:type="dxa"/>
            <w:tcBorders/>
            <w:shd w:fill="CCEEFF" w:val="clear"/>
            <w:vAlign w:val="center"/>
          </w:tcPr>
          <w:p>
            <w:pPr>
              <w:pStyle w:val="TableContents"/>
              <w:bidi w:val="0"/>
              <w:spacing w:before="0" w:after="0"/>
              <w:ind w:left="0" w:right="0" w:hanging="0"/>
              <w:jc w:val="left"/>
              <w:rPr/>
            </w:pPr>
            <w:r>
              <w:rPr/>
              <w:t>​</w:t>
            </w:r>
          </w:p>
        </w:tc>
        <w:tc>
          <w:tcPr>
            <w:tcW w:w="11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4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16.01</w:t>
            </w:r>
          </w:p>
        </w:tc>
        <w:tc>
          <w:tcPr>
            <w:tcW w:w="32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8.57</w:t>
            </w:r>
          </w:p>
        </w:tc>
        <w:tc>
          <w:tcPr>
            <w:tcW w:w="326" w:type="dxa"/>
            <w:tcBorders/>
            <w:shd w:fill="CCEEFF" w:val="clear"/>
            <w:vAlign w:val="center"/>
          </w:tcPr>
          <w:p>
            <w:pPr>
              <w:pStyle w:val="TableContents"/>
              <w:bidi w:val="0"/>
              <w:spacing w:before="0" w:after="0"/>
              <w:ind w:left="0" w:right="0" w:hanging="0"/>
              <w:jc w:val="left"/>
              <w:rPr/>
            </w:pPr>
            <w:r>
              <w:rPr/>
              <w:t>​</w:t>
            </w:r>
          </w:p>
        </w:tc>
        <w:tc>
          <w:tcPr>
            <w:tcW w:w="16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c>
          <w:tcPr>
            <w:tcW w:w="645" w:type="dxa"/>
            <w:tcBorders/>
            <w:shd w:fill="CCEEFF" w:val="clear"/>
            <w:vAlign w:val="center"/>
          </w:tcPr>
          <w:p>
            <w:pPr>
              <w:pStyle w:val="TableContents"/>
              <w:bidi w:val="0"/>
              <w:spacing w:before="0" w:after="0"/>
              <w:ind w:left="0" w:right="0" w:hanging="0"/>
              <w:jc w:val="left"/>
              <w:rPr/>
            </w:pPr>
            <w:r>
              <w:rPr/>
              <w:t>​</w:t>
            </w:r>
          </w:p>
        </w:tc>
      </w:tr>
      <w:tr>
        <w:trPr/>
        <w:tc>
          <w:tcPr>
            <w:tcW w:w="197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Forfeited</w:t>
            </w:r>
          </w:p>
        </w:tc>
        <w:tc>
          <w:tcPr>
            <w:tcW w:w="326" w:type="dxa"/>
            <w:tcBorders/>
            <w:vAlign w:val="center"/>
          </w:tcPr>
          <w:p>
            <w:pPr>
              <w:pStyle w:val="TableContents"/>
              <w:bidi w:val="0"/>
              <w:spacing w:before="0" w:after="0"/>
              <w:ind w:left="0" w:right="0" w:hanging="0"/>
              <w:jc w:val="left"/>
              <w:rPr/>
            </w:pPr>
            <w:r>
              <w:rPr/>
              <w:t>​</w:t>
            </w:r>
          </w:p>
        </w:tc>
        <w:tc>
          <w:tcPr>
            <w:tcW w:w="11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w:t>
            </w:r>
          </w:p>
        </w:tc>
        <w:tc>
          <w:tcPr>
            <w:tcW w:w="326" w:type="dxa"/>
            <w:tcBorders/>
            <w:vAlign w:val="center"/>
          </w:tcPr>
          <w:p>
            <w:pPr>
              <w:pStyle w:val="TableContents"/>
              <w:bidi w:val="0"/>
              <w:spacing w:before="0" w:after="0"/>
              <w:ind w:left="0" w:right="0" w:hanging="0"/>
              <w:jc w:val="left"/>
              <w:rPr/>
            </w:pPr>
            <w:r>
              <w:rPr/>
              <w:t>​</w:t>
            </w:r>
          </w:p>
        </w:tc>
        <w:tc>
          <w:tcPr>
            <w:tcW w:w="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16.01</w:t>
            </w:r>
          </w:p>
        </w:tc>
        <w:tc>
          <w:tcPr>
            <w:tcW w:w="32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8.57</w:t>
            </w:r>
          </w:p>
        </w:tc>
        <w:tc>
          <w:tcPr>
            <w:tcW w:w="32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w:t>
            </w:r>
          </w:p>
        </w:tc>
        <w:tc>
          <w:tcPr>
            <w:tcW w:w="645" w:type="dxa"/>
            <w:tcBorders/>
            <w:vAlign w:val="center"/>
          </w:tcPr>
          <w:p>
            <w:pPr>
              <w:pStyle w:val="TableContents"/>
              <w:bidi w:val="0"/>
              <w:spacing w:before="0" w:after="0"/>
              <w:ind w:left="0" w:right="0" w:hanging="0"/>
              <w:jc w:val="left"/>
              <w:rPr/>
            </w:pPr>
            <w:r>
              <w:rPr/>
              <w:t>​</w:t>
            </w:r>
          </w:p>
        </w:tc>
      </w:tr>
      <w:tr>
        <w:trPr/>
        <w:tc>
          <w:tcPr>
            <w:tcW w:w="197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Outstanding,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11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1,006</w:t>
            </w:r>
          </w:p>
        </w:tc>
        <w:tc>
          <w:tcPr>
            <w:tcW w:w="326" w:type="dxa"/>
            <w:tcBorders/>
            <w:shd w:fill="CCEEFF" w:val="clear"/>
            <w:vAlign w:val="center"/>
          </w:tcPr>
          <w:p>
            <w:pPr>
              <w:pStyle w:val="TableContents"/>
              <w:bidi w:val="0"/>
              <w:spacing w:before="0" w:after="0"/>
              <w:ind w:left="0" w:right="0" w:hanging="0"/>
              <w:jc w:val="left"/>
              <w:rPr/>
            </w:pPr>
            <w:r>
              <w:rPr/>
              <w:t>​</w:t>
            </w:r>
          </w:p>
        </w:tc>
        <w:tc>
          <w:tcPr>
            <w:tcW w:w="4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41.35</w:t>
            </w:r>
          </w:p>
        </w:tc>
        <w:tc>
          <w:tcPr>
            <w:tcW w:w="32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5.22</w:t>
            </w:r>
          </w:p>
        </w:tc>
        <w:tc>
          <w:tcPr>
            <w:tcW w:w="326" w:type="dxa"/>
            <w:tcBorders/>
            <w:shd w:fill="CCEEFF" w:val="clear"/>
            <w:vAlign w:val="center"/>
          </w:tcPr>
          <w:p>
            <w:pPr>
              <w:pStyle w:val="TableContents"/>
              <w:bidi w:val="0"/>
              <w:spacing w:before="0" w:after="0"/>
              <w:ind w:left="0" w:right="0" w:hanging="0"/>
              <w:jc w:val="left"/>
              <w:rPr/>
            </w:pPr>
            <w:r>
              <w:rPr/>
              <w:t>​</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8.28</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5" w:type="dxa"/>
            <w:tcBorders/>
            <w:shd w:fill="CCEEFF" w:val="clear"/>
            <w:vAlign w:val="center"/>
          </w:tcPr>
          <w:p>
            <w:pPr>
              <w:pStyle w:val="TableContents"/>
              <w:bidi w:val="0"/>
              <w:spacing w:before="0" w:after="0"/>
              <w:ind w:left="0" w:right="0" w:hanging="0"/>
              <w:jc w:val="left"/>
              <w:rPr/>
            </w:pPr>
            <w:r>
              <w:rPr/>
              <w:t>​</w:t>
            </w:r>
          </w:p>
        </w:tc>
      </w:tr>
      <w:tr>
        <w:trPr/>
        <w:tc>
          <w:tcPr>
            <w:tcW w:w="197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Exercisable, December 31, 2023</w:t>
            </w:r>
          </w:p>
        </w:tc>
        <w:tc>
          <w:tcPr>
            <w:tcW w:w="326" w:type="dxa"/>
            <w:tcBorders/>
            <w:vAlign w:val="center"/>
          </w:tcPr>
          <w:p>
            <w:pPr>
              <w:pStyle w:val="TableContents"/>
              <w:bidi w:val="0"/>
              <w:spacing w:before="0" w:after="0"/>
              <w:ind w:left="0" w:right="0" w:hanging="0"/>
              <w:jc w:val="left"/>
              <w:rPr/>
            </w:pPr>
            <w:r>
              <w:rPr/>
              <w:t>​</w:t>
            </w:r>
          </w:p>
        </w:tc>
        <w:tc>
          <w:tcPr>
            <w:tcW w:w="11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w:t>
            </w:r>
          </w:p>
        </w:tc>
        <w:tc>
          <w:tcPr>
            <w:tcW w:w="326" w:type="dxa"/>
            <w:tcBorders/>
            <w:vAlign w:val="center"/>
          </w:tcPr>
          <w:p>
            <w:pPr>
              <w:pStyle w:val="TableContents"/>
              <w:bidi w:val="0"/>
              <w:spacing w:before="0" w:after="0"/>
              <w:ind w:left="0" w:right="0" w:hanging="0"/>
              <w:jc w:val="left"/>
              <w:rPr/>
            </w:pPr>
            <w:r>
              <w:rPr/>
              <w:t>​</w:t>
            </w:r>
          </w:p>
        </w:tc>
        <w:tc>
          <w:tcPr>
            <w:tcW w:w="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42.18</w:t>
            </w:r>
          </w:p>
        </w:tc>
        <w:tc>
          <w:tcPr>
            <w:tcW w:w="32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4.76</w:t>
            </w:r>
          </w:p>
        </w:tc>
        <w:tc>
          <w:tcPr>
            <w:tcW w:w="32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8.44</w:t>
            </w:r>
          </w:p>
        </w:tc>
        <w:tc>
          <w:tcPr>
            <w:tcW w:w="32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5" w:type="dxa"/>
            <w:tcBorders/>
            <w:vAlign w:val="center"/>
          </w:tcPr>
          <w:p>
            <w:pPr>
              <w:pStyle w:val="TableContents"/>
              <w:bidi w:val="0"/>
              <w:spacing w:before="0" w:after="0"/>
              <w:ind w:left="0" w:right="0" w:hanging="0"/>
              <w:jc w:val="right"/>
              <w:rPr/>
            </w:pPr>
            <w:r>
              <w:rPr/>
              <w:t>—</w:t>
            </w:r>
          </w:p>
        </w:tc>
      </w:tr>
      <w:tr>
        <w:trPr/>
        <w:tc>
          <w:tcPr>
            <w:tcW w:w="197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1"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98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c>
          <w:tcPr>
            <w:tcW w:w="645" w:type="dxa"/>
            <w:tcBorders/>
            <w:shd w:fill="CCEEFF" w:val="clear"/>
            <w:vAlign w:val="center"/>
          </w:tcPr>
          <w:p>
            <w:pPr>
              <w:pStyle w:val="TableContents"/>
              <w:bidi w:val="0"/>
              <w:spacing w:before="0" w:after="0"/>
              <w:ind w:left="0" w:right="0" w:hanging="0"/>
              <w:jc w:val="left"/>
              <w:rPr/>
            </w:pPr>
            <w:r>
              <w:rPr/>
              <w:t>​</w:t>
            </w:r>
          </w:p>
        </w:tc>
      </w:tr>
      <w:tr>
        <w:trPr/>
        <w:tc>
          <w:tcPr>
            <w:tcW w:w="197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Outstanding, January 1, 2024</w:t>
            </w:r>
          </w:p>
        </w:tc>
        <w:tc>
          <w:tcPr>
            <w:tcW w:w="326" w:type="dxa"/>
            <w:tcBorders/>
            <w:vAlign w:val="center"/>
          </w:tcPr>
          <w:p>
            <w:pPr>
              <w:pStyle w:val="TableContents"/>
              <w:bidi w:val="0"/>
              <w:spacing w:before="0" w:after="0"/>
              <w:ind w:left="0" w:right="0" w:hanging="0"/>
              <w:jc w:val="left"/>
              <w:rPr/>
            </w:pPr>
            <w:r>
              <w:rPr/>
              <w:t>​</w:t>
            </w:r>
          </w:p>
        </w:tc>
        <w:tc>
          <w:tcPr>
            <w:tcW w:w="11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1,006</w:t>
            </w:r>
          </w:p>
        </w:tc>
        <w:tc>
          <w:tcPr>
            <w:tcW w:w="326" w:type="dxa"/>
            <w:tcBorders/>
            <w:vAlign w:val="center"/>
          </w:tcPr>
          <w:p>
            <w:pPr>
              <w:pStyle w:val="TableContents"/>
              <w:bidi w:val="0"/>
              <w:spacing w:before="0" w:after="0"/>
              <w:ind w:left="0" w:right="0" w:hanging="0"/>
              <w:jc w:val="left"/>
              <w:rPr/>
            </w:pPr>
            <w:r>
              <w:rPr/>
              <w:t>​</w:t>
            </w:r>
          </w:p>
        </w:tc>
        <w:tc>
          <w:tcPr>
            <w:tcW w:w="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41.35</w:t>
            </w:r>
          </w:p>
        </w:tc>
        <w:tc>
          <w:tcPr>
            <w:tcW w:w="32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5.22</w:t>
            </w:r>
          </w:p>
        </w:tc>
        <w:tc>
          <w:tcPr>
            <w:tcW w:w="32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8.28</w:t>
            </w:r>
          </w:p>
        </w:tc>
        <w:tc>
          <w:tcPr>
            <w:tcW w:w="32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w:t>
            </w:r>
          </w:p>
        </w:tc>
        <w:tc>
          <w:tcPr>
            <w:tcW w:w="645" w:type="dxa"/>
            <w:tcBorders/>
            <w:vAlign w:val="center"/>
          </w:tcPr>
          <w:p>
            <w:pPr>
              <w:pStyle w:val="TableContents"/>
              <w:bidi w:val="0"/>
              <w:spacing w:before="0" w:after="0"/>
              <w:ind w:left="0" w:right="0" w:hanging="0"/>
              <w:jc w:val="left"/>
              <w:rPr/>
            </w:pPr>
            <w:r>
              <w:rPr/>
              <w:t>​</w:t>
            </w:r>
          </w:p>
        </w:tc>
      </w:tr>
      <w:tr>
        <w:trPr/>
        <w:tc>
          <w:tcPr>
            <w:tcW w:w="197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Granted</w:t>
            </w:r>
          </w:p>
        </w:tc>
        <w:tc>
          <w:tcPr>
            <w:tcW w:w="326" w:type="dxa"/>
            <w:tcBorders/>
            <w:shd w:fill="CCEEFF" w:val="clear"/>
            <w:vAlign w:val="center"/>
          </w:tcPr>
          <w:p>
            <w:pPr>
              <w:pStyle w:val="TableContents"/>
              <w:bidi w:val="0"/>
              <w:spacing w:before="0" w:after="0"/>
              <w:ind w:left="0" w:right="0" w:hanging="0"/>
              <w:jc w:val="left"/>
              <w:rPr/>
            </w:pPr>
            <w:r>
              <w:rPr/>
              <w:t>​</w:t>
            </w:r>
          </w:p>
        </w:tc>
        <w:tc>
          <w:tcPr>
            <w:tcW w:w="117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c>
          <w:tcPr>
            <w:tcW w:w="645" w:type="dxa"/>
            <w:tcBorders/>
            <w:shd w:fill="CCEEFF" w:val="clear"/>
            <w:vAlign w:val="center"/>
          </w:tcPr>
          <w:p>
            <w:pPr>
              <w:pStyle w:val="TableContents"/>
              <w:bidi w:val="0"/>
              <w:spacing w:before="0" w:after="0"/>
              <w:ind w:left="0" w:right="0" w:hanging="0"/>
              <w:jc w:val="left"/>
              <w:rPr/>
            </w:pPr>
            <w:r>
              <w:rPr/>
              <w:t>​</w:t>
            </w:r>
          </w:p>
        </w:tc>
      </w:tr>
      <w:tr>
        <w:trPr/>
        <w:tc>
          <w:tcPr>
            <w:tcW w:w="197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Exercised</w:t>
            </w:r>
          </w:p>
        </w:tc>
        <w:tc>
          <w:tcPr>
            <w:tcW w:w="326" w:type="dxa"/>
            <w:tcBorders/>
            <w:vAlign w:val="center"/>
          </w:tcPr>
          <w:p>
            <w:pPr>
              <w:pStyle w:val="TableContents"/>
              <w:bidi w:val="0"/>
              <w:spacing w:before="0" w:after="0"/>
              <w:ind w:left="0" w:right="0" w:hanging="0"/>
              <w:jc w:val="left"/>
              <w:rPr/>
            </w:pPr>
            <w:r>
              <w:rPr/>
              <w:t>​</w:t>
            </w:r>
          </w:p>
        </w:tc>
        <w:tc>
          <w:tcPr>
            <w:tcW w:w="11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326" w:type="dxa"/>
            <w:tcBorders/>
            <w:vAlign w:val="center"/>
          </w:tcPr>
          <w:p>
            <w:pPr>
              <w:pStyle w:val="TableContents"/>
              <w:bidi w:val="0"/>
              <w:spacing w:before="0" w:after="0"/>
              <w:ind w:left="0" w:right="0" w:hanging="0"/>
              <w:jc w:val="left"/>
              <w:rPr/>
            </w:pPr>
            <w:r>
              <w:rPr/>
              <w:t>​</w:t>
            </w:r>
          </w:p>
        </w:tc>
        <w:tc>
          <w:tcPr>
            <w:tcW w:w="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16.01</w:t>
            </w:r>
          </w:p>
        </w:tc>
        <w:tc>
          <w:tcPr>
            <w:tcW w:w="32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8.57</w:t>
            </w:r>
          </w:p>
        </w:tc>
        <w:tc>
          <w:tcPr>
            <w:tcW w:w="32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w:t>
            </w:r>
          </w:p>
        </w:tc>
        <w:tc>
          <w:tcPr>
            <w:tcW w:w="645" w:type="dxa"/>
            <w:tcBorders/>
            <w:vAlign w:val="center"/>
          </w:tcPr>
          <w:p>
            <w:pPr>
              <w:pStyle w:val="TableContents"/>
              <w:bidi w:val="0"/>
              <w:spacing w:before="0" w:after="0"/>
              <w:ind w:left="0" w:right="0" w:hanging="0"/>
              <w:jc w:val="left"/>
              <w:rPr/>
            </w:pPr>
            <w:r>
              <w:rPr/>
              <w:t>​</w:t>
            </w:r>
          </w:p>
        </w:tc>
      </w:tr>
      <w:tr>
        <w:trPr/>
        <w:tc>
          <w:tcPr>
            <w:tcW w:w="197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Forfeited</w:t>
            </w:r>
          </w:p>
        </w:tc>
        <w:tc>
          <w:tcPr>
            <w:tcW w:w="326" w:type="dxa"/>
            <w:tcBorders/>
            <w:shd w:fill="CCEEFF" w:val="clear"/>
            <w:vAlign w:val="center"/>
          </w:tcPr>
          <w:p>
            <w:pPr>
              <w:pStyle w:val="TableContents"/>
              <w:bidi w:val="0"/>
              <w:spacing w:before="0" w:after="0"/>
              <w:ind w:left="0" w:right="0" w:hanging="0"/>
              <w:jc w:val="left"/>
              <w:rPr/>
            </w:pPr>
            <w:r>
              <w:rPr/>
              <w:t>​</w:t>
            </w:r>
          </w:p>
        </w:tc>
        <w:tc>
          <w:tcPr>
            <w:tcW w:w="11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c>
          <w:tcPr>
            <w:tcW w:w="645" w:type="dxa"/>
            <w:tcBorders/>
            <w:shd w:fill="CCEEFF" w:val="clear"/>
            <w:vAlign w:val="center"/>
          </w:tcPr>
          <w:p>
            <w:pPr>
              <w:pStyle w:val="TableContents"/>
              <w:bidi w:val="0"/>
              <w:spacing w:before="0" w:after="0"/>
              <w:ind w:left="0" w:right="0" w:hanging="0"/>
              <w:jc w:val="left"/>
              <w:rPr/>
            </w:pPr>
            <w:r>
              <w:rPr/>
              <w:t>​</w:t>
            </w:r>
          </w:p>
        </w:tc>
      </w:tr>
      <w:tr>
        <w:trPr/>
        <w:tc>
          <w:tcPr>
            <w:tcW w:w="197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Outstanding, March 31, 2024</w:t>
            </w:r>
          </w:p>
        </w:tc>
        <w:tc>
          <w:tcPr>
            <w:tcW w:w="326" w:type="dxa"/>
            <w:tcBorders/>
            <w:vAlign w:val="center"/>
          </w:tcPr>
          <w:p>
            <w:pPr>
              <w:pStyle w:val="TableContents"/>
              <w:bidi w:val="0"/>
              <w:spacing w:before="0" w:after="0"/>
              <w:ind w:left="0" w:right="0" w:hanging="0"/>
              <w:jc w:val="left"/>
              <w:rPr/>
            </w:pPr>
            <w:r>
              <w:rPr/>
              <w:t>​</w:t>
            </w:r>
          </w:p>
        </w:tc>
        <w:tc>
          <w:tcPr>
            <w:tcW w:w="11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26" w:type="dxa"/>
            <w:tcBorders/>
            <w:vAlign w:val="center"/>
          </w:tcPr>
          <w:p>
            <w:pPr>
              <w:pStyle w:val="TableContents"/>
              <w:bidi w:val="0"/>
              <w:spacing w:before="0" w:after="0"/>
              <w:ind w:left="0" w:right="0" w:hanging="0"/>
              <w:jc w:val="left"/>
              <w:rPr/>
            </w:pPr>
            <w:r>
              <w:rPr/>
              <w:t>​</w:t>
            </w:r>
          </w:p>
        </w:tc>
        <w:tc>
          <w:tcPr>
            <w:tcW w:w="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41.51</w:t>
            </w:r>
          </w:p>
        </w:tc>
        <w:tc>
          <w:tcPr>
            <w:tcW w:w="32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5.20</w:t>
            </w:r>
          </w:p>
        </w:tc>
        <w:tc>
          <w:tcPr>
            <w:tcW w:w="32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8.03</w:t>
            </w:r>
          </w:p>
        </w:tc>
        <w:tc>
          <w:tcPr>
            <w:tcW w:w="32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5" w:type="dxa"/>
            <w:tcBorders/>
            <w:vAlign w:val="center"/>
          </w:tcPr>
          <w:p>
            <w:pPr>
              <w:pStyle w:val="TableContents"/>
              <w:bidi w:val="0"/>
              <w:spacing w:before="0" w:after="0"/>
              <w:ind w:left="0" w:right="0" w:hanging="0"/>
              <w:jc w:val="left"/>
              <w:rPr/>
            </w:pPr>
            <w:r>
              <w:rPr/>
              <w:t>​</w:t>
            </w:r>
          </w:p>
        </w:tc>
      </w:tr>
      <w:tr>
        <w:trPr/>
        <w:tc>
          <w:tcPr>
            <w:tcW w:w="197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Exercisable, March 31, 2024</w:t>
            </w:r>
          </w:p>
        </w:tc>
        <w:tc>
          <w:tcPr>
            <w:tcW w:w="326" w:type="dxa"/>
            <w:tcBorders/>
            <w:shd w:fill="CCEEFF" w:val="clear"/>
            <w:vAlign w:val="center"/>
          </w:tcPr>
          <w:p>
            <w:pPr>
              <w:pStyle w:val="TableContents"/>
              <w:bidi w:val="0"/>
              <w:spacing w:before="0" w:after="0"/>
              <w:ind w:left="0" w:right="0" w:hanging="0"/>
              <w:jc w:val="left"/>
              <w:rPr/>
            </w:pPr>
            <w:r>
              <w:rPr/>
              <w:t>​</w:t>
            </w:r>
          </w:p>
        </w:tc>
        <w:tc>
          <w:tcPr>
            <w:tcW w:w="11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w:t>
            </w:r>
          </w:p>
        </w:tc>
        <w:tc>
          <w:tcPr>
            <w:tcW w:w="326" w:type="dxa"/>
            <w:tcBorders/>
            <w:shd w:fill="CCEEFF" w:val="clear"/>
            <w:vAlign w:val="center"/>
          </w:tcPr>
          <w:p>
            <w:pPr>
              <w:pStyle w:val="TableContents"/>
              <w:bidi w:val="0"/>
              <w:spacing w:before="0" w:after="0"/>
              <w:ind w:left="0" w:right="0" w:hanging="0"/>
              <w:jc w:val="left"/>
              <w:rPr/>
            </w:pPr>
            <w:r>
              <w:rPr/>
              <w:t>​</w:t>
            </w:r>
          </w:p>
        </w:tc>
        <w:tc>
          <w:tcPr>
            <w:tcW w:w="4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44.00</w:t>
            </w:r>
          </w:p>
        </w:tc>
        <w:tc>
          <w:tcPr>
            <w:tcW w:w="32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4.49</w:t>
            </w:r>
          </w:p>
        </w:tc>
        <w:tc>
          <w:tcPr>
            <w:tcW w:w="326" w:type="dxa"/>
            <w:tcBorders/>
            <w:shd w:fill="CCEEFF" w:val="clear"/>
            <w:vAlign w:val="center"/>
          </w:tcPr>
          <w:p>
            <w:pPr>
              <w:pStyle w:val="TableContents"/>
              <w:bidi w:val="0"/>
              <w:spacing w:before="0" w:after="0"/>
              <w:ind w:left="0" w:right="0" w:hanging="0"/>
              <w:jc w:val="left"/>
              <w:rPr/>
            </w:pPr>
            <w:r>
              <w:rPr/>
              <w:t>​</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8.44</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5" w:type="dxa"/>
            <w:tcBorders/>
            <w:shd w:fill="CCEEFF" w:val="clear"/>
            <w:vAlign w:val="center"/>
          </w:tcPr>
          <w:p>
            <w:pPr>
              <w:pStyle w:val="TableContents"/>
              <w:bidi w:val="0"/>
              <w:spacing w:before="0" w:after="0"/>
              <w:ind w:left="0" w:right="0" w:hanging="0"/>
              <w:jc w:val="right"/>
              <w:rPr/>
            </w:pPr>
            <w:r>
              <w:rPr/>
              <w:t>—</w:t>
            </w:r>
          </w:p>
        </w:tc>
      </w:tr>
      <w:tr>
        <w:trPr/>
        <w:tc>
          <w:tcPr>
            <w:tcW w:w="197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7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11"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w:t>
            </w:r>
          </w:p>
        </w:tc>
        <w:tc>
          <w:tcPr>
            <w:tcW w:w="645" w:type="dxa"/>
            <w:tcBorders/>
            <w:vAlign w:val="center"/>
          </w:tcPr>
          <w:p>
            <w:pPr>
              <w:pStyle w:val="TableContents"/>
              <w:bidi w:val="0"/>
              <w:spacing w:before="0" w:after="0"/>
              <w:ind w:left="0" w:right="0" w:hanging="0"/>
              <w:jc w:val="left"/>
              <w:rPr/>
            </w:pPr>
            <w:r>
              <w:rPr/>
              <w:t>​</w:t>
            </w:r>
          </w:p>
        </w:tc>
      </w:tr>
      <w:tr>
        <w:trPr/>
        <w:tc>
          <w:tcPr>
            <w:tcW w:w="197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Outstanding, March 31, 2024</w:t>
            </w:r>
          </w:p>
        </w:tc>
        <w:tc>
          <w:tcPr>
            <w:tcW w:w="326" w:type="dxa"/>
            <w:tcBorders/>
            <w:shd w:fill="CCEEFF" w:val="clear"/>
            <w:vAlign w:val="center"/>
          </w:tcPr>
          <w:p>
            <w:pPr>
              <w:pStyle w:val="TableContents"/>
              <w:bidi w:val="0"/>
              <w:spacing w:before="0" w:after="0"/>
              <w:ind w:left="0" w:right="0" w:hanging="0"/>
              <w:jc w:val="left"/>
              <w:rPr/>
            </w:pPr>
            <w:r>
              <w:rPr/>
              <w:t>​</w:t>
            </w:r>
          </w:p>
        </w:tc>
        <w:tc>
          <w:tcPr>
            <w:tcW w:w="11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26" w:type="dxa"/>
            <w:tcBorders/>
            <w:shd w:fill="CCEEFF" w:val="clear"/>
            <w:vAlign w:val="center"/>
          </w:tcPr>
          <w:p>
            <w:pPr>
              <w:pStyle w:val="TableContents"/>
              <w:bidi w:val="0"/>
              <w:spacing w:before="0" w:after="0"/>
              <w:ind w:left="0" w:right="0" w:hanging="0"/>
              <w:jc w:val="left"/>
              <w:rPr/>
            </w:pPr>
            <w:r>
              <w:rPr/>
              <w:t>​</w:t>
            </w:r>
          </w:p>
        </w:tc>
        <w:tc>
          <w:tcPr>
            <w:tcW w:w="4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41.51</w:t>
            </w:r>
          </w:p>
        </w:tc>
        <w:tc>
          <w:tcPr>
            <w:tcW w:w="32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5.20</w:t>
            </w:r>
          </w:p>
        </w:tc>
        <w:tc>
          <w:tcPr>
            <w:tcW w:w="326" w:type="dxa"/>
            <w:tcBorders/>
            <w:shd w:fill="CCEEFF" w:val="clear"/>
            <w:vAlign w:val="center"/>
          </w:tcPr>
          <w:p>
            <w:pPr>
              <w:pStyle w:val="TableContents"/>
              <w:bidi w:val="0"/>
              <w:spacing w:before="0" w:after="0"/>
              <w:ind w:left="0" w:right="0" w:hanging="0"/>
              <w:jc w:val="left"/>
              <w:rPr/>
            </w:pPr>
            <w:r>
              <w:rPr/>
              <w:t>​</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8.03</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c>
          <w:tcPr>
            <w:tcW w:w="645" w:type="dxa"/>
            <w:tcBorders/>
            <w:shd w:fill="CCEEFF" w:val="clear"/>
            <w:vAlign w:val="center"/>
          </w:tcPr>
          <w:p>
            <w:pPr>
              <w:pStyle w:val="TableContents"/>
              <w:bidi w:val="0"/>
              <w:spacing w:before="0" w:after="0"/>
              <w:ind w:left="0" w:right="0" w:hanging="0"/>
              <w:jc w:val="left"/>
              <w:rPr/>
            </w:pPr>
            <w:r>
              <w:rPr/>
              <w:t>​</w:t>
            </w:r>
          </w:p>
        </w:tc>
      </w:tr>
      <w:tr>
        <w:trPr/>
        <w:tc>
          <w:tcPr>
            <w:tcW w:w="197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Granted</w:t>
            </w:r>
          </w:p>
        </w:tc>
        <w:tc>
          <w:tcPr>
            <w:tcW w:w="326" w:type="dxa"/>
            <w:tcBorders/>
            <w:vAlign w:val="center"/>
          </w:tcPr>
          <w:p>
            <w:pPr>
              <w:pStyle w:val="TableContents"/>
              <w:bidi w:val="0"/>
              <w:spacing w:before="0" w:after="0"/>
              <w:ind w:left="0" w:right="0" w:hanging="0"/>
              <w:jc w:val="left"/>
              <w:rPr/>
            </w:pPr>
            <w:r>
              <w:rPr/>
              <w:t>​</w:t>
            </w:r>
          </w:p>
        </w:tc>
        <w:tc>
          <w:tcPr>
            <w:tcW w:w="117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w:t>
            </w:r>
          </w:p>
        </w:tc>
        <w:tc>
          <w:tcPr>
            <w:tcW w:w="645" w:type="dxa"/>
            <w:tcBorders/>
            <w:vAlign w:val="center"/>
          </w:tcPr>
          <w:p>
            <w:pPr>
              <w:pStyle w:val="TableContents"/>
              <w:bidi w:val="0"/>
              <w:spacing w:before="0" w:after="0"/>
              <w:ind w:left="0" w:right="0" w:hanging="0"/>
              <w:jc w:val="left"/>
              <w:rPr/>
            </w:pPr>
            <w:r>
              <w:rPr/>
              <w:t>​</w:t>
            </w:r>
          </w:p>
        </w:tc>
      </w:tr>
      <w:tr>
        <w:trPr/>
        <w:tc>
          <w:tcPr>
            <w:tcW w:w="197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Exercised</w:t>
            </w:r>
          </w:p>
        </w:tc>
        <w:tc>
          <w:tcPr>
            <w:tcW w:w="326" w:type="dxa"/>
            <w:tcBorders/>
            <w:shd w:fill="CCEEFF" w:val="clear"/>
            <w:vAlign w:val="center"/>
          </w:tcPr>
          <w:p>
            <w:pPr>
              <w:pStyle w:val="TableContents"/>
              <w:bidi w:val="0"/>
              <w:spacing w:before="0" w:after="0"/>
              <w:ind w:left="0" w:right="0" w:hanging="0"/>
              <w:jc w:val="left"/>
              <w:rPr/>
            </w:pPr>
            <w:r>
              <w:rPr/>
              <w:t>​</w:t>
            </w:r>
          </w:p>
        </w:tc>
        <w:tc>
          <w:tcPr>
            <w:tcW w:w="117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c>
          <w:tcPr>
            <w:tcW w:w="645" w:type="dxa"/>
            <w:tcBorders/>
            <w:shd w:fill="CCEEFF" w:val="clear"/>
            <w:vAlign w:val="center"/>
          </w:tcPr>
          <w:p>
            <w:pPr>
              <w:pStyle w:val="TableContents"/>
              <w:bidi w:val="0"/>
              <w:spacing w:before="0" w:after="0"/>
              <w:ind w:left="0" w:right="0" w:hanging="0"/>
              <w:jc w:val="left"/>
              <w:rPr/>
            </w:pPr>
            <w:r>
              <w:rPr/>
              <w:t>​</w:t>
            </w:r>
          </w:p>
        </w:tc>
      </w:tr>
      <w:tr>
        <w:trPr/>
        <w:tc>
          <w:tcPr>
            <w:tcW w:w="197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Forfeited</w:t>
            </w:r>
          </w:p>
        </w:tc>
        <w:tc>
          <w:tcPr>
            <w:tcW w:w="326" w:type="dxa"/>
            <w:tcBorders/>
            <w:vAlign w:val="center"/>
          </w:tcPr>
          <w:p>
            <w:pPr>
              <w:pStyle w:val="TableContents"/>
              <w:bidi w:val="0"/>
              <w:spacing w:before="0" w:after="0"/>
              <w:ind w:left="0" w:right="0" w:hanging="0"/>
              <w:jc w:val="left"/>
              <w:rPr/>
            </w:pPr>
            <w:r>
              <w:rPr/>
              <w:t>​</w:t>
            </w:r>
          </w:p>
        </w:tc>
        <w:tc>
          <w:tcPr>
            <w:tcW w:w="117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w:t>
            </w:r>
          </w:p>
        </w:tc>
        <w:tc>
          <w:tcPr>
            <w:tcW w:w="645" w:type="dxa"/>
            <w:tcBorders/>
            <w:vAlign w:val="center"/>
          </w:tcPr>
          <w:p>
            <w:pPr>
              <w:pStyle w:val="TableContents"/>
              <w:bidi w:val="0"/>
              <w:spacing w:before="0" w:after="0"/>
              <w:ind w:left="0" w:right="0" w:hanging="0"/>
              <w:jc w:val="left"/>
              <w:rPr/>
            </w:pPr>
            <w:r>
              <w:rPr/>
              <w:t>​</w:t>
            </w:r>
          </w:p>
        </w:tc>
      </w:tr>
      <w:tr>
        <w:trPr/>
        <w:tc>
          <w:tcPr>
            <w:tcW w:w="197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Outstanding, June 30, 2024</w:t>
            </w:r>
          </w:p>
        </w:tc>
        <w:tc>
          <w:tcPr>
            <w:tcW w:w="326" w:type="dxa"/>
            <w:tcBorders/>
            <w:shd w:fill="CCEEFF" w:val="clear"/>
            <w:vAlign w:val="center"/>
          </w:tcPr>
          <w:p>
            <w:pPr>
              <w:pStyle w:val="TableContents"/>
              <w:bidi w:val="0"/>
              <w:spacing w:before="0" w:after="0"/>
              <w:ind w:left="0" w:right="0" w:hanging="0"/>
              <w:jc w:val="left"/>
              <w:rPr/>
            </w:pPr>
            <w:r>
              <w:rPr/>
              <w:t>​</w:t>
            </w:r>
          </w:p>
        </w:tc>
        <w:tc>
          <w:tcPr>
            <w:tcW w:w="11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26" w:type="dxa"/>
            <w:tcBorders/>
            <w:shd w:fill="CCEEFF" w:val="clear"/>
            <w:vAlign w:val="center"/>
          </w:tcPr>
          <w:p>
            <w:pPr>
              <w:pStyle w:val="TableContents"/>
              <w:bidi w:val="0"/>
              <w:spacing w:before="0" w:after="0"/>
              <w:ind w:left="0" w:right="0" w:hanging="0"/>
              <w:jc w:val="left"/>
              <w:rPr/>
            </w:pPr>
            <w:r>
              <w:rPr/>
              <w:t>​</w:t>
            </w:r>
          </w:p>
        </w:tc>
        <w:tc>
          <w:tcPr>
            <w:tcW w:w="4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41.51</w:t>
            </w:r>
          </w:p>
        </w:tc>
        <w:tc>
          <w:tcPr>
            <w:tcW w:w="32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5.20</w:t>
            </w:r>
          </w:p>
        </w:tc>
        <w:tc>
          <w:tcPr>
            <w:tcW w:w="326" w:type="dxa"/>
            <w:tcBorders/>
            <w:shd w:fill="CCEEFF" w:val="clear"/>
            <w:vAlign w:val="center"/>
          </w:tcPr>
          <w:p>
            <w:pPr>
              <w:pStyle w:val="TableContents"/>
              <w:bidi w:val="0"/>
              <w:spacing w:before="0" w:after="0"/>
              <w:ind w:left="0" w:right="0" w:hanging="0"/>
              <w:jc w:val="left"/>
              <w:rPr/>
            </w:pPr>
            <w:r>
              <w:rPr/>
              <w:t>​</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7.78</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5" w:type="dxa"/>
            <w:tcBorders/>
            <w:shd w:fill="CCEEFF" w:val="clear"/>
            <w:vAlign w:val="center"/>
          </w:tcPr>
          <w:p>
            <w:pPr>
              <w:pStyle w:val="TableContents"/>
              <w:bidi w:val="0"/>
              <w:spacing w:before="0" w:after="0"/>
              <w:ind w:left="0" w:right="0" w:hanging="0"/>
              <w:jc w:val="left"/>
              <w:rPr/>
            </w:pPr>
            <w:r>
              <w:rPr/>
              <w:t>​</w:t>
            </w:r>
          </w:p>
        </w:tc>
      </w:tr>
      <w:tr>
        <w:trPr/>
        <w:tc>
          <w:tcPr>
            <w:tcW w:w="197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Exercisable, June 30, 2024</w:t>
            </w:r>
          </w:p>
        </w:tc>
        <w:tc>
          <w:tcPr>
            <w:tcW w:w="326" w:type="dxa"/>
            <w:tcBorders/>
            <w:vAlign w:val="center"/>
          </w:tcPr>
          <w:p>
            <w:pPr>
              <w:pStyle w:val="TableContents"/>
              <w:bidi w:val="0"/>
              <w:spacing w:before="0" w:after="0"/>
              <w:ind w:left="0" w:right="0" w:hanging="0"/>
              <w:jc w:val="left"/>
              <w:rPr/>
            </w:pPr>
            <w:r>
              <w:rPr/>
              <w:t>​</w:t>
            </w:r>
          </w:p>
        </w:tc>
        <w:tc>
          <w:tcPr>
            <w:tcW w:w="11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w:t>
            </w:r>
          </w:p>
        </w:tc>
        <w:tc>
          <w:tcPr>
            <w:tcW w:w="326" w:type="dxa"/>
            <w:tcBorders/>
            <w:vAlign w:val="center"/>
          </w:tcPr>
          <w:p>
            <w:pPr>
              <w:pStyle w:val="TableContents"/>
              <w:bidi w:val="0"/>
              <w:spacing w:before="0" w:after="0"/>
              <w:ind w:left="0" w:right="0" w:hanging="0"/>
              <w:jc w:val="left"/>
              <w:rPr/>
            </w:pPr>
            <w:r>
              <w:rPr/>
              <w:t>​</w:t>
            </w:r>
          </w:p>
        </w:tc>
        <w:tc>
          <w:tcPr>
            <w:tcW w:w="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42.59</w:t>
            </w:r>
          </w:p>
        </w:tc>
        <w:tc>
          <w:tcPr>
            <w:tcW w:w="32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4.86</w:t>
            </w:r>
          </w:p>
        </w:tc>
        <w:tc>
          <w:tcPr>
            <w:tcW w:w="32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7.85</w:t>
            </w:r>
          </w:p>
        </w:tc>
        <w:tc>
          <w:tcPr>
            <w:tcW w:w="32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w:t>
            </w:r>
          </w:p>
        </w:tc>
      </w:tr>
      <w:tr>
        <w:trPr/>
        <w:tc>
          <w:tcPr>
            <w:tcW w:w="197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1"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98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c>
          <w:tcPr>
            <w:tcW w:w="645" w:type="dxa"/>
            <w:tcBorders/>
            <w:shd w:fill="CCEEFF" w:val="clear"/>
            <w:vAlign w:val="center"/>
          </w:tcPr>
          <w:p>
            <w:pPr>
              <w:pStyle w:val="TableContents"/>
              <w:bidi w:val="0"/>
              <w:spacing w:before="0" w:after="0"/>
              <w:ind w:left="0" w:right="0" w:hanging="0"/>
              <w:jc w:val="left"/>
              <w:rPr/>
            </w:pPr>
            <w:r>
              <w:rPr/>
              <w:t>​</w:t>
            </w:r>
          </w:p>
        </w:tc>
      </w:tr>
      <w:tr>
        <w:trPr/>
        <w:tc>
          <w:tcPr>
            <w:tcW w:w="197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Outstanding, June 30, 2024</w:t>
            </w:r>
          </w:p>
        </w:tc>
        <w:tc>
          <w:tcPr>
            <w:tcW w:w="326" w:type="dxa"/>
            <w:tcBorders/>
            <w:vAlign w:val="center"/>
          </w:tcPr>
          <w:p>
            <w:pPr>
              <w:pStyle w:val="TableContents"/>
              <w:bidi w:val="0"/>
              <w:spacing w:before="0" w:after="0"/>
              <w:ind w:left="0" w:right="0" w:hanging="0"/>
              <w:jc w:val="left"/>
              <w:rPr/>
            </w:pPr>
            <w:r>
              <w:rPr/>
              <w:t>​</w:t>
            </w:r>
          </w:p>
        </w:tc>
        <w:tc>
          <w:tcPr>
            <w:tcW w:w="11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26" w:type="dxa"/>
            <w:tcBorders/>
            <w:vAlign w:val="center"/>
          </w:tcPr>
          <w:p>
            <w:pPr>
              <w:pStyle w:val="TableContents"/>
              <w:bidi w:val="0"/>
              <w:spacing w:before="0" w:after="0"/>
              <w:ind w:left="0" w:right="0" w:hanging="0"/>
              <w:jc w:val="left"/>
              <w:rPr/>
            </w:pPr>
            <w:r>
              <w:rPr/>
              <w:t>​</w:t>
            </w:r>
          </w:p>
        </w:tc>
        <w:tc>
          <w:tcPr>
            <w:tcW w:w="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41.51</w:t>
            </w:r>
          </w:p>
        </w:tc>
        <w:tc>
          <w:tcPr>
            <w:tcW w:w="32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5.20</w:t>
            </w:r>
          </w:p>
        </w:tc>
        <w:tc>
          <w:tcPr>
            <w:tcW w:w="32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7.78</w:t>
            </w:r>
          </w:p>
        </w:tc>
        <w:tc>
          <w:tcPr>
            <w:tcW w:w="32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w:t>
            </w:r>
          </w:p>
        </w:tc>
        <w:tc>
          <w:tcPr>
            <w:tcW w:w="645" w:type="dxa"/>
            <w:tcBorders/>
            <w:vAlign w:val="center"/>
          </w:tcPr>
          <w:p>
            <w:pPr>
              <w:pStyle w:val="TableContents"/>
              <w:bidi w:val="0"/>
              <w:spacing w:before="0" w:after="0"/>
              <w:ind w:left="0" w:right="0" w:hanging="0"/>
              <w:jc w:val="left"/>
              <w:rPr/>
            </w:pPr>
            <w:r>
              <w:rPr/>
              <w:t>​</w:t>
            </w:r>
          </w:p>
        </w:tc>
      </w:tr>
      <w:tr>
        <w:trPr/>
        <w:tc>
          <w:tcPr>
            <w:tcW w:w="197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Granted</w:t>
            </w:r>
          </w:p>
        </w:tc>
        <w:tc>
          <w:tcPr>
            <w:tcW w:w="326" w:type="dxa"/>
            <w:tcBorders/>
            <w:shd w:fill="CCEEFF" w:val="clear"/>
            <w:vAlign w:val="center"/>
          </w:tcPr>
          <w:p>
            <w:pPr>
              <w:pStyle w:val="TableContents"/>
              <w:bidi w:val="0"/>
              <w:spacing w:before="0" w:after="0"/>
              <w:ind w:left="0" w:right="0" w:hanging="0"/>
              <w:jc w:val="left"/>
              <w:rPr/>
            </w:pPr>
            <w:r>
              <w:rPr/>
              <w:t>​</w:t>
            </w:r>
          </w:p>
        </w:tc>
        <w:tc>
          <w:tcPr>
            <w:tcW w:w="11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w:t>
            </w:r>
          </w:p>
        </w:tc>
        <w:tc>
          <w:tcPr>
            <w:tcW w:w="326" w:type="dxa"/>
            <w:tcBorders/>
            <w:shd w:fill="CCEEFF" w:val="clear"/>
            <w:vAlign w:val="center"/>
          </w:tcPr>
          <w:p>
            <w:pPr>
              <w:pStyle w:val="TableContents"/>
              <w:bidi w:val="0"/>
              <w:spacing w:before="0" w:after="0"/>
              <w:ind w:left="0" w:right="0" w:hanging="0"/>
              <w:jc w:val="left"/>
              <w:rPr/>
            </w:pPr>
            <w:r>
              <w:rPr/>
              <w:t>​</w:t>
            </w:r>
          </w:p>
        </w:tc>
        <w:tc>
          <w:tcPr>
            <w:tcW w:w="4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25.83</w:t>
            </w:r>
          </w:p>
        </w:tc>
        <w:tc>
          <w:tcPr>
            <w:tcW w:w="32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19.12</w:t>
            </w:r>
          </w:p>
        </w:tc>
        <w:tc>
          <w:tcPr>
            <w:tcW w:w="326" w:type="dxa"/>
            <w:tcBorders/>
            <w:shd w:fill="CCEEFF" w:val="clear"/>
            <w:vAlign w:val="center"/>
          </w:tcPr>
          <w:p>
            <w:pPr>
              <w:pStyle w:val="TableContents"/>
              <w:bidi w:val="0"/>
              <w:spacing w:before="0" w:after="0"/>
              <w:ind w:left="0" w:right="0" w:hanging="0"/>
              <w:jc w:val="left"/>
              <w:rPr/>
            </w:pPr>
            <w:r>
              <w:rPr/>
              <w:t>​</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4.85</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c>
          <w:tcPr>
            <w:tcW w:w="645" w:type="dxa"/>
            <w:tcBorders/>
            <w:shd w:fill="CCEEFF" w:val="clear"/>
            <w:vAlign w:val="center"/>
          </w:tcPr>
          <w:p>
            <w:pPr>
              <w:pStyle w:val="TableContents"/>
              <w:bidi w:val="0"/>
              <w:spacing w:before="0" w:after="0"/>
              <w:ind w:left="0" w:right="0" w:hanging="0"/>
              <w:jc w:val="left"/>
              <w:rPr/>
            </w:pPr>
            <w:r>
              <w:rPr/>
              <w:t>​</w:t>
            </w:r>
          </w:p>
        </w:tc>
      </w:tr>
      <w:tr>
        <w:trPr/>
        <w:tc>
          <w:tcPr>
            <w:tcW w:w="197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Exercised</w:t>
            </w:r>
          </w:p>
        </w:tc>
        <w:tc>
          <w:tcPr>
            <w:tcW w:w="326" w:type="dxa"/>
            <w:tcBorders/>
            <w:vAlign w:val="center"/>
          </w:tcPr>
          <w:p>
            <w:pPr>
              <w:pStyle w:val="TableContents"/>
              <w:bidi w:val="0"/>
              <w:spacing w:before="0" w:after="0"/>
              <w:ind w:left="0" w:right="0" w:hanging="0"/>
              <w:jc w:val="left"/>
              <w:rPr/>
            </w:pPr>
            <w:r>
              <w:rPr/>
              <w:t>​</w:t>
            </w:r>
          </w:p>
        </w:tc>
        <w:tc>
          <w:tcPr>
            <w:tcW w:w="11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326" w:type="dxa"/>
            <w:tcBorders/>
            <w:vAlign w:val="center"/>
          </w:tcPr>
          <w:p>
            <w:pPr>
              <w:pStyle w:val="TableContents"/>
              <w:bidi w:val="0"/>
              <w:spacing w:before="0" w:after="0"/>
              <w:ind w:left="0" w:right="0" w:hanging="0"/>
              <w:jc w:val="left"/>
              <w:rPr/>
            </w:pPr>
            <w:r>
              <w:rPr/>
              <w:t>​</w:t>
            </w:r>
          </w:p>
        </w:tc>
        <w:tc>
          <w:tcPr>
            <w:tcW w:w="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16.01</w:t>
            </w:r>
          </w:p>
        </w:tc>
        <w:tc>
          <w:tcPr>
            <w:tcW w:w="32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8.57</w:t>
            </w:r>
          </w:p>
        </w:tc>
        <w:tc>
          <w:tcPr>
            <w:tcW w:w="32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w:t>
            </w:r>
          </w:p>
        </w:tc>
        <w:tc>
          <w:tcPr>
            <w:tcW w:w="645" w:type="dxa"/>
            <w:tcBorders/>
            <w:vAlign w:val="center"/>
          </w:tcPr>
          <w:p>
            <w:pPr>
              <w:pStyle w:val="TableContents"/>
              <w:bidi w:val="0"/>
              <w:spacing w:before="0" w:after="0"/>
              <w:ind w:left="0" w:right="0" w:hanging="0"/>
              <w:jc w:val="left"/>
              <w:rPr/>
            </w:pPr>
            <w:r>
              <w:rPr/>
              <w:t>​</w:t>
            </w:r>
          </w:p>
        </w:tc>
      </w:tr>
      <w:tr>
        <w:trPr/>
        <w:tc>
          <w:tcPr>
            <w:tcW w:w="197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Forfeited</w:t>
            </w:r>
          </w:p>
        </w:tc>
        <w:tc>
          <w:tcPr>
            <w:tcW w:w="326" w:type="dxa"/>
            <w:tcBorders/>
            <w:shd w:fill="CCEEFF" w:val="clear"/>
            <w:vAlign w:val="center"/>
          </w:tcPr>
          <w:p>
            <w:pPr>
              <w:pStyle w:val="TableContents"/>
              <w:bidi w:val="0"/>
              <w:spacing w:before="0" w:after="0"/>
              <w:ind w:left="0" w:right="0" w:hanging="0"/>
              <w:jc w:val="left"/>
              <w:rPr/>
            </w:pPr>
            <w:r>
              <w:rPr/>
              <w:t>​</w:t>
            </w:r>
          </w:p>
        </w:tc>
        <w:tc>
          <w:tcPr>
            <w:tcW w:w="11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6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c>
          <w:tcPr>
            <w:tcW w:w="645" w:type="dxa"/>
            <w:tcBorders/>
            <w:shd w:fill="CCEEFF" w:val="clear"/>
            <w:vAlign w:val="center"/>
          </w:tcPr>
          <w:p>
            <w:pPr>
              <w:pStyle w:val="TableContents"/>
              <w:bidi w:val="0"/>
              <w:spacing w:before="0" w:after="0"/>
              <w:ind w:left="0" w:right="0" w:hanging="0"/>
              <w:jc w:val="left"/>
              <w:rPr/>
            </w:pPr>
            <w:r>
              <w:rPr/>
              <w:t>​</w:t>
            </w:r>
          </w:p>
        </w:tc>
      </w:tr>
      <w:tr>
        <w:trPr/>
        <w:tc>
          <w:tcPr>
            <w:tcW w:w="197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Outstanding, September 30, 2024</w:t>
            </w:r>
          </w:p>
        </w:tc>
        <w:tc>
          <w:tcPr>
            <w:tcW w:w="326" w:type="dxa"/>
            <w:tcBorders/>
            <w:vAlign w:val="center"/>
          </w:tcPr>
          <w:p>
            <w:pPr>
              <w:pStyle w:val="TableContents"/>
              <w:bidi w:val="0"/>
              <w:spacing w:before="0" w:after="0"/>
              <w:ind w:left="0" w:right="0" w:hanging="0"/>
              <w:jc w:val="left"/>
              <w:rPr/>
            </w:pPr>
            <w:r>
              <w:rPr/>
              <w:t>​</w:t>
            </w:r>
          </w:p>
        </w:tc>
        <w:tc>
          <w:tcPr>
            <w:tcW w:w="11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1,013</w:t>
            </w:r>
          </w:p>
        </w:tc>
        <w:tc>
          <w:tcPr>
            <w:tcW w:w="326" w:type="dxa"/>
            <w:tcBorders/>
            <w:vAlign w:val="center"/>
          </w:tcPr>
          <w:p>
            <w:pPr>
              <w:pStyle w:val="TableContents"/>
              <w:bidi w:val="0"/>
              <w:spacing w:before="0" w:after="0"/>
              <w:ind w:left="0" w:right="0" w:hanging="0"/>
              <w:jc w:val="left"/>
              <w:rPr/>
            </w:pPr>
            <w:r>
              <w:rPr/>
              <w:t>​</w:t>
            </w:r>
          </w:p>
        </w:tc>
        <w:tc>
          <w:tcPr>
            <w:tcW w:w="4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41.37</w:t>
            </w:r>
          </w:p>
        </w:tc>
        <w:tc>
          <w:tcPr>
            <w:tcW w:w="32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5.44</w:t>
            </w:r>
          </w:p>
        </w:tc>
        <w:tc>
          <w:tcPr>
            <w:tcW w:w="32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7.47</w:t>
            </w:r>
          </w:p>
        </w:tc>
        <w:tc>
          <w:tcPr>
            <w:tcW w:w="32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5" w:type="dxa"/>
            <w:tcBorders/>
            <w:vAlign w:val="center"/>
          </w:tcPr>
          <w:p>
            <w:pPr>
              <w:pStyle w:val="TableContents"/>
              <w:bidi w:val="0"/>
              <w:spacing w:before="0" w:after="0"/>
              <w:ind w:left="0" w:right="0" w:hanging="0"/>
              <w:jc w:val="left"/>
              <w:rPr/>
            </w:pPr>
            <w:r>
              <w:rPr/>
              <w:t>​</w:t>
            </w:r>
          </w:p>
        </w:tc>
      </w:tr>
      <w:tr>
        <w:trPr/>
        <w:tc>
          <w:tcPr>
            <w:tcW w:w="197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Exercisable, September 30, 2024</w:t>
            </w:r>
          </w:p>
        </w:tc>
        <w:tc>
          <w:tcPr>
            <w:tcW w:w="326" w:type="dxa"/>
            <w:tcBorders/>
            <w:shd w:fill="CCEEFF" w:val="clear"/>
            <w:vAlign w:val="center"/>
          </w:tcPr>
          <w:p>
            <w:pPr>
              <w:pStyle w:val="TableContents"/>
              <w:bidi w:val="0"/>
              <w:spacing w:before="0" w:after="0"/>
              <w:ind w:left="0" w:right="0" w:hanging="0"/>
              <w:jc w:val="left"/>
              <w:rPr/>
            </w:pPr>
            <w:r>
              <w:rPr/>
              <w:t>​</w:t>
            </w:r>
          </w:p>
        </w:tc>
        <w:tc>
          <w:tcPr>
            <w:tcW w:w="11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w:t>
            </w:r>
          </w:p>
        </w:tc>
        <w:tc>
          <w:tcPr>
            <w:tcW w:w="326" w:type="dxa"/>
            <w:tcBorders/>
            <w:shd w:fill="CCEEFF" w:val="clear"/>
            <w:vAlign w:val="center"/>
          </w:tcPr>
          <w:p>
            <w:pPr>
              <w:pStyle w:val="TableContents"/>
              <w:bidi w:val="0"/>
              <w:spacing w:before="0" w:after="0"/>
              <w:ind w:left="0" w:right="0" w:hanging="0"/>
              <w:jc w:val="left"/>
              <w:rPr/>
            </w:pPr>
            <w:r>
              <w:rPr/>
              <w:t>​</w:t>
            </w:r>
          </w:p>
        </w:tc>
        <w:tc>
          <w:tcPr>
            <w:tcW w:w="4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43.49</w:t>
            </w:r>
          </w:p>
        </w:tc>
        <w:tc>
          <w:tcPr>
            <w:tcW w:w="32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4.73</w:t>
            </w:r>
          </w:p>
        </w:tc>
        <w:tc>
          <w:tcPr>
            <w:tcW w:w="326" w:type="dxa"/>
            <w:tcBorders/>
            <w:shd w:fill="CCEEFF" w:val="clear"/>
            <w:vAlign w:val="center"/>
          </w:tcPr>
          <w:p>
            <w:pPr>
              <w:pStyle w:val="TableContents"/>
              <w:bidi w:val="0"/>
              <w:spacing w:before="0" w:after="0"/>
              <w:ind w:left="0" w:right="0" w:hanging="0"/>
              <w:jc w:val="left"/>
              <w:rPr/>
            </w:pPr>
            <w:r>
              <w:rPr/>
              <w:t>​</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7.85</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5"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21</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September 30, 2024, approximately 829,000 options remained nonvested. Unrecognized compensation expense related to these options at September 30, 2024 was $4,387 and is expected to be recognized over </w:t>
      </w:r>
      <w:r>
        <w:rPr>
          <w:rFonts w:ascii="Times New Roman;Times;serif" w:hAnsi="Times New Roman;Times;serif"/>
          <w:b w:val="false"/>
          <w:i w:val="false"/>
          <w:caps w:val="false"/>
          <w:smallCaps w:val="false"/>
          <w:sz w:val="20"/>
        </w:rPr>
        <w:t>7.5</w:t>
      </w:r>
      <w:r>
        <w:rPr>
          <w:rFonts w:ascii="Times New Roman;Times;serif" w:hAnsi="Times New Roman;Times;serif"/>
          <w:sz w:val="20"/>
        </w:rPr>
        <w:t xml:space="preserve"> years. Compensation expense for stock option awards for the three months ended September 30, 2024 and 2023 was $168 and $131, respectively, and for the nine months ended September 30, 2024 and 2023 was $462 and $386, respectively.</w:t>
      </w:r>
    </w:p>
    <w:p>
      <w:pPr>
        <w:pStyle w:val="TextBody"/>
        <w:bidi w:val="0"/>
        <w:spacing w:before="0" w:after="20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14. INCOME TAXES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provision for income tax expense for the three months ended September 30, 2024 and 2023 was $3,522 and $3,380 respectively, and for the nine months ended September 30, 2024 and 2023 was $10,502 and $9,885 respectively. The effective tax rate for the three months ended September 30, 2024 and 2023 was 18.2% and 17.4%, respectively, and for the nine months ended September 30, 2024 and 2023 was 18.2% and 17.3%, respectively. These rates differ from the federal statutory rate of 21% primarily due to a federal tax credit for the sale of energy efficient homes under the Internal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Revenue Code §45L, partially offset by state income taxes. The §45L tax credit was initially established under the Federal Energy Policy Act of 2005 and was extended through December 31, 2032 by the Inflation Reduction Act of 2022. </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15. COMMITMENTS AND CONTINGENCIES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As of January 1, 2020, the Company instituted a self-insured health benefits plan with a stop-loss policy, which provides medical benefits to employees electing coverage under the plan. The Company estimates and records costs for incurred but not reported medical claims and claim development. This reserve is based on historical experience and other assumptions, some of which are subjective. The Company will adjust its self-insured medical benefits reserve based on actual experience, estimated costs and changes to assumptions. As of September 30, 2024 and December 31, 2023, the Company accrued a $830 and $242 liability for incurred but not reported claims, respectively. These accrued amounts are included in accrued liabilities on the accompanying balance sheets.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is contingently liable under terms of repurchase agreements with financial institutions providing inventory financing for independent retailers of its products. These arrangements, which are customary in the industry, provide for the repurchase of products sold to retailers in the event of default by the retailer. The Company’s obligation under these repurchase agreements ceases upon the purchase of the home by the retail customer. The Company believes that risk of loss is mitigated due to the resale value of the repurchased homes and the fact that the agreements are spread over many retailers. The maximum amount for which the Company was liable under such agreements approximated $856 and $3,030 at September 30, 2024 and December 31, 2023, respectively, without reduction for the resale value of the homes. The Company considers its obligations on current contracts to be immaterial and accordingly has not recorded any reserve for repurchase commitment as of September 30, 2024 and December 31, 2023.</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 xml:space="preserve">Leases. </w:t>
      </w:r>
      <w:r>
        <w:rPr>
          <w:rFonts w:ascii="Times New Roman;Times;serif" w:hAnsi="Times New Roman;Times;serif"/>
          <w:sz w:val="20"/>
        </w:rPr>
        <w:t xml:space="preserve">The Company leases facilities under operating leases that typically have 10 year terms. These leases usually offer the Company a right of first refusal that affords the Company the option to purchase the leased premises under certain terms in the event the landlord attempts to sell the leased premises to a third party. Rent expense for the three months ended September 30, 2024 and 2023 was $160 and $159, respectively, and for the nine months ended September 30, 2024 and 2023 was $480 and $482, respectively. The Company also subleases properties to third parties, ranging from </w:t>
      </w:r>
      <w:r>
        <w:rPr>
          <w:rFonts w:ascii="Times New Roman;Times;serif" w:hAnsi="Times New Roman;Times;serif"/>
          <w:b w:val="false"/>
          <w:i w:val="false"/>
          <w:caps w:val="false"/>
          <w:smallCaps w:val="false"/>
          <w:sz w:val="20"/>
        </w:rPr>
        <w:t>3-year</w:t>
      </w:r>
      <w:r>
        <w:rPr>
          <w:rFonts w:ascii="Times New Roman;Times;serif" w:hAnsi="Times New Roman;Times;serif"/>
          <w:sz w:val="20"/>
        </w:rPr>
        <w:t xml:space="preserve"> to </w:t>
      </w:r>
      <w:r>
        <w:rPr>
          <w:rFonts w:ascii="Times New Roman;Times;serif" w:hAnsi="Times New Roman;Times;serif"/>
          <w:b w:val="false"/>
          <w:i w:val="false"/>
          <w:caps w:val="false"/>
          <w:smallCaps w:val="false"/>
          <w:sz w:val="20"/>
        </w:rPr>
        <w:t>11-year</w:t>
      </w:r>
      <w:r>
        <w:rPr>
          <w:rFonts w:ascii="Times New Roman;Times;serif" w:hAnsi="Times New Roman;Times;serif"/>
          <w:sz w:val="20"/>
        </w:rPr>
        <w:t xml:space="preserve"> terms with various renewal options. Rental income from the subleased properties for the three months ended September 30, 2024 and 2023 was approximately $17 and $59, respectively, and for the nine months ended September 30, 2024 and 2023 was approximately $131 and $184, respectively. See Note 7 – Leases, for a schedule of the Company’s future minimum lease commitments.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Legal Matters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is party to certain legal proceedings that arise in the ordinary course and are incidental to its business. Certain of the claims pending against the Company in these proceedings allege, among other things, breach of contract and warranty, product liability and personal injury. The Company has determined that it is probable that it has some liability related to the claims. The Company has included legal reserves of $564 and $990 as of September 30, 2024 and December 31, 2023, respectively, in accrued liabilities on the accompanying balance sheets. Although litigation is inherently uncertain, based on past experience and the information currently available, management does not believe that the currently pending and threatened litigation or claims will have a material adverse effect on the Company’s financial position, liquidity or results of operations. However, future events or circumstances currently unknown to management will determine whether the resolution of pending or threatened litigation or claims will ultimately have a material effect on the Company’s financial position, liquidity or results of operations in any future reporting periods.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16. FAIR VALUE MEASUREMENTS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accounts for its investments and derivative instruments in accordance with the provisions of Accounting Standards Codification (“ASC”) 820 10, Fair Value Measurement, which among other things provides the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bookmarkStart w:id="1399" w:name="Tc_ff_waF9YfE6rB6y_lv099w_8_0"/>
      <w:bookmarkStart w:id="1400" w:name="Tc_d3ufm5MfsUet8SksKDfBfA_7_0"/>
      <w:bookmarkStart w:id="1401" w:name="Tc_Cw-RM5e8p0GHMgrMUbO6ow_6_0"/>
      <w:bookmarkStart w:id="1402" w:name="Tc_zmF6-a7x1UqYIlkyeBihLQ_5_0"/>
      <w:bookmarkStart w:id="1403" w:name="Tc_d800TSgSGU-06pvpt-D7Qg_4_0"/>
      <w:bookmarkStart w:id="1404" w:name="Tc_fV1oLl6dP06neC9LLhqrsg_3_5"/>
      <w:bookmarkStart w:id="1405" w:name="Tc_JQVhpcHgOEW3wpf1vQQwzQ_3_2"/>
      <w:bookmarkStart w:id="1406" w:name="Tc_QExJKxtcSkKRucmiOJVqKQ_3_0"/>
      <w:bookmarkStart w:id="1407" w:name="Tc_X-jPZ9PHK0K_JzZbOA3PoA_2_5"/>
      <w:bookmarkStart w:id="1408" w:name="Tc_HFAHW1TuiEiD99OJWkZZ7A_2_2"/>
      <w:bookmarkStart w:id="1409" w:name="Tc_FxgWvxfaqEuKfBkyuW0l3g_1_5"/>
      <w:bookmarkStart w:id="1410" w:name="Tc_G4KPUJyRZ0eXGmZU3jx-Ew_1_2"/>
      <w:bookmarkEnd w:id="1399"/>
      <w:bookmarkEnd w:id="1400"/>
      <w:bookmarkEnd w:id="1401"/>
      <w:bookmarkEnd w:id="1402"/>
      <w:bookmarkEnd w:id="1403"/>
      <w:bookmarkEnd w:id="1404"/>
      <w:bookmarkEnd w:id="1405"/>
      <w:bookmarkEnd w:id="1406"/>
      <w:bookmarkEnd w:id="1407"/>
      <w:bookmarkEnd w:id="1408"/>
      <w:bookmarkEnd w:id="1409"/>
      <w:bookmarkEnd w:id="1410"/>
      <w:r>
        <w:rPr>
          <w:rFonts w:ascii="Times New Roman;Times;serif" w:hAnsi="Times New Roman;Times;serif"/>
          <w:sz w:val="20"/>
        </w:rPr>
        <w:t>framework for measuring fair value. That framework provides a fair value hierarchy that prioritizes the inputs to valuation techniques used to measure fair value. The hierarchy gives the highest priority to unadjusted quoted prices in active markets for identical assets or liabilities (Level I measurement) and the lowest priority to unobservable inputs (Level III measurements). The three levels of fair value hierarchy under ASC 820 10, Fair Value Measurement, are as follows:</w:t>
      </w:r>
    </w:p>
    <w:p>
      <w:pPr>
        <w:pStyle w:val="TextBody"/>
        <w:pBdr/>
        <w:bidi w:val="0"/>
        <w:spacing w:before="0" w:after="0"/>
        <w:ind w:left="720" w:right="0" w:hanging="936"/>
        <w:jc w:val="left"/>
        <w:rPr>
          <w:rFonts w:ascii="Times New Roman;Times;serif" w:hAnsi="Times New Roman;Times;serif"/>
          <w:sz w:val="20"/>
        </w:rPr>
      </w:pPr>
      <w:r>
        <w:rPr>
          <w:rFonts w:ascii="Times New Roman;Times;serif" w:hAnsi="Times New Roman;Times;serif"/>
          <w:sz w:val="20"/>
        </w:rPr>
        <w:t>Level I       Quoted prices are available in active markets for identical assets or liabilities that the reporting entity has the ability to access at the measurement date.</w:t>
      </w:r>
    </w:p>
    <w:p>
      <w:pPr>
        <w:pStyle w:val="TextBody"/>
        <w:pBdr/>
        <w:bidi w:val="0"/>
        <w:spacing w:before="0" w:after="0"/>
        <w:ind w:left="720" w:right="0" w:hanging="936"/>
        <w:jc w:val="left"/>
        <w:rPr/>
      </w:pPr>
      <w:r>
        <w:rPr/>
        <w:t>​</w:t>
      </w:r>
    </w:p>
    <w:p>
      <w:pPr>
        <w:pStyle w:val="TextBody"/>
        <w:pBdr/>
        <w:bidi w:val="0"/>
        <w:spacing w:before="0" w:after="0"/>
        <w:ind w:left="720" w:right="0" w:hanging="936"/>
        <w:jc w:val="left"/>
        <w:rPr>
          <w:rFonts w:ascii="Times New Roman;Times;serif" w:hAnsi="Times New Roman;Times;serif"/>
          <w:sz w:val="20"/>
        </w:rPr>
      </w:pPr>
      <w:r>
        <w:rPr>
          <w:rFonts w:ascii="Times New Roman;Times;serif" w:hAnsi="Times New Roman;Times;serif"/>
          <w:sz w:val="20"/>
        </w:rPr>
        <w:t>Level II      Significant observable inputs other than quoted prices in active markets for which inputs to the valuation methodology include: (1) Quoted prices for similar assets or liabilities in active markets; (2) Quoted prices for identical or similar assets or liabilities in inactive markets; (3) Inputs other than quoted prices that are observable; and (4) Inputs that are derived principally from or corroborated by observable market data by correlation or other means. If the asset or liability has a specified (contractual) term, the Level II input must be observable for substantially the full term of the asset or liability.</w:t>
      </w:r>
    </w:p>
    <w:p>
      <w:pPr>
        <w:pStyle w:val="TextBody"/>
        <w:pBdr/>
        <w:bidi w:val="0"/>
        <w:spacing w:before="0" w:after="200"/>
        <w:ind w:left="720" w:right="0" w:hanging="936"/>
        <w:jc w:val="left"/>
        <w:rPr/>
      </w:pPr>
      <w:r>
        <w:rPr/>
        <w:t>​</w:t>
      </w:r>
    </w:p>
    <w:p>
      <w:pPr>
        <w:pStyle w:val="TextBody"/>
        <w:pBdr/>
        <w:bidi w:val="0"/>
        <w:spacing w:before="0" w:after="200"/>
        <w:ind w:left="720" w:right="0" w:hanging="936"/>
        <w:jc w:val="left"/>
        <w:rPr>
          <w:rFonts w:ascii="Times New Roman;Times;serif" w:hAnsi="Times New Roman;Times;serif"/>
          <w:sz w:val="20"/>
        </w:rPr>
      </w:pPr>
      <w:r>
        <w:rPr>
          <w:rFonts w:ascii="Times New Roman;Times;serif" w:hAnsi="Times New Roman;Times;serif"/>
          <w:sz w:val="20"/>
        </w:rPr>
        <w:t>Level III     Significant unobservable inputs that reflect an entity’s own assumptions that market participants would use in pricing the assets or liabilities.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asset or liability fair value measurement level within the fair value hierarchy is based on the lowest level of any input that is significant to the fair value measurement.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Company’s financial instruments consist primarily of cash, accounts receivable, consumer loans, MHP Notes, other notes, accounts payable, and lines of credit.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carrying amounts of cash, accounts receivable, and accounts payable approximate their respective fair values because of the short-term maturities or expected settlement dates of these instruments. This is considered a Level I valuation technique. The lines of credit, part of the MHP Notes and part of the other notes receivables have variable interest rates that reflect market rates and their fair value approximates their carrying value. This is considered a Level II valuation technique. The Company also assessed the fair value of the consumer loans receivable, the fixed rate MHP Notes and the portion of other note receivables with fixed rates based on the discounted value of the remaining principal and interest cash flows. This is considered a Level III valuation technique. The following table shows the fair market value and book value of these portfolios as of September 30, 2024 and December 31, 2023: </w:t>
      </w:r>
    </w:p>
    <w:p>
      <w:pPr>
        <w:pStyle w:val="TextBody"/>
        <w:bidi w:val="0"/>
        <w:spacing w:before="0" w:after="0"/>
        <w:ind w:left="0" w:right="0" w:hanging="0"/>
        <w:jc w:val="left"/>
        <w:rPr/>
      </w:pPr>
      <w:r>
        <w:rPr/>
        <w:t>​</w:t>
      </w:r>
    </w:p>
    <w:tbl>
      <w:tblPr>
        <w:tblW w:w="6549" w:type="dxa"/>
        <w:jc w:val="left"/>
        <w:tblInd w:w="0" w:type="dxa"/>
        <w:tblLayout w:type="fixed"/>
        <w:tblCellMar>
          <w:top w:w="0" w:type="dxa"/>
          <w:left w:w="0" w:type="dxa"/>
          <w:bottom w:w="0" w:type="dxa"/>
          <w:right w:w="0" w:type="dxa"/>
        </w:tblCellMar>
      </w:tblPr>
      <w:tblGrid>
        <w:gridCol w:w="3121"/>
        <w:gridCol w:w="109"/>
        <w:gridCol w:w="341"/>
        <w:gridCol w:w="1264"/>
        <w:gridCol w:w="109"/>
        <w:gridCol w:w="326"/>
        <w:gridCol w:w="1279"/>
      </w:tblGrid>
      <w:tr>
        <w:trPr/>
        <w:tc>
          <w:tcPr>
            <w:tcW w:w="3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981835" cy="175260"/>
                      <wp:effectExtent l="0" t="0" r="0" b="0"/>
                      <wp:wrapNone/>
                      <wp:docPr id="363" name="Frame363"/>
                      <a:graphic xmlns:a="http://schemas.openxmlformats.org/drawingml/2006/main">
                        <a:graphicData uri="http://schemas.microsoft.com/office/word/2010/wordprocessingShape">
                          <wps:wsp>
                            <wps:cNvSpPr txBox="1"/>
                            <wps:spPr>
                              <a:xfrm>
                                <a:off x="0" y="0"/>
                                <a:ext cx="1981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9215" cy="175260"/>
                      <wp:effectExtent l="0" t="0" r="0" b="0"/>
                      <wp:wrapNone/>
                      <wp:docPr id="364" name="Frame3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16535" cy="175260"/>
                      <wp:effectExtent l="0" t="0" r="0" b="0"/>
                      <wp:wrapNone/>
                      <wp:docPr id="365" name="Frame365"/>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802640" cy="175260"/>
                      <wp:effectExtent l="0" t="0" r="0" b="0"/>
                      <wp:wrapNone/>
                      <wp:docPr id="366" name="Frame366"/>
                      <a:graphic xmlns:a="http://schemas.openxmlformats.org/drawingml/2006/main">
                        <a:graphicData uri="http://schemas.microsoft.com/office/word/2010/wordprocessingShape">
                          <wps:wsp>
                            <wps:cNvSpPr txBox="1"/>
                            <wps:spPr>
                              <a:xfrm>
                                <a:off x="0" y="0"/>
                                <a:ext cx="802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9215" cy="175260"/>
                      <wp:effectExtent l="0" t="0" r="0" b="0"/>
                      <wp:wrapNone/>
                      <wp:docPr id="367" name="Frame3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07010" cy="175260"/>
                      <wp:effectExtent l="0" t="0" r="0" b="0"/>
                      <wp:wrapNone/>
                      <wp:docPr id="368" name="Frame3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812165" cy="175260"/>
                      <wp:effectExtent l="0" t="0" r="0" b="0"/>
                      <wp:wrapNone/>
                      <wp:docPr id="369" name="Frame369"/>
                      <a:graphic xmlns:a="http://schemas.openxmlformats.org/drawingml/2006/main">
                        <a:graphicData uri="http://schemas.microsoft.com/office/word/2010/wordprocessingShape">
                          <wps:wsp>
                            <wps:cNvSpPr txBox="1"/>
                            <wps:spPr>
                              <a:xfrm>
                                <a:off x="0" y="0"/>
                                <a:ext cx="812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1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Consumer loan portfolio, fair value</w:t>
            </w:r>
          </w:p>
        </w:tc>
        <w:tc>
          <w:tcPr>
            <w:tcW w:w="109"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158,887</w:t>
            </w:r>
          </w:p>
        </w:tc>
        <w:tc>
          <w:tcPr>
            <w:tcW w:w="10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155,146</w:t>
            </w:r>
          </w:p>
        </w:tc>
      </w:tr>
      <w:tr>
        <w:trPr/>
        <w:tc>
          <w:tcPr>
            <w:tcW w:w="3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Consumer loan portfolio, book value</w:t>
            </w:r>
          </w:p>
        </w:tc>
        <w:tc>
          <w:tcPr>
            <w:tcW w:w="109"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left"/>
              <w:rPr/>
            </w:pPr>
            <w:r>
              <w:rPr/>
              <w:t> </w:t>
            </w:r>
          </w:p>
        </w:tc>
        <w:tc>
          <w:tcPr>
            <w:tcW w:w="12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166,821</w:t>
            </w:r>
          </w:p>
        </w:tc>
        <w:tc>
          <w:tcPr>
            <w:tcW w:w="1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156,499</w:t>
            </w:r>
          </w:p>
        </w:tc>
      </w:tr>
      <w:tr>
        <w:trPr/>
        <w:tc>
          <w:tcPr>
            <w:tcW w:w="3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Fixed rate MHP Notes, fair value</w:t>
            </w:r>
          </w:p>
        </w:tc>
        <w:tc>
          <w:tcPr>
            <w:tcW w:w="109"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pPr>
            <w:r>
              <w:rPr/>
              <w:t>​</w:t>
            </w:r>
          </w:p>
        </w:tc>
        <w:tc>
          <w:tcPr>
            <w:tcW w:w="12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164,340</w:t>
            </w:r>
          </w:p>
        </w:tc>
        <w:tc>
          <w:tcPr>
            <w:tcW w:w="10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176,270</w:t>
            </w:r>
          </w:p>
        </w:tc>
      </w:tr>
      <w:tr>
        <w:trPr/>
        <w:tc>
          <w:tcPr>
            <w:tcW w:w="3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Fixed rate MHP Notes, book value</w:t>
            </w:r>
          </w:p>
        </w:tc>
        <w:tc>
          <w:tcPr>
            <w:tcW w:w="109"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left"/>
              <w:rPr/>
            </w:pPr>
            <w:r>
              <w:rPr/>
              <w:t>​</w:t>
            </w:r>
          </w:p>
        </w:tc>
        <w:tc>
          <w:tcPr>
            <w:tcW w:w="12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165,891</w:t>
            </w:r>
          </w:p>
        </w:tc>
        <w:tc>
          <w:tcPr>
            <w:tcW w:w="1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178,724</w:t>
            </w:r>
          </w:p>
        </w:tc>
      </w:tr>
      <w:tr>
        <w:trPr/>
        <w:tc>
          <w:tcPr>
            <w:tcW w:w="3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Fixed rate other notes, fair value</w:t>
            </w:r>
          </w:p>
        </w:tc>
        <w:tc>
          <w:tcPr>
            <w:tcW w:w="109"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pPr>
            <w:r>
              <w:rPr/>
              <w:t>​</w:t>
            </w:r>
          </w:p>
        </w:tc>
        <w:tc>
          <w:tcPr>
            <w:tcW w:w="12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7,345</w:t>
            </w:r>
          </w:p>
        </w:tc>
        <w:tc>
          <w:tcPr>
            <w:tcW w:w="10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34,340</w:t>
            </w:r>
          </w:p>
        </w:tc>
      </w:tr>
      <w:tr>
        <w:trPr/>
        <w:tc>
          <w:tcPr>
            <w:tcW w:w="3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Fixed rate other notes, book value</w:t>
            </w:r>
          </w:p>
        </w:tc>
        <w:tc>
          <w:tcPr>
            <w:tcW w:w="109"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left"/>
              <w:rPr/>
            </w:pPr>
            <w:r>
              <w:rPr/>
              <w:t>​</w:t>
            </w:r>
          </w:p>
        </w:tc>
        <w:tc>
          <w:tcPr>
            <w:tcW w:w="12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7,531</w:t>
            </w:r>
          </w:p>
        </w:tc>
        <w:tc>
          <w:tcPr>
            <w:tcW w:w="1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79" w:type="dxa"/>
            <w:tcBorders/>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34,590</w:t>
            </w:r>
          </w:p>
        </w:tc>
      </w:tr>
    </w:tbl>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200"/>
        <w:ind w:left="0" w:right="0" w:hanging="0"/>
        <w:jc w:val="left"/>
        <w:rPr/>
      </w:pPr>
      <w:r>
        <w:rPr/>
        <w:t>​</w:t>
      </w:r>
    </w:p>
    <w:p>
      <w:pPr>
        <w:pStyle w:val="TextBody"/>
        <w:bidi w:val="0"/>
        <w:spacing w:before="0" w:after="200"/>
        <w:ind w:left="0" w:right="0" w:firstLine="72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411" w:name="Tc_YFbyhQPlrEq-CJV6reA1_w_14_11"/>
      <w:bookmarkStart w:id="1412" w:name="Tc_m1O77NHJikOeF2FkY7wmRg_14_8"/>
      <w:bookmarkStart w:id="1413" w:name="Tc_IcREDRJe3UyNV_LqGW4aUQ_14_5"/>
      <w:bookmarkStart w:id="1414" w:name="Tc_tWgYltoIU0W_P0OQJX7VYw_14_2"/>
      <w:bookmarkStart w:id="1415" w:name="Tc_MnQKcShSFEO3_o7_m8oglA_14_0"/>
      <w:bookmarkStart w:id="1416" w:name="Tc_kQQJs1A9cUSDXTCnpWy8Bw_13_11"/>
      <w:bookmarkStart w:id="1417" w:name="Tc_w5zwHHKVdUOry3Un3WZA6A_13_8"/>
      <w:bookmarkStart w:id="1418" w:name="Tc_Ev_yqt7nmUmUkH9SiGQcIw_13_5"/>
      <w:bookmarkStart w:id="1419" w:name="Tc_h7xndJ7I4ECD4FWOhxZNSA_13_2"/>
      <w:bookmarkStart w:id="1420" w:name="Tc_zO-9Esb4ZU2hBzNv1hmyXw_13_0"/>
      <w:bookmarkStart w:id="1421" w:name="Tc_7CGXT3ns80qp2FADPVEQyg_12_0"/>
      <w:bookmarkStart w:id="1422" w:name="Tc_fiwwIkXItEu44E_dF2qv6w_11_0"/>
      <w:bookmarkStart w:id="1423" w:name="Tc_RwRTr6MNhkyzo2-m28Wu2w_10_0"/>
      <w:bookmarkStart w:id="1424" w:name="Tc_wIuEkg0BR0mYsrUyl8eGkg_9_0"/>
      <w:bookmarkStart w:id="1425" w:name="Tc_lgCwaF2wIkOyFHMC-dI-mg_8_0"/>
      <w:bookmarkStart w:id="1426" w:name="Tc_oFBzsJdPykaPSgxRmcmbOg_7_0"/>
      <w:bookmarkStart w:id="1427" w:name="Tc_eZbsuI27PkCBjy3aAUJA-Q_6_0"/>
      <w:bookmarkStart w:id="1428" w:name="Tc_94y01RML-kyxZt-U_mQVwA_5_11"/>
      <w:bookmarkStart w:id="1429" w:name="Tc_dEwMTlkl0E-S-c5EiCRffA_5_8"/>
      <w:bookmarkStart w:id="1430" w:name="Tc_D-7_f5ljEE2zZ_CjmZhCWw_5_5"/>
      <w:bookmarkStart w:id="1431" w:name="Tc_IBpSldXK_kKhg8mG_H1mFQ_5_2"/>
      <w:bookmarkStart w:id="1432" w:name="Tc_WGAud30xs0O3YBUIakaWug_5_0"/>
      <w:bookmarkStart w:id="1433" w:name="Tc_bBUIgtshgkqzJb5DEeZq6A_4_0"/>
      <w:bookmarkStart w:id="1434" w:name="Tc_LwGheZtlmUa0a5kSoaLXuw_3_11"/>
      <w:bookmarkStart w:id="1435" w:name="Tc__hUeLKSkLUWqzndhIz9nNA_3_8"/>
      <w:bookmarkStart w:id="1436" w:name="Tc_TMasDem_dk22Wro5ksVntA_3_5"/>
      <w:bookmarkStart w:id="1437" w:name="Tc_w-w8FqzTf0GphGs-Zfd6jQ_3_2"/>
      <w:bookmarkStart w:id="1438" w:name="Tc_TzQcMBMgPkSLLsNfx1QEcA_2_8"/>
      <w:bookmarkStart w:id="1439" w:name="Tc_HWeDJ8c0DEu2w7PsxjqF7A_2_2"/>
      <w:bookmarkStart w:id="1440" w:name="Tc_p8uVs_TOlEK8UQJ3f94wGg_1_8"/>
      <w:bookmarkStart w:id="1441" w:name="Tc_GxlcASfW5EuI7Mf-rmYW-g_1_2"/>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r>
        <w:rPr>
          <w:rFonts w:ascii="Times New Roman;Times;serif" w:hAnsi="Times New Roman;Times;serif"/>
          <w:b/>
          <w:sz w:val="20"/>
        </w:rPr>
        <w:t>17. EARNINGS PER SHARE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Basic earnings per common share (“EPS”) is computed based on the weighted-average number of common shares outstanding during the reporting period. Basic weighted average common shares outstanding do not include shares of restricted stock that have not yet vested, although such shares are included as outstanding shares in the Company’s balance sheets. Diluted EPS is based on the weighted-average number of common shares outstanding plus the number of additional shares that would have been outstanding had the dilutive common shares been issued. The following table reconciles the numerators and denominators used in the computations of both basic and diluted EPS.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302"/>
        <w:gridCol w:w="109"/>
        <w:gridCol w:w="211"/>
        <w:gridCol w:w="1036"/>
        <w:gridCol w:w="326"/>
        <w:gridCol w:w="211"/>
        <w:gridCol w:w="1036"/>
        <w:gridCol w:w="109"/>
        <w:gridCol w:w="211"/>
        <w:gridCol w:w="1036"/>
        <w:gridCol w:w="326"/>
        <w:gridCol w:w="211"/>
        <w:gridCol w:w="1081"/>
      </w:tblGrid>
      <w:tr>
        <w:trPr/>
        <w:tc>
          <w:tcPr>
            <w:tcW w:w="4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731770" cy="175260"/>
                      <wp:effectExtent l="0" t="0" r="0" b="0"/>
                      <wp:wrapNone/>
                      <wp:docPr id="370" name="Frame370"/>
                      <a:graphic xmlns:a="http://schemas.openxmlformats.org/drawingml/2006/main">
                        <a:graphicData uri="http://schemas.microsoft.com/office/word/2010/wordprocessingShape">
                          <wps:wsp>
                            <wps:cNvSpPr txBox="1"/>
                            <wps:spPr>
                              <a:xfrm>
                                <a:off x="0" y="0"/>
                                <a:ext cx="2731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9215" cy="175260"/>
                      <wp:effectExtent l="0" t="0" r="0" b="0"/>
                      <wp:wrapNone/>
                      <wp:docPr id="371" name="Frame3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33985" cy="175260"/>
                      <wp:effectExtent l="0" t="0" r="0" b="0"/>
                      <wp:wrapNone/>
                      <wp:docPr id="372" name="Frame3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57860" cy="175260"/>
                      <wp:effectExtent l="0" t="0" r="0" b="0"/>
                      <wp:wrapNone/>
                      <wp:docPr id="373" name="Frame37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07010" cy="175260"/>
                      <wp:effectExtent l="0" t="0" r="0" b="0"/>
                      <wp:wrapNone/>
                      <wp:docPr id="374" name="Frame3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33985" cy="175260"/>
                      <wp:effectExtent l="0" t="0" r="0" b="0"/>
                      <wp:wrapNone/>
                      <wp:docPr id="375" name="Frame3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57860" cy="175260"/>
                      <wp:effectExtent l="0" t="0" r="0" b="0"/>
                      <wp:wrapNone/>
                      <wp:docPr id="376" name="Frame37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9215" cy="175260"/>
                      <wp:effectExtent l="0" t="0" r="0" b="0"/>
                      <wp:wrapNone/>
                      <wp:docPr id="377" name="Frame3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33985" cy="175260"/>
                      <wp:effectExtent l="0" t="0" r="0" b="0"/>
                      <wp:wrapNone/>
                      <wp:docPr id="378" name="Frame3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57860" cy="175260"/>
                      <wp:effectExtent l="0" t="0" r="0" b="0"/>
                      <wp:wrapNone/>
                      <wp:docPr id="379" name="Frame37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07010" cy="175260"/>
                      <wp:effectExtent l="0" t="0" r="0" b="0"/>
                      <wp:wrapNone/>
                      <wp:docPr id="380" name="Frame3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33985" cy="175260"/>
                      <wp:effectExtent l="0" t="0" r="0" b="0"/>
                      <wp:wrapNone/>
                      <wp:docPr id="381" name="Frame3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86435" cy="175260"/>
                      <wp:effectExtent l="0" t="0" r="0" b="0"/>
                      <wp:wrapNone/>
                      <wp:docPr id="382" name="Frame382"/>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0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82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1"/>
              <w:ind w:left="0" w:right="0" w:hanging="0"/>
              <w:jc w:val="left"/>
              <w:rPr/>
            </w:pPr>
            <w:r>
              <w:rPr/>
              <w:t>​</w:t>
            </w:r>
          </w:p>
        </w:tc>
        <w:tc>
          <w:tcPr>
            <w:tcW w:w="286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430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8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109" w:type="dxa"/>
            <w:tcBorders/>
            <w:vAlign w:val="center"/>
          </w:tcPr>
          <w:p>
            <w:pPr>
              <w:pStyle w:val="TableContents"/>
              <w:bidi w:val="0"/>
              <w:spacing w:before="0" w:after="1"/>
              <w:ind w:left="0" w:right="0" w:hanging="0"/>
              <w:jc w:val="left"/>
              <w:rPr/>
            </w:pPr>
            <w:r>
              <w:rPr/>
              <w:t>​</w:t>
            </w:r>
          </w:p>
        </w:tc>
        <w:tc>
          <w:tcPr>
            <w:tcW w:w="28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430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2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Numerator:</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left"/>
              <w:rPr/>
            </w:pPr>
            <w:r>
              <w:rPr/>
              <w:t>​</w:t>
            </w:r>
          </w:p>
        </w:tc>
      </w:tr>
      <w:tr>
        <w:trPr/>
        <w:tc>
          <w:tcPr>
            <w:tcW w:w="43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(in 000's)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15,803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16,088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47,131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47,384</w:t>
            </w:r>
          </w:p>
        </w:tc>
      </w:tr>
      <w:tr>
        <w:trPr/>
        <w:tc>
          <w:tcPr>
            <w:tcW w:w="4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left"/>
              <w:rPr/>
            </w:pPr>
            <w:r>
              <w:rPr/>
              <w:t>​</w:t>
            </w:r>
          </w:p>
        </w:tc>
      </w:tr>
      <w:tr>
        <w:trPr/>
        <w:tc>
          <w:tcPr>
            <w:tcW w:w="43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weighted-average common shares outstanding</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24,154,779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24,391,797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24,237,405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24,382,519</w:t>
            </w:r>
          </w:p>
        </w:tc>
      </w:tr>
      <w:tr>
        <w:trPr/>
        <w:tc>
          <w:tcPr>
            <w:tcW w:w="4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dilutive securities: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left"/>
              <w:rPr/>
            </w:pPr>
            <w:r>
              <w:rPr/>
              <w:t>​</w:t>
            </w:r>
          </w:p>
        </w:tc>
      </w:tr>
      <w:tr>
        <w:trPr/>
        <w:tc>
          <w:tcPr>
            <w:tcW w:w="43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grants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13,755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10,206</w:t>
            </w:r>
          </w:p>
        </w:tc>
      </w:tr>
      <w:tr>
        <w:trPr/>
        <w:tc>
          <w:tcPr>
            <w:tcW w:w="4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655,401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723,127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632,897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707,260</w:t>
            </w:r>
          </w:p>
        </w:tc>
      </w:tr>
      <w:tr>
        <w:trPr/>
        <w:tc>
          <w:tcPr>
            <w:tcW w:w="43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weighted-average common shares outstanding</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24,810,816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25,128,679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24,870,712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25,099,985</w:t>
            </w:r>
          </w:p>
        </w:tc>
      </w:tr>
      <w:tr>
        <w:trPr/>
        <w:tc>
          <w:tcPr>
            <w:tcW w:w="4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per share attributable to Legacy Housing Corporation</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left"/>
              <w:rPr/>
            </w:pPr>
            <w:r>
              <w:rPr/>
              <w:t>​</w:t>
            </w:r>
          </w:p>
        </w:tc>
      </w:tr>
      <w:tr>
        <w:trPr/>
        <w:tc>
          <w:tcPr>
            <w:tcW w:w="43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w:t>
            </w:r>
          </w:p>
        </w:tc>
      </w:tr>
      <w:tr>
        <w:trPr/>
        <w:tc>
          <w:tcPr>
            <w:tcW w:w="4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1.89</w:t>
            </w:r>
          </w:p>
        </w:tc>
      </w:tr>
    </w:tbl>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November 2022, our Board of Directors approved a share repurchase program to authorize the repurchase of up to $10.0 million of the Company’s common stock. We repurchased 1,001 shares for $0.02 million in the open market during the three months ended September 30, 2024, and we repurchased 262,530 shares for $5.4 million in the open market during the nine months ended September 30, 2024. As of September 30, 2024, we had a remaining authorization of approximately $14.6 million. On August 6, 2024, our Board of Directors authorized the repurchase of an additional $10.0 million of the Company’s common stock under the share repurchase program.</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18. RELATED PARTY TRANSACTIONS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Bell Mobile Homes (“Bell”), a retailer owned by one of the Company’s significant stockholders, purchases manufactured homes from the Company. Accounts receivable balances due from Bell were $153 and $403 as of September 30, 2024 and December 31, 2023, respectively. Accounts payable balances due to Bell were $77 and $18 as of September 30, 2024 and December 31, 2023, respectively. Home sales to Bell were $452 and $1,163 for the three months ended September 30, 2024 and 2023, respectively, and were $2,883 and $3,150 for the nine months ended September 30, 2024 and 2023, respectively.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Shipley Bros., Ltd. And Crazy Red’s Mobile Homes (together, “Shipley”), retailers owned by one of the Company’s significant shareholders, purchase manufactured homes from the Company. Accounts receivable balances due from Shipley were $76 and $143 as of September 30, 2024 and December 31, 2023, respectively. Accounts payable balances due to Shipley were $23 and $67 as of September 30, 2024 and December 31, 2023. Home sales to Shipley were $1,708 and $207 for the three months ended September 30, 2024 and 2023, respectively, and were $3,368 and $830 for the nine months ended September 30, 2024 and 2023, respectively.</w:t>
      </w:r>
    </w:p>
    <w:p>
      <w:pPr>
        <w:pStyle w:val="TextBody"/>
        <w:bidi w:val="0"/>
        <w:spacing w:before="0" w:after="200"/>
        <w:ind w:left="0" w:right="0" w:firstLine="72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LEGACY HOUSING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 (UNAUDITED)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At September 30, 2024, the Company had a receivable of $31 from a principal shareholder. This amount is included in the Company’s accounts receivable balance as of September 30, 2024.</w:t>
      </w:r>
    </w:p>
    <w:p>
      <w:pPr>
        <w:pStyle w:val="TextBody"/>
        <w:bidi w:val="0"/>
        <w:spacing w:before="0" w:after="20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19. SUBSEQUENT EVENTS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 connection with the preparation of these financial statements, we evaluated subsequent events after the balance sheet date of September 30, 2024 and through the date of this filing and determined that no events occurred that would require adjustments or disclosures in the financial statements.</w:t>
      </w:r>
    </w:p>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0"/>
        <w:ind w:left="0" w:right="0" w:hanging="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442" w:name="Item2ManagementsDiscussionandAnalysisofF"/>
      <w:bookmarkStart w:id="1443" w:name="_e6e7034e_975e_47ed_9df1_ddd74d401b0c"/>
      <w:bookmarkEnd w:id="1442"/>
      <w:bookmarkEnd w:id="1443"/>
      <w:r>
        <w:rPr>
          <w:rFonts w:ascii="Times New Roman;Times;serif" w:hAnsi="Times New Roman;Times;serif"/>
          <w:b/>
          <w:sz w:val="20"/>
        </w:rPr>
        <w:t>Item 2. Management’s Discussion and Analysis of Financial Condition and Results of Operations.</w:t>
      </w:r>
    </w:p>
    <w:p>
      <w:pPr>
        <w:pStyle w:val="TextBody"/>
        <w:bidi w:val="0"/>
        <w:spacing w:before="0" w:after="264"/>
        <w:ind w:left="0" w:right="0" w:firstLine="792"/>
        <w:jc w:val="left"/>
        <w:rPr>
          <w:rFonts w:ascii="Times New Roman;Times;serif" w:hAnsi="Times New Roman;Times;serif"/>
          <w:i/>
          <w:sz w:val="20"/>
        </w:rPr>
      </w:pPr>
      <w:r>
        <w:rPr>
          <w:rFonts w:ascii="Times New Roman;Times;serif" w:hAnsi="Times New Roman;Times;serif"/>
          <w:i/>
          <w:sz w:val="20"/>
        </w:rPr>
        <w:t>The following discussion should be read in conjunction with the financial statements and accompanying notes and the information contained in other sections of this Form 10-Q. It contains forward looking statements that involve risks and uncertainties, and is based on the beliefs of our management, as well as assumptions made by, and information currently available to, our management. Our actual results could differ materially from those anticipated by our management in these forward looking statements as a result of various factors, including those discussed in this Form 10-Q and in our Registration Statement on Form S-1, particularly under the heading “Risk Factors.” Dollar amounts are in thousands unless otherwise noted.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We build, sell and finance manufactured homes and “tiny houses” that are distributed through a network of independent retailers and company owned stores and also sold directly to manufactured home communities. We are the sixth largest producer of manufactured homes in the United States as ranked by the number of homes manufactured based on information available from the Manufactured Housing Institute and the Institute for Building Technology and Safety for the six month period ending June 30, 2024. With current operations focused primarily in the southern United States, we offer our customers an array of quality homes ranging in size from approximately 395 to 2,667 square feet consisting of 1 to 5 bedrooms and 1 to 3 1/2 bathrooms. Our homes range in price, at retail, from approximately $33,000 to $180,000. For the three and nine months ended September 30, 2024, we sold 549 and 1,772 home sections, respectively (which are entire modules or single floors). For the three and nine months ended September 30, 2023, we sold 643 and 2,246 home sections, respectively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has one reportable segment. All of our activities are interrelated, and each activity is dependent and assessed based on how each of the activities of the Company supports the others. For example, the sale of manufactured homes includes providing transportation for dealers. We also provide financing options to the customers to facilitate home sales. Accordingly, all significant operating and strategic decisions by the chief operating decision maker, the Chief Executive Officer, are based upon analyses of our company as one operating segment.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believe our company is one of the most vertically integrated in the manufactured housing industry, allowing us to offer a complete solution to our customers. We manufacture custom made homes using quality materials, distribute those homes through our expansive network of independent retailers and company owned distribution locations and provide tailored financing solutions for our customers. Our homes are constructed in the United States at one of our three manufacturing facilities in accordance with the construction and safety standards of the U.S. Department of Housing and Urban Development (“HUD”). Our factories employ high volume production techniques that allow us to produce, on average, approximately 70 home sections, or 60 fully completed homes depending on product mix, in total per week. We use quality materials and operate our own component manufacturing facilities for many of the items used in the construction of our homes. Each home can be configured according to a variety of floor plans and equipped with features such as fireplaces, central air conditioning and state of the art kitchens.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Our homes are marketed under our premier “Legacy” brand name and, as of September 30, 2024, are sold to consumers, primarily in over 15 states through a network of independent retail locations, 13 company owned retail locations and through direct sales to owners of manufactured home communities. Our 13 company owned retail locations, including 11 Heritage Housing stores and two Tiny House Outlet stores, exclusively sell our homes. For the nine months ended September 30, 2024, approximately 48% of our manufactured homes were sold in Texas, followed by 9% in North Carolina, 9% in Georgia, 8% in Oklahoma, 3% in Michigan and 3% in Florida. For the nine months ended September 30, 2023, approximately 49% of our manufactured homes were sold in Texas, followed by 15% in Georgia, 9% in Louisiana, 4% in Oklahoma, and 3% in Florida.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offer three types of financing solutions to our customers. We provide consumer financing for our products which are sold to end users through both independent and company owned retail locations. We provide inventory financing for our independent retailers who purchase homes from us and then sell them to consumers. We also provide financing solutions to manufactured housing community owners that buy our products for use in their manufactured housing communities. Our ability to offer competitive financing options at our retail locations provides us with several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competitive advantages and allows us to capture sales which may not have otherwise occurred without our ability to offer consumer financing.</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Factors Affecting Our Performance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believe that the growth of our business and our future success depend on various opportunities, challenges, trends and other factors, including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acquired several properties in our market area for the purpose of developing manufactured housing communities and subdivisions. As of September 30, 2024, these properties include the following (dollars in thousands): </w:t>
            </w:r>
          </w:p>
        </w:tc>
      </w:tr>
    </w:tbl>
    <w:tbl>
      <w:tblPr>
        <w:tblW w:w="9755" w:type="dxa"/>
        <w:jc w:val="left"/>
        <w:tblInd w:w="0" w:type="dxa"/>
        <w:tblLayout w:type="fixed"/>
        <w:tblCellMar>
          <w:top w:w="0" w:type="dxa"/>
          <w:left w:w="0" w:type="dxa"/>
          <w:bottom w:w="0" w:type="dxa"/>
          <w:right w:w="0" w:type="dxa"/>
        </w:tblCellMar>
      </w:tblPr>
      <w:tblGrid>
        <w:gridCol w:w="2161"/>
        <w:gridCol w:w="326"/>
        <w:gridCol w:w="961"/>
        <w:gridCol w:w="386"/>
        <w:gridCol w:w="1681"/>
        <w:gridCol w:w="326"/>
        <w:gridCol w:w="326"/>
        <w:gridCol w:w="676"/>
        <w:gridCol w:w="326"/>
        <w:gridCol w:w="371"/>
        <w:gridCol w:w="770"/>
        <w:gridCol w:w="326"/>
        <w:gridCol w:w="326"/>
        <w:gridCol w:w="793"/>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372235" cy="175260"/>
                      <wp:effectExtent l="0" t="0" r="0" b="0"/>
                      <wp:wrapNone/>
                      <wp:docPr id="383" name="Frame383"/>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07010" cy="175260"/>
                      <wp:effectExtent l="0" t="0" r="0" b="0"/>
                      <wp:wrapNone/>
                      <wp:docPr id="384" name="Frame3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10235" cy="175260"/>
                      <wp:effectExtent l="0" t="0" r="0" b="0"/>
                      <wp:wrapNone/>
                      <wp:docPr id="385" name="Frame385"/>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45110" cy="175260"/>
                      <wp:effectExtent l="0" t="0" r="0" b="0"/>
                      <wp:wrapNone/>
                      <wp:docPr id="386" name="Frame386"/>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067435" cy="175260"/>
                      <wp:effectExtent l="0" t="0" r="0" b="0"/>
                      <wp:wrapNone/>
                      <wp:docPr id="387" name="Frame387"/>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07010" cy="175260"/>
                      <wp:effectExtent l="0" t="0" r="0" b="0"/>
                      <wp:wrapNone/>
                      <wp:docPr id="388" name="Frame3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07010" cy="175260"/>
                      <wp:effectExtent l="0" t="0" r="0" b="0"/>
                      <wp:wrapNone/>
                      <wp:docPr id="389" name="Frame3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429260" cy="175260"/>
                      <wp:effectExtent l="0" t="0" r="0" b="0"/>
                      <wp:wrapNone/>
                      <wp:docPr id="390" name="Frame39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07010" cy="175260"/>
                      <wp:effectExtent l="0" t="0" r="0" b="0"/>
                      <wp:wrapNone/>
                      <wp:docPr id="391" name="Frame3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35585" cy="175260"/>
                      <wp:effectExtent l="0" t="0" r="0" b="0"/>
                      <wp:wrapNone/>
                      <wp:docPr id="392" name="Frame392"/>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488950" cy="175260"/>
                      <wp:effectExtent l="0" t="0" r="0" b="0"/>
                      <wp:wrapNone/>
                      <wp:docPr id="393" name="Frame393"/>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07010" cy="175260"/>
                      <wp:effectExtent l="0" t="0" r="0" b="0"/>
                      <wp:wrapNone/>
                      <wp:docPr id="394" name="Frame3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07010" cy="175260"/>
                      <wp:effectExtent l="0" t="0" r="0" b="0"/>
                      <wp:wrapNone/>
                      <wp:docPr id="395" name="Frame3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503555" cy="175260"/>
                      <wp:effectExtent l="0" t="0" r="0" b="0"/>
                      <wp:wrapNone/>
                      <wp:docPr id="396" name="Frame396"/>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86" w:type="dxa"/>
            <w:tcBorders/>
            <w:vAlign w:val="center"/>
          </w:tcPr>
          <w:p>
            <w:pPr>
              <w:pStyle w:val="TableContents"/>
              <w:bidi w:val="0"/>
              <w:spacing w:before="0" w:after="0"/>
              <w:ind w:left="0" w:right="0" w:hanging="0"/>
              <w:jc w:val="left"/>
              <w:rPr/>
            </w:pPr>
            <w:r>
              <w:rPr/>
              <w:t>​</w:t>
            </w:r>
          </w:p>
        </w:tc>
        <w:tc>
          <w:tcPr>
            <w:tcW w:w="16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Date of Acquisition</w:t>
            </w:r>
          </w:p>
        </w:tc>
        <w:tc>
          <w:tcPr>
            <w:tcW w:w="326" w:type="dxa"/>
            <w:tcBorders/>
            <w:vAlign w:val="center"/>
          </w:tcPr>
          <w:p>
            <w:pPr>
              <w:pStyle w:val="TableContents"/>
              <w:bidi w:val="0"/>
              <w:spacing w:before="0" w:after="0"/>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Land</w:t>
            </w:r>
          </w:p>
        </w:tc>
        <w:tc>
          <w:tcPr>
            <w:tcW w:w="326" w:type="dxa"/>
            <w:tcBorders/>
            <w:vAlign w:val="center"/>
          </w:tcPr>
          <w:p>
            <w:pPr>
              <w:pStyle w:val="TableContents"/>
              <w:bidi w:val="0"/>
              <w:spacing w:before="0" w:after="0"/>
              <w:ind w:left="0" w:right="0" w:hanging="0"/>
              <w:jc w:val="left"/>
              <w:rPr/>
            </w:pPr>
            <w:r>
              <w:rPr/>
              <w:t>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Improvements</w:t>
            </w:r>
          </w:p>
        </w:tc>
        <w:tc>
          <w:tcPr>
            <w:tcW w:w="326" w:type="dxa"/>
            <w:tcBorders/>
            <w:vAlign w:val="center"/>
          </w:tcPr>
          <w:p>
            <w:pPr>
              <w:pStyle w:val="TableContents"/>
              <w:bidi w:val="0"/>
              <w:spacing w:before="0" w:after="0"/>
              <w:ind w:left="0" w:right="0" w:hanging="0"/>
              <w:jc w:val="left"/>
              <w:rPr/>
            </w:pPr>
            <w:r>
              <w:rPr/>
              <w:t>    </w:t>
            </w:r>
          </w:p>
        </w:tc>
        <w:tc>
          <w:tcPr>
            <w:tcW w:w="11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Bastrop County, Texas</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368 Acres</w:t>
            </w:r>
          </w:p>
        </w:tc>
        <w:tc>
          <w:tcPr>
            <w:tcW w:w="386" w:type="dxa"/>
            <w:tcBorders/>
            <w:shd w:fill="CCEEFF" w:val="clear"/>
            <w:vAlign w:val="center"/>
          </w:tcPr>
          <w:p>
            <w:pPr>
              <w:pStyle w:val="TableContents"/>
              <w:bidi w:val="0"/>
              <w:spacing w:before="0" w:after="0"/>
              <w:ind w:left="0" w:right="0" w:hanging="0"/>
              <w:jc w:val="left"/>
              <w:rPr/>
            </w:pPr>
            <w:r>
              <w:rPr/>
              <w:t> </w:t>
            </w:r>
          </w:p>
        </w:tc>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2018</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4,215</w:t>
            </w:r>
          </w:p>
        </w:tc>
        <w:tc>
          <w:tcPr>
            <w:tcW w:w="32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15,025</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19,240</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Bexar County, Texas</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69 Acres</w:t>
            </w:r>
          </w:p>
        </w:tc>
        <w:tc>
          <w:tcPr>
            <w:tcW w:w="38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2018</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w:t>
            </w:r>
          </w:p>
        </w:tc>
        <w:tc>
          <w:tcPr>
            <w:tcW w:w="32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    </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Horseshoe Bay, Texas</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39 Acres</w:t>
            </w:r>
          </w:p>
        </w:tc>
        <w:tc>
          <w:tcPr>
            <w:tcW w:w="386" w:type="dxa"/>
            <w:tcBorders/>
            <w:shd w:fill="CCEEFF" w:val="clear"/>
            <w:vAlign w:val="center"/>
          </w:tcPr>
          <w:p>
            <w:pPr>
              <w:pStyle w:val="TableContents"/>
              <w:bidi w:val="0"/>
              <w:spacing w:before="0" w:after="0"/>
              <w:ind w:left="0" w:right="0" w:hanging="0"/>
              <w:jc w:val="left"/>
              <w:rPr/>
            </w:pPr>
            <w:r>
              <w:rPr/>
              <w:t> </w:t>
            </w:r>
          </w:p>
        </w:tc>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Various 2018-2019</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1,222</w:t>
            </w:r>
          </w:p>
        </w:tc>
        <w:tc>
          <w:tcPr>
            <w:tcW w:w="32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 </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2,153</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3,375</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Johnson County, Texas</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91.5 Acres</w:t>
            </w:r>
          </w:p>
        </w:tc>
        <w:tc>
          <w:tcPr>
            <w:tcW w:w="38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2019</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w:t>
            </w:r>
          </w:p>
        </w:tc>
        <w:tc>
          <w:tcPr>
            <w:tcW w:w="32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 </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Venus, Texas</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50 Acres</w:t>
            </w:r>
          </w:p>
        </w:tc>
        <w:tc>
          <w:tcPr>
            <w:tcW w:w="386" w:type="dxa"/>
            <w:tcBorders/>
            <w:shd w:fill="CCEEFF" w:val="clear"/>
            <w:vAlign w:val="center"/>
          </w:tcPr>
          <w:p>
            <w:pPr>
              <w:pStyle w:val="TableContents"/>
              <w:bidi w:val="0"/>
              <w:spacing w:before="0" w:after="0"/>
              <w:ind w:left="0" w:right="0" w:hanging="0"/>
              <w:jc w:val="left"/>
              <w:rPr/>
            </w:pPr>
            <w:r>
              <w:rPr/>
              <w:t> </w:t>
            </w:r>
          </w:p>
        </w:tc>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2019</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c>
          <w:tcPr>
            <w:tcW w:w="32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 </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Wise County, Texas</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81.5 Acres</w:t>
            </w:r>
          </w:p>
        </w:tc>
        <w:tc>
          <w:tcPr>
            <w:tcW w:w="38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2020</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w:t>
            </w:r>
          </w:p>
        </w:tc>
        <w:tc>
          <w:tcPr>
            <w:tcW w:w="32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Bexar County, Texas</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233 Acres</w:t>
            </w:r>
          </w:p>
        </w:tc>
        <w:tc>
          <w:tcPr>
            <w:tcW w:w="386" w:type="dxa"/>
            <w:tcBorders/>
            <w:shd w:fill="CCEEFF" w:val="clear"/>
            <w:vAlign w:val="center"/>
          </w:tcPr>
          <w:p>
            <w:pPr>
              <w:pStyle w:val="TableContents"/>
              <w:bidi w:val="0"/>
              <w:spacing w:before="0" w:after="0"/>
              <w:ind w:left="0" w:right="0" w:hanging="0"/>
              <w:jc w:val="left"/>
              <w:rPr/>
            </w:pPr>
            <w:r>
              <w:rPr/>
              <w:t>​</w:t>
            </w:r>
          </w:p>
        </w:tc>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2021</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w:t>
            </w:r>
          </w:p>
        </w:tc>
        <w:tc>
          <w:tcPr>
            <w:tcW w:w="32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2,038</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Richland, Mississippi (1)</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 Acres</w:t>
            </w:r>
          </w:p>
        </w:tc>
        <w:tc>
          <w:tcPr>
            <w:tcW w:w="38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2024</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w:t>
            </w:r>
          </w:p>
        </w:tc>
        <w:tc>
          <w:tcPr>
            <w:tcW w:w="32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Beaumont, Texas (1)</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46 Acres</w:t>
            </w:r>
          </w:p>
        </w:tc>
        <w:tc>
          <w:tcPr>
            <w:tcW w:w="386" w:type="dxa"/>
            <w:tcBorders/>
            <w:shd w:fill="CCEEFF" w:val="clear"/>
            <w:vAlign w:val="center"/>
          </w:tcPr>
          <w:p>
            <w:pPr>
              <w:pStyle w:val="TableContents"/>
              <w:bidi w:val="0"/>
              <w:spacing w:before="0" w:after="0"/>
              <w:ind w:left="0" w:right="0" w:hanging="0"/>
              <w:jc w:val="left"/>
              <w:rPr/>
            </w:pPr>
            <w:r>
              <w:rPr/>
              <w:t>​</w:t>
            </w:r>
          </w:p>
        </w:tc>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2024</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6,100</w:t>
            </w:r>
          </w:p>
        </w:tc>
        <w:tc>
          <w:tcPr>
            <w:tcW w:w="326" w:type="dxa"/>
            <w:tcBorders/>
            <w:shd w:fill="CCEEFF" w:val="clear"/>
            <w:vAlign w:val="center"/>
          </w:tcPr>
          <w:p>
            <w:pPr>
              <w:pStyle w:val="TableContents"/>
              <w:bidi w:val="0"/>
              <w:spacing w:before="0" w:after="0"/>
              <w:ind w:left="0" w:right="0" w:hanging="0"/>
              <w:jc w:val="left"/>
              <w:rPr/>
            </w:pPr>
            <w:r>
              <w:rPr/>
              <w:t>​</w:t>
            </w:r>
          </w:p>
        </w:tc>
        <w:tc>
          <w:tcPr>
            <w:tcW w:w="3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6,100</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16,830</w:t>
            </w:r>
          </w:p>
        </w:tc>
        <w:tc>
          <w:tcPr>
            <w:tcW w:w="32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17,856</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34,686</w:t>
            </w:r>
          </w:p>
        </w:tc>
      </w:tr>
    </w:tbl>
    <w:p>
      <w:pPr>
        <w:pStyle w:val="TextBody"/>
        <w:bidi w:val="0"/>
        <w:spacing w:before="0" w:after="0"/>
        <w:ind w:left="0" w:right="0" w:hanging="0"/>
        <w:jc w:val="left"/>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332"/>
        <w:gridCol w:w="9873"/>
      </w:tblGrid>
      <w:tr>
        <w:trPr/>
        <w:tc>
          <w:tcPr>
            <w:tcW w:w="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 and improvement values for Richland and Beaumont properties do not include the value of Company owned homes located in these communities.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expect to provide financing solutions to owners of manufactured housing communities in a manner that includes developing new sites for products in or near urban locations where there is a shortage of sites to place our products. These solutions will be structured to give us an attractive return on investment and competitive the gross margins on the sale of homes to these new manufactured housing communities.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recently was near its highest rate in the U.S. over the last 30 years. Our ability to maintain gross margins can be impacted adversely by sudden increases in specific costs, such as increases in material and labor. In addition, measures used to combat inflation, such as increases in interest rates, could also have an impact on the ability of home buyers and community developers to obtain affordable financing. We continue to explore opportunities to minimize the impact of inflation on our future profitability.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Finally, our financial performance will be impacted by our ability to fulfill orders for our manufactured homes from dealers and customers. Our Georgia manufacturing facility has unutilized space available and, with additional investment, we can add capacity to increase the number of homes that we can manufacture in that facility. Our future levels of production will depend in part, on our ability to anticipate sales volumes and product mix, to schedule production efficiently, to maintain proper equipment and to manage levels of inventory and personnel. We actively review organic and inorganic opportunities to add production capacity in attractive regions to meet future demand. </w:t>
            </w:r>
          </w:p>
        </w:tc>
      </w:tr>
    </w:tbl>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Results of Operations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discussion should be read in conjunction with the information set forth in the financial statements and the accompanying notes appearing elsewhere in this Form 10-Q.</w:t>
      </w:r>
    </w:p>
    <w:p>
      <w:pPr>
        <w:pStyle w:val="TextBody"/>
        <w:bidi w:val="0"/>
        <w:spacing w:before="0" w:after="200"/>
        <w:ind w:left="0" w:right="0" w:firstLine="720"/>
        <w:jc w:val="left"/>
        <w:rPr/>
      </w:pPr>
      <w:r>
        <w:rPr/>
        <w:t>​</w:t>
      </w:r>
    </w:p>
    <w:p>
      <w:pPr>
        <w:pStyle w:val="TextBody"/>
        <w:bidi w:val="0"/>
        <w:spacing w:before="0" w:after="200"/>
        <w:ind w:left="720" w:right="0" w:hanging="0"/>
        <w:jc w:val="left"/>
        <w:rPr>
          <w:rFonts w:ascii="Times New Roman;Times;serif" w:hAnsi="Times New Roman;Times;serif"/>
          <w:b/>
          <w:i/>
          <w:sz w:val="20"/>
        </w:rPr>
      </w:pPr>
      <w:r>
        <w:rPr>
          <w:rFonts w:ascii="Times New Roman;Times;serif" w:hAnsi="Times New Roman;Times;serif"/>
          <w:b/>
          <w:i/>
          <w:sz w:val="20"/>
        </w:rPr>
        <w:t>Comparison of Three Months ended September 30, 2024 and 2023 (in thousands)</w:t>
      </w:r>
    </w:p>
    <w:tbl>
      <w:tblPr>
        <w:tblW w:w="8853" w:type="dxa"/>
        <w:jc w:val="left"/>
        <w:tblInd w:w="0" w:type="dxa"/>
        <w:tblLayout w:type="fixed"/>
        <w:tblCellMar>
          <w:top w:w="0" w:type="dxa"/>
          <w:left w:w="0" w:type="dxa"/>
          <w:bottom w:w="0" w:type="dxa"/>
          <w:right w:w="0" w:type="dxa"/>
        </w:tblCellMar>
      </w:tblPr>
      <w:tblGrid>
        <w:gridCol w:w="3466"/>
        <w:gridCol w:w="326"/>
        <w:gridCol w:w="211"/>
        <w:gridCol w:w="691"/>
        <w:gridCol w:w="326"/>
        <w:gridCol w:w="211"/>
        <w:gridCol w:w="691"/>
        <w:gridCol w:w="326"/>
        <w:gridCol w:w="326"/>
        <w:gridCol w:w="691"/>
        <w:gridCol w:w="326"/>
        <w:gridCol w:w="946"/>
        <w:gridCol w:w="316"/>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200910" cy="175260"/>
                      <wp:effectExtent l="0" t="0" r="0" b="0"/>
                      <wp:wrapNone/>
                      <wp:docPr id="397" name="Frame397"/>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07010" cy="175260"/>
                      <wp:effectExtent l="0" t="0" r="0" b="0"/>
                      <wp:wrapNone/>
                      <wp:docPr id="398" name="Frame3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33985" cy="175260"/>
                      <wp:effectExtent l="0" t="0" r="0" b="0"/>
                      <wp:wrapNone/>
                      <wp:docPr id="399" name="Frame3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438785" cy="175260"/>
                      <wp:effectExtent l="0" t="0" r="0" b="0"/>
                      <wp:wrapNone/>
                      <wp:docPr id="400" name="Frame40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07010" cy="175260"/>
                      <wp:effectExtent l="0" t="0" r="0" b="0"/>
                      <wp:wrapNone/>
                      <wp:docPr id="401" name="Frame4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33985" cy="175260"/>
                      <wp:effectExtent l="0" t="0" r="0" b="0"/>
                      <wp:wrapNone/>
                      <wp:docPr id="402" name="Frame4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438785" cy="175260"/>
                      <wp:effectExtent l="0" t="0" r="0" b="0"/>
                      <wp:wrapNone/>
                      <wp:docPr id="403" name="Frame40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07010" cy="175260"/>
                      <wp:effectExtent l="0" t="0" r="0" b="0"/>
                      <wp:wrapNone/>
                      <wp:docPr id="404" name="Frame4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07010" cy="175260"/>
                      <wp:effectExtent l="0" t="0" r="0" b="0"/>
                      <wp:wrapNone/>
                      <wp:docPr id="405" name="Frame4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438785" cy="175260"/>
                      <wp:effectExtent l="0" t="0" r="0" b="0"/>
                      <wp:wrapNone/>
                      <wp:docPr id="406" name="Frame40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07010" cy="175260"/>
                      <wp:effectExtent l="0" t="0" r="0" b="0"/>
                      <wp:wrapNone/>
                      <wp:docPr id="407" name="Frame4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00710" cy="175260"/>
                      <wp:effectExtent l="0" t="0" r="0" b="0"/>
                      <wp:wrapNone/>
                      <wp:docPr id="408" name="Frame408"/>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00660" cy="175260"/>
                      <wp:effectExtent l="0" t="0" r="0" b="0"/>
                      <wp:wrapNone/>
                      <wp:docPr id="409" name="Frame40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3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left"/>
              <w:rPr/>
            </w:pPr>
            <w:r>
              <w:rPr/>
              <w:t> </w:t>
            </w:r>
          </w:p>
        </w:tc>
      </w:tr>
      <w:tr>
        <w:trPr/>
        <w:tc>
          <w:tcPr>
            <w:tcW w:w="34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w:t>
            </w:r>
          </w:p>
        </w:tc>
      </w:tr>
      <w:tr>
        <w:trPr/>
        <w:tc>
          <w:tcPr>
            <w:tcW w:w="34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0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left"/>
              <w:rPr/>
            </w:pPr>
            <w:r>
              <w:rPr/>
              <w:t> </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30,169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37,008</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(6,839)</w:t>
            </w:r>
          </w:p>
        </w:tc>
        <w:tc>
          <w:tcPr>
            <w:tcW w:w="32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Consumer, MHP and dealer loans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8,803</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1,527</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4,126</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w:t>
            </w:r>
          </w:p>
        </w:tc>
        <w:tc>
          <w:tcPr>
            <w:tcW w:w="326" w:type="dxa"/>
            <w:tcBorders/>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net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44,266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49,937</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(5,671)</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24,820</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(3,456)</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other sales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1,988</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N/A</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administrative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6,065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6,108</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Dealer incentive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(470)</w:t>
            </w:r>
          </w:p>
        </w:tc>
        <w:tc>
          <w:tcPr>
            <w:tcW w:w="326" w:type="dxa"/>
            <w:tcBorders/>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9,400.0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30,923</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(1,981)</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15,324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19,014</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(3,690)</w:t>
            </w:r>
          </w:p>
        </w:tc>
        <w:tc>
          <w:tcPr>
            <w:tcW w:w="32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w:t>
              <w:noBreakHyphen/>
              <w:t>operating interest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794</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(811)</w:t>
            </w:r>
          </w:p>
        </w:tc>
        <w:tc>
          <w:tcPr>
            <w:tcW w:w="32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Miscellaneous,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4,230</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(11,432.4)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w:t>
            </w:r>
          </w:p>
        </w:tc>
        <w:tc>
          <w:tcPr>
            <w:tcW w:w="326" w:type="dxa"/>
            <w:tcBorders/>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3,547</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781.3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19,468</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32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(3,380)</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15,803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16,088</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w:t>
            </w:r>
          </w:p>
        </w:tc>
        <w:tc>
          <w:tcPr>
            <w:tcW w:w="326" w:type="dxa"/>
            <w:tcBorders/>
            <w:vAlign w:val="center"/>
          </w:tcPr>
          <w:p>
            <w:pPr>
              <w:pStyle w:val="TableContents"/>
              <w:bidi w:val="0"/>
              <w:spacing w:before="0" w:after="1"/>
              <w:ind w:left="0" w:right="0" w:hanging="0"/>
              <w:jc w:val="left"/>
              <w:rPr/>
            </w:pPr>
            <w:r>
              <w:rPr/>
              <w:t> </w:t>
            </w:r>
          </w:p>
        </w:tc>
        <w:tc>
          <w:tcPr>
            <w:tcW w:w="9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00"/>
        <w:ind w:left="0" w:right="0" w:firstLine="72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Product sales primarily consist of direct sales, commercial sales, inventory finance sales and retail store sales. Product sales decreased $6.8 million, or 18.5%, during the three months ended September 30, 2024 as compared to the same period in 2023. This decrease was driven by a decrease in unit volumes shipped, primarily in direct sales, mobile home park sales and inventory finance sales categories.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Net revenue attributable to our factory-built housing consisted of the following during the three months ended September 30, 2024 and 2023:</w:t>
      </w:r>
    </w:p>
    <w:tbl>
      <w:tblPr>
        <w:tblW w:w="7328" w:type="dxa"/>
        <w:jc w:val="left"/>
        <w:tblInd w:w="0" w:type="dxa"/>
        <w:tblLayout w:type="fixed"/>
        <w:tblCellMar>
          <w:top w:w="0" w:type="dxa"/>
          <w:left w:w="0" w:type="dxa"/>
          <w:bottom w:w="0" w:type="dxa"/>
          <w:right w:w="0" w:type="dxa"/>
        </w:tblCellMar>
      </w:tblPr>
      <w:tblGrid>
        <w:gridCol w:w="2161"/>
        <w:gridCol w:w="326"/>
        <w:gridCol w:w="211"/>
        <w:gridCol w:w="676"/>
        <w:gridCol w:w="326"/>
        <w:gridCol w:w="211"/>
        <w:gridCol w:w="676"/>
        <w:gridCol w:w="326"/>
        <w:gridCol w:w="211"/>
        <w:gridCol w:w="691"/>
        <w:gridCol w:w="326"/>
        <w:gridCol w:w="871"/>
        <w:gridCol w:w="31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372235" cy="175260"/>
                      <wp:effectExtent l="0" t="0" r="0" b="0"/>
                      <wp:wrapNone/>
                      <wp:docPr id="410" name="Frame410"/>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07010" cy="175260"/>
                      <wp:effectExtent l="0" t="0" r="0" b="0"/>
                      <wp:wrapNone/>
                      <wp:docPr id="411" name="Frame4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33985" cy="175260"/>
                      <wp:effectExtent l="0" t="0" r="0" b="0"/>
                      <wp:wrapNone/>
                      <wp:docPr id="412" name="Frame4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429260" cy="175260"/>
                      <wp:effectExtent l="0" t="0" r="0" b="0"/>
                      <wp:wrapNone/>
                      <wp:docPr id="413" name="Frame41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07010" cy="175260"/>
                      <wp:effectExtent l="0" t="0" r="0" b="0"/>
                      <wp:wrapNone/>
                      <wp:docPr id="414" name="Frame4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33985" cy="175260"/>
                      <wp:effectExtent l="0" t="0" r="0" b="0"/>
                      <wp:wrapNone/>
                      <wp:docPr id="415" name="Frame4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429260" cy="175260"/>
                      <wp:effectExtent l="0" t="0" r="0" b="0"/>
                      <wp:wrapNone/>
                      <wp:docPr id="416" name="Frame41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07010" cy="175260"/>
                      <wp:effectExtent l="0" t="0" r="0" b="0"/>
                      <wp:wrapNone/>
                      <wp:docPr id="417" name="Frame4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33985" cy="175260"/>
                      <wp:effectExtent l="0" t="0" r="0" b="0"/>
                      <wp:wrapNone/>
                      <wp:docPr id="418" name="Frame4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438785" cy="175260"/>
                      <wp:effectExtent l="0" t="0" r="0" b="0"/>
                      <wp:wrapNone/>
                      <wp:docPr id="419" name="Frame41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07010" cy="175260"/>
                      <wp:effectExtent l="0" t="0" r="0" b="0"/>
                      <wp:wrapNone/>
                      <wp:docPr id="420" name="Frame4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553085" cy="175260"/>
                      <wp:effectExtent l="0" t="0" r="0" b="0"/>
                      <wp:wrapNone/>
                      <wp:docPr id="421" name="Frame42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00660" cy="175260"/>
                      <wp:effectExtent l="0" t="0" r="0" b="0"/>
                      <wp:wrapNone/>
                      <wp:docPr id="422" name="Frame42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10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left"/>
              <w:rPr/>
            </w:pPr>
            <w:r>
              <w:rPr/>
              <w:t> </w:t>
            </w:r>
          </w:p>
        </w:tc>
      </w:tr>
      <w:tr>
        <w:trPr/>
        <w:tc>
          <w:tcPr>
            <w:tcW w:w="21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0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1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21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left"/>
              <w:rPr/>
            </w:pPr>
            <w:r>
              <w:rPr/>
              <w:t> </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30,169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37,008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(6,839)</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units sold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revenue per unit sold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September 30, 2024, our net revenue per product sold did not change significantly as compared to the three months ended September 30, 2023. We had decreases in direct sales, commercial sales, inventory finance sales and other product sales, partially offset by an increase in retail store sales. Direct sales decreased $0.5 million, or 19.7% during the three months ended September 30, 2024 as compared to the same period in 2023. Commercial sales decreased $1.6 million, or 11.2% during the three months ended September 30, 2024 as compared to the same period in 2023. Inventory finance sales to dealers decreased $4.7 million, or 37.8% during the three months ended September 30, 2024 as compared to the same period in 2023. Retail store sales increased $0.3 million, or 4.8% during the three months ended September 30, 2024 as compared to the same period in 2023. Our revenue has decreased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primarily due to a lower volume of shipments, a shift in product mix generally to smaller units and a slowdown in our dealer and mobile home park sales. Our current business is dependent on dealer sales, as reflected in direct sales and inventory finance sales, and our sales have slowed due to high levels of inventory on dealer lots. Our retail sales have improved as we have focused on the performance of our company owned stores. Our mobile home park business has been impacted by higher interest rates, and transaction volumes and new development have declined.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Consumer, MHP and dealer loans interest income increased $1.5 million, or 17.3%, during the three months ended September 30, 2024 as compared to the same period in 2023 due to growth in our loan portfolios. Between September 30, 2024 and September 30, 2023 our consumer loan portfolio increased by $15.6 million, our MHP loan portfolio increased by $22.0 million, and our dealer finance notes decreased by $0.7 million.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Other revenue primarily consists of contract deposit forfeitures, consignment fees, commercial lease rents, land sales, service fees and other miscellaneous income and decreased $0.4 million, or 8.7%, during the three months ended September 30, 2024 as compared to the same period in 2023. This decrease was primarily due to a $2.4 million decrease in forfeited deposits and a $1.0 million decrease in dealer finance fees, partially offset by a $2.7 million increase in land sales and a $0.3 million increase in other miscellaneous revenue.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cost of product sales decreased $3.5 million, or 13.9%, during the three months ended September 30, 2024 as compared to the same period in 2023. The decrease in costs is primarily related to the decrease in units sold. The cost of other sales increased $2.0 million during the three months ended September 30, 2024 as compared to the same period in 2023. The increase in costs is due to the sale of land.</w:t>
      </w:r>
    </w:p>
    <w:p>
      <w:pPr>
        <w:pStyle w:val="TextBody"/>
        <w:bidi w:val="0"/>
        <w:spacing w:before="0" w:after="200"/>
        <w:ind w:left="0" w:right="0" w:firstLine="792"/>
        <w:jc w:val="left"/>
        <w:rPr>
          <w:rFonts w:ascii="Times New Roman;Times;serif" w:hAnsi="Times New Roman;Times;serif"/>
          <w:sz w:val="20"/>
        </w:rPr>
      </w:pPr>
      <w:r>
        <w:rPr>
          <w:rFonts w:ascii="Times New Roman;Times;serif" w:hAnsi="Times New Roman;Times;serif"/>
          <w:sz w:val="20"/>
        </w:rPr>
        <w:t xml:space="preserve">Selling, general and administrative expenses during the three months ended September 30, 2024 remained flat compared to the same period in 2023. We had a $0.6 million increase in payroll and healthcare expense, a $0.2 million increase in marketing expense, a $0.1 million increase in other miscellaneous expense offset by a $0.3 million decrease in warranty expense, a $0.2 million decrease in loan loss provision and a $0.2 million decrease in bad debt expense and a $0.2 million decrease in professional fees. </w:t>
      </w:r>
    </w:p>
    <w:p>
      <w:pPr>
        <w:pStyle w:val="TextBody"/>
        <w:bidi w:val="0"/>
        <w:spacing w:before="0" w:after="200"/>
        <w:ind w:left="0" w:right="0" w:firstLine="792"/>
        <w:jc w:val="left"/>
        <w:rPr>
          <w:rFonts w:ascii="Times New Roman;Times;serif" w:hAnsi="Times New Roman;Times;serif"/>
          <w:sz w:val="20"/>
        </w:rPr>
      </w:pPr>
      <w:r>
        <w:rPr>
          <w:rFonts w:ascii="Times New Roman;Times;serif" w:hAnsi="Times New Roman;Times;serif"/>
          <w:sz w:val="20"/>
        </w:rPr>
        <w:t>Dealer incentive expense decreased $0.5 million during the three months ended September 30, 2024 as compared to the same period in 2023.</w:t>
      </w:r>
    </w:p>
    <w:p>
      <w:pPr>
        <w:pStyle w:val="TextBody"/>
        <w:bidi w:val="0"/>
        <w:spacing w:before="0" w:after="200"/>
        <w:ind w:left="0" w:right="0" w:firstLine="792"/>
        <w:jc w:val="left"/>
        <w:rPr>
          <w:rFonts w:ascii="Times New Roman;Times;serif" w:hAnsi="Times New Roman;Times;serif"/>
          <w:sz w:val="20"/>
        </w:rPr>
      </w:pPr>
      <w:r>
        <w:rPr>
          <w:rFonts w:ascii="Times New Roman;Times;serif" w:hAnsi="Times New Roman;Times;serif"/>
          <w:sz w:val="20"/>
        </w:rPr>
        <w:t>Other income (expense) increased $3.5 million, or 781.3%, during the three months ended September 30, 2024 as compared to the same period in 2023. We had (i) a decrease of $0.8 million decrease in Non-operating interest income primarily as a result of the Settlement Agreement described in Note 4, Notes Receivable from Mobile Home Parks, in these Notes to Condensed Financial Statements (Unaudited) for the quarter ended September 30, 2024, (ii) an increase of $3.9 million in income in Miscellaneous, net also primarily as a result of the Settlement Agreement above, (iii) an increase of $0.4 million in income Miscellaneous, net due to a gain on conversion of inventory finance loans, (iv) a decrease of $0.1 million in Interest expense and (v) an increase of $0.1 million in expense in Miscellaneous, net related to other expenses.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Income tax increased $0.1 million during the three months ended September 30, 2024 as compared to the same period in 2023. The effective tax rate for the three months ended September 30, 2024 and 2023 was 18.2% and 17.4%, respectively, and differs from the federal statutory rate of 21% primarily due to a federal tax credit for energy efficient construction, partially offset by state income taxes.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720" w:right="0" w:hanging="0"/>
        <w:jc w:val="left"/>
        <w:rPr>
          <w:rFonts w:ascii="Times New Roman;Times;serif" w:hAnsi="Times New Roman;Times;serif"/>
          <w:b/>
          <w:i/>
          <w:sz w:val="20"/>
        </w:rPr>
      </w:pPr>
      <w:r>
        <w:rPr>
          <w:rFonts w:ascii="Times New Roman;Times;serif" w:hAnsi="Times New Roman;Times;serif"/>
          <w:b/>
          <w:i/>
          <w:sz w:val="20"/>
        </w:rPr>
        <w:t>Comparison of Nine Months ended September 30, 2024 and 2023 (in thousands)</w:t>
      </w:r>
    </w:p>
    <w:tbl>
      <w:tblPr>
        <w:tblW w:w="9048" w:type="dxa"/>
        <w:jc w:val="left"/>
        <w:tblInd w:w="0" w:type="dxa"/>
        <w:tblLayout w:type="fixed"/>
        <w:tblCellMar>
          <w:top w:w="0" w:type="dxa"/>
          <w:left w:w="0" w:type="dxa"/>
          <w:bottom w:w="0" w:type="dxa"/>
          <w:right w:w="0" w:type="dxa"/>
        </w:tblCellMar>
      </w:tblPr>
      <w:tblGrid>
        <w:gridCol w:w="3466"/>
        <w:gridCol w:w="326"/>
        <w:gridCol w:w="211"/>
        <w:gridCol w:w="796"/>
        <w:gridCol w:w="326"/>
        <w:gridCol w:w="211"/>
        <w:gridCol w:w="781"/>
        <w:gridCol w:w="326"/>
        <w:gridCol w:w="326"/>
        <w:gridCol w:w="796"/>
        <w:gridCol w:w="326"/>
        <w:gridCol w:w="841"/>
        <w:gridCol w:w="316"/>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200910" cy="175260"/>
                      <wp:effectExtent l="0" t="0" r="0" b="0"/>
                      <wp:wrapNone/>
                      <wp:docPr id="423" name="Frame423"/>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07010" cy="175260"/>
                      <wp:effectExtent l="0" t="0" r="0" b="0"/>
                      <wp:wrapNone/>
                      <wp:docPr id="424" name="Frame4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33985" cy="175260"/>
                      <wp:effectExtent l="0" t="0" r="0" b="0"/>
                      <wp:wrapNone/>
                      <wp:docPr id="425" name="Frame4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505460" cy="175260"/>
                      <wp:effectExtent l="0" t="0" r="0" b="0"/>
                      <wp:wrapNone/>
                      <wp:docPr id="426" name="Frame42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07010" cy="175260"/>
                      <wp:effectExtent l="0" t="0" r="0" b="0"/>
                      <wp:wrapNone/>
                      <wp:docPr id="427" name="Frame4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33985" cy="175260"/>
                      <wp:effectExtent l="0" t="0" r="0" b="0"/>
                      <wp:wrapNone/>
                      <wp:docPr id="428" name="Frame4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495935" cy="175260"/>
                      <wp:effectExtent l="0" t="0" r="0" b="0"/>
                      <wp:wrapNone/>
                      <wp:docPr id="429" name="Frame4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07010" cy="175260"/>
                      <wp:effectExtent l="0" t="0" r="0" b="0"/>
                      <wp:wrapNone/>
                      <wp:docPr id="430" name="Frame4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07010" cy="175260"/>
                      <wp:effectExtent l="0" t="0" r="0" b="0"/>
                      <wp:wrapNone/>
                      <wp:docPr id="431" name="Frame4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505460" cy="175260"/>
                      <wp:effectExtent l="0" t="0" r="0" b="0"/>
                      <wp:wrapNone/>
                      <wp:docPr id="432" name="Frame43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07010" cy="175260"/>
                      <wp:effectExtent l="0" t="0" r="0" b="0"/>
                      <wp:wrapNone/>
                      <wp:docPr id="433" name="Frame4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534035" cy="175260"/>
                      <wp:effectExtent l="0" t="0" r="0" b="0"/>
                      <wp:wrapNone/>
                      <wp:docPr id="434" name="Frame43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00660" cy="175260"/>
                      <wp:effectExtent l="0" t="0" r="0" b="0"/>
                      <wp:wrapNone/>
                      <wp:docPr id="435" name="Frame43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2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left"/>
              <w:rPr/>
            </w:pPr>
            <w:r>
              <w:rPr/>
              <w:t> </w:t>
            </w:r>
          </w:p>
        </w:tc>
      </w:tr>
      <w:tr>
        <w:trPr/>
        <w:tc>
          <w:tcPr>
            <w:tcW w:w="34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w:t>
            </w:r>
          </w:p>
        </w:tc>
      </w:tr>
      <w:tr>
        <w:trPr/>
        <w:tc>
          <w:tcPr>
            <w:tcW w:w="34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1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left"/>
              <w:rPr/>
            </w:pPr>
            <w:r>
              <w:rPr/>
              <w:t> </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92,653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122,505</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(29,852)</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Consumer, MHP and dealer loans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24,996</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5,811</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6,544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7,929</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(1,385)</w:t>
            </w:r>
          </w:p>
        </w:tc>
        <w:tc>
          <w:tcPr>
            <w:tcW w:w="32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net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130,004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155,430</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(25,426)</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63,389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83,490</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(20,101)</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other sales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1,988</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N/A</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administrative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17,046</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Dealer incentive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(1,032)</w:t>
            </w:r>
          </w:p>
        </w:tc>
        <w:tc>
          <w:tcPr>
            <w:tcW w:w="32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(3,822.2)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81,900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100,563</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(18,663)</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48,104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54,867</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(6,763)</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w:t>
              <w:noBreakHyphen/>
              <w:t>operating interest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2,115</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Miscellaneous,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7,945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875</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7,070</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808.0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32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2,402</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7,127</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57,633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57,269</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(10,502)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(9,885)</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(617)</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47,131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47,384</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w:t>
            </w:r>
          </w:p>
        </w:tc>
        <w:tc>
          <w:tcPr>
            <w:tcW w:w="326" w:type="dxa"/>
            <w:tcBorders/>
            <w:vAlign w:val="center"/>
          </w:tcPr>
          <w:p>
            <w:pPr>
              <w:pStyle w:val="TableContents"/>
              <w:bidi w:val="0"/>
              <w:spacing w:before="0" w:after="1"/>
              <w:ind w:left="0" w:right="0" w:hanging="0"/>
              <w:jc w:val="left"/>
              <w:rPr/>
            </w:pPr>
            <w:r>
              <w:rPr/>
              <w:t> </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00"/>
        <w:ind w:left="0" w:right="0" w:firstLine="72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Product sales primarily consist of direct sales, commercial sales, inventory finance sales and retail store sales. Product sales decreased $29.9 million, or 24.4%, during the nine months ended September 30, 2024 as compared to the same period in 2023. This decrease was driven by a decrease in unit volumes shipped, primarily in direct sales, mobile home park sales and inventory finance sales categories.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Net revenue attributable to our factory-built housing consisted of the following during nine months ended September 30, 2024 and 2023:</w:t>
      </w:r>
    </w:p>
    <w:tbl>
      <w:tblPr>
        <w:tblW w:w="7538" w:type="dxa"/>
        <w:jc w:val="left"/>
        <w:tblInd w:w="0" w:type="dxa"/>
        <w:tblLayout w:type="fixed"/>
        <w:tblCellMar>
          <w:top w:w="0" w:type="dxa"/>
          <w:left w:w="0" w:type="dxa"/>
          <w:bottom w:w="0" w:type="dxa"/>
          <w:right w:w="0" w:type="dxa"/>
        </w:tblCellMar>
      </w:tblPr>
      <w:tblGrid>
        <w:gridCol w:w="2161"/>
        <w:gridCol w:w="326"/>
        <w:gridCol w:w="211"/>
        <w:gridCol w:w="676"/>
        <w:gridCol w:w="326"/>
        <w:gridCol w:w="211"/>
        <w:gridCol w:w="781"/>
        <w:gridCol w:w="326"/>
        <w:gridCol w:w="211"/>
        <w:gridCol w:w="796"/>
        <w:gridCol w:w="326"/>
        <w:gridCol w:w="871"/>
        <w:gridCol w:w="31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372235" cy="175260"/>
                      <wp:effectExtent l="0" t="0" r="0" b="0"/>
                      <wp:wrapNone/>
                      <wp:docPr id="436" name="Frame436"/>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07010" cy="175260"/>
                      <wp:effectExtent l="0" t="0" r="0" b="0"/>
                      <wp:wrapNone/>
                      <wp:docPr id="437" name="Frame4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33985" cy="175260"/>
                      <wp:effectExtent l="0" t="0" r="0" b="0"/>
                      <wp:wrapNone/>
                      <wp:docPr id="438" name="Frame4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429260" cy="175260"/>
                      <wp:effectExtent l="0" t="0" r="0" b="0"/>
                      <wp:wrapNone/>
                      <wp:docPr id="439" name="Frame43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07010" cy="175260"/>
                      <wp:effectExtent l="0" t="0" r="0" b="0"/>
                      <wp:wrapNone/>
                      <wp:docPr id="440" name="Frame4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33985" cy="175260"/>
                      <wp:effectExtent l="0" t="0" r="0" b="0"/>
                      <wp:wrapNone/>
                      <wp:docPr id="441" name="Frame4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495935" cy="175260"/>
                      <wp:effectExtent l="0" t="0" r="0" b="0"/>
                      <wp:wrapNone/>
                      <wp:docPr id="442" name="Frame44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07010" cy="175260"/>
                      <wp:effectExtent l="0" t="0" r="0" b="0"/>
                      <wp:wrapNone/>
                      <wp:docPr id="443" name="Frame4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33985" cy="175260"/>
                      <wp:effectExtent l="0" t="0" r="0" b="0"/>
                      <wp:wrapNone/>
                      <wp:docPr id="444" name="Frame4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505460" cy="175260"/>
                      <wp:effectExtent l="0" t="0" r="0" b="0"/>
                      <wp:wrapNone/>
                      <wp:docPr id="445" name="Frame44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07010" cy="175260"/>
                      <wp:effectExtent l="0" t="0" r="0" b="0"/>
                      <wp:wrapNone/>
                      <wp:docPr id="446" name="Frame4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553085" cy="175260"/>
                      <wp:effectExtent l="0" t="0" r="0" b="0"/>
                      <wp:wrapNone/>
                      <wp:docPr id="447" name="Frame447"/>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00660" cy="175260"/>
                      <wp:effectExtent l="0" t="0" r="0" b="0"/>
                      <wp:wrapNone/>
                      <wp:docPr id="448" name="Frame44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20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left"/>
              <w:rPr/>
            </w:pPr>
            <w:r>
              <w:rPr/>
              <w:t> </w:t>
            </w:r>
          </w:p>
        </w:tc>
      </w:tr>
      <w:tr>
        <w:trPr/>
        <w:tc>
          <w:tcPr>
            <w:tcW w:w="21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0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1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in thousands)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21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left"/>
              <w:rPr/>
            </w:pPr>
            <w:r>
              <w:rPr/>
              <w:t> </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92,653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122,505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(29,852)</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units sold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revenue per unit sold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 the nine months ended September 30, 2024, our net revenue per product sold decreased primarily due to a shift in product mix to smaller units and to a large sale of homes in the first quarter of 2024 from our leased home portfolio to a mobile home park customer at a lower than average price than our typical new home. We had decreases in direct sales, commercial sales and inventory finance sales, partially offset by an increase in retail store sales. Direct sales decreased $6.5 million, or 47.4% during the nine months ended September 30, 2024 as compared to the same period in 2023. Commercial sales decreased $8.2 million, or 18.0% during the nine months ended September 30, 2024 as compared to the same period in 2023. Inventory finance sales to dealers decreased $16.4 million, or 39.2% during the nine months ended September 30, 2024 as compared to the same period in 2023. Retail store sales increased $1.2 million, or 9.1% during the nine months ended September 30, 2024 as compared to the same period in 2023. Our revenue has decreased primarily due to a lower volume of shipments, a shift in product mix generally to smaller units and a slowdown in our dealer and mobile home park sales. Our current business is dependent on dealer sales, as reflected in direct sales and inventory finance sales, and our sales have slowed due to high levels of inventory on dealer lots and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seasonality. Our retail sales have improved as we have focused on the performance of our company owned stores. Our mobile home park business has been impacted by higher interest rates, and transaction volumes and new development have declined.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Consumer, MHP and dealer loans interest income increased $5.8 million, or 23.2%, during the nine months ended September 30, 2024 as compared to the same period in 2023 due to growth in our loan portfolios. Between September 30, 2024 and September 30, 2023 our consumer loan portfolio increased by $15.6 million, our MHP loan portfolio increased by $22.0 million, and our dealer finance notes decreased by $0.7 million.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Other revenue primarily consists of contract deposit forfeitures, consignment fees, commercial lease rents, land sales, service fees and other miscellaneous income and decreased $1.4 million, or 17.5%, during the nine months ended September 30, 2024 as compared to the same period in 2023. This decrease was primarily due to a $2.9 million decrease in dealer finance fees, a $1.3 million decrease in forfeited deposits, partially offset by a $2.7 million increase in land sales and a $0.1 million increase in other miscellaneous revenue.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cost of product sales decreased $20.1 million, or 24.1%, during the nine months ended September 30, 2024 as compared to the same period in 2023. The decrease in costs is primarily related to the decrease in units sold. The cost of other sales increased $2.0 million during the nine months ended September 30, 2024 as compared to the same period in 2023. The increase in costs is due to the sale of land.</w:t>
      </w:r>
    </w:p>
    <w:p>
      <w:pPr>
        <w:pStyle w:val="TextBody"/>
        <w:bidi w:val="0"/>
        <w:spacing w:before="0" w:after="200"/>
        <w:ind w:left="0" w:right="0" w:firstLine="792"/>
        <w:jc w:val="left"/>
        <w:rPr>
          <w:rFonts w:ascii="Times New Roman;Times;serif" w:hAnsi="Times New Roman;Times;serif"/>
          <w:sz w:val="20"/>
        </w:rPr>
      </w:pPr>
      <w:r>
        <w:rPr>
          <w:rFonts w:ascii="Times New Roman;Times;serif" w:hAnsi="Times New Roman;Times;serif"/>
          <w:sz w:val="20"/>
        </w:rPr>
        <w:t xml:space="preserve">Selling, general and administrative expenses increased $0.5 million, or 2.8%, during the nine months ended September 30, 2024 as compared to the same period in 2023. This increase was primarily due to a $0.4 million increase in legal expense, a $0.4 million increase in property tax expense, a $0.4 million increase in marketing expense, a $0.1 million increase in payroll and related expense, and a net $0.4 million increase in other miscellaneous expense partially offset by a $1.0 million decrease in warranty costs and a $0.2 million decrease in loan loss provision. </w:t>
      </w:r>
    </w:p>
    <w:p>
      <w:pPr>
        <w:pStyle w:val="TextBody"/>
        <w:bidi w:val="0"/>
        <w:spacing w:before="0" w:after="200"/>
        <w:ind w:left="0" w:right="0" w:firstLine="792"/>
        <w:jc w:val="left"/>
        <w:rPr>
          <w:rFonts w:ascii="Times New Roman;Times;serif" w:hAnsi="Times New Roman;Times;serif"/>
          <w:sz w:val="20"/>
        </w:rPr>
      </w:pPr>
      <w:r>
        <w:rPr>
          <w:rFonts w:ascii="Times New Roman;Times;serif" w:hAnsi="Times New Roman;Times;serif"/>
          <w:sz w:val="20"/>
        </w:rPr>
        <w:t>Dealer incentive expense decreased $1.0 million during the nine months ended September 30, 2024 as compared to the same period in 2023.</w:t>
      </w:r>
    </w:p>
    <w:p>
      <w:pPr>
        <w:pStyle w:val="TextBody"/>
        <w:bidi w:val="0"/>
        <w:spacing w:before="0" w:after="200"/>
        <w:ind w:left="0" w:right="0" w:firstLine="792"/>
        <w:jc w:val="left"/>
        <w:rPr>
          <w:rFonts w:ascii="Times New Roman;Times;serif" w:hAnsi="Times New Roman;Times;serif"/>
          <w:sz w:val="20"/>
        </w:rPr>
      </w:pPr>
      <w:r>
        <w:rPr>
          <w:rFonts w:ascii="Times New Roman;Times;serif" w:hAnsi="Times New Roman;Times;serif"/>
          <w:sz w:val="20"/>
        </w:rPr>
        <w:t>Other income (expense) increased $7.1 million, or 296.7%, during the nine months ended September 30, 2024 as compared to the same period in 2023. We had (i) $0.2 million increase in Non-operating interest income, (ii) a $0.8 million increase in income in Miscellaneous, net as a result of a gain on the sales of real property, (iii) a $1.3 million increase in income in Miscellaneous, net due to a reversal of accrued liabilities, (iv) an increase of $1.1 million in income Miscellaneous, net due to a gain on conversion of inventory finance loans, (v) $0.1 million increase in Interest expense and (vi) a $3.8 million net increase in income in Miscellaneous, net partially as a result of the Settlement Agreement described above,.</w:t>
      </w:r>
    </w:p>
    <w:p>
      <w:pPr>
        <w:pStyle w:val="TextBody"/>
        <w:bidi w:val="0"/>
        <w:spacing w:before="0" w:after="200"/>
        <w:ind w:left="0" w:right="0" w:firstLine="792"/>
        <w:jc w:val="left"/>
        <w:rPr>
          <w:rFonts w:ascii="Times New Roman;Times;serif" w:hAnsi="Times New Roman;Times;serif"/>
          <w:sz w:val="20"/>
        </w:rPr>
      </w:pPr>
      <w:r>
        <w:rPr>
          <w:rFonts w:ascii="Times New Roman;Times;serif" w:hAnsi="Times New Roman;Times;serif"/>
          <w:sz w:val="20"/>
        </w:rPr>
        <w:t>Income tax increased $0.6 million during the nine months ended September 30, 2024 as compared to the same period in 2023. The effective tax rate for the nine months ended September 30, 2024 and 2023 was 18.2% and 17.3%, respectively, and differs from the federal statutory rate of 21% primarily due to a federal tax credit for energy efficient construction, partially offset by state income taxes.</w:t>
      </w:r>
    </w:p>
    <w:p>
      <w:pPr>
        <w:pStyle w:val="TextBody"/>
        <w:bidi w:val="0"/>
        <w:spacing w:before="0" w:after="0"/>
        <w:ind w:left="0" w:right="0" w:hanging="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180"/>
        <w:ind w:left="720" w:right="0" w:hanging="0"/>
        <w:jc w:val="left"/>
        <w:rPr>
          <w:rFonts w:ascii="Times New Roman;Times;serif" w:hAnsi="Times New Roman;Times;serif"/>
          <w:b/>
          <w:sz w:val="20"/>
        </w:rPr>
      </w:pPr>
      <w:r>
        <w:rPr>
          <w:rFonts w:ascii="Times New Roman;Times;serif" w:hAnsi="Times New Roman;Times;serif"/>
          <w:b/>
          <w:sz w:val="20"/>
        </w:rPr>
        <w:t>Liquidity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believe that cash flow from operations and cash at September 30, 2024, and availability on our lines of credit will be sufficient to fund our operations and provide for growth for the next 12 to 18 months and into the foreseeable future. On July 28, 2023, we terminated our credit agreement with Capital One, N.A. and entered into a new credit agreement with Prosperity Bank that expanded and extended our credit availability (see </w:t>
      </w:r>
      <w:r>
        <w:rPr>
          <w:rFonts w:ascii="Times New Roman;Times;serif" w:hAnsi="Times New Roman;Times;serif"/>
          <w:b/>
          <w:i/>
          <w:sz w:val="20"/>
        </w:rPr>
        <w:t>Lines of Credit</w:t>
      </w:r>
      <w:r>
        <w:rPr>
          <w:rFonts w:ascii="Times New Roman;Times;serif" w:hAnsi="Times New Roman;Times;serif"/>
          <w:sz w:val="20"/>
        </w:rPr>
        <w:t xml:space="preserve">, below). </w:t>
      </w:r>
    </w:p>
    <w:p>
      <w:pPr>
        <w:pStyle w:val="TextBody"/>
        <w:bidi w:val="0"/>
        <w:spacing w:before="0" w:after="200"/>
        <w:ind w:left="0" w:right="0" w:firstLine="720"/>
        <w:jc w:val="left"/>
        <w:rPr/>
      </w:pPr>
      <w:r>
        <w:rPr/>
        <w:t>​</w:t>
      </w:r>
    </w:p>
    <w:p>
      <w:pPr>
        <w:pStyle w:val="TextBody"/>
        <w:bidi w:val="0"/>
        <w:spacing w:before="0" w:after="180"/>
        <w:ind w:left="720" w:right="0" w:hanging="0"/>
        <w:jc w:val="left"/>
        <w:rPr>
          <w:rFonts w:ascii="Times New Roman;Times;serif" w:hAnsi="Times New Roman;Times;serif"/>
          <w:b/>
          <w:sz w:val="20"/>
        </w:rPr>
      </w:pPr>
      <w:r>
        <w:rPr>
          <w:rFonts w:ascii="Times New Roman;Times;serif" w:hAnsi="Times New Roman;Times;serif"/>
          <w:b/>
          <w:sz w:val="20"/>
        </w:rPr>
        <w:t>Cash</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maintain cash balances in bank accounts that may, at times, exceed federally insured limits. We have not incurred any losses from such accounts, and management considers the risk of loss to be minimal. As of September 30, 2024, we had approximately $0.6 million in cash, compared to $0.7 million as of December 31, 2023. We consider all cash and highly liquid investments with an original maturity of three months or less to be cash equivalents.</w:t>
      </w:r>
    </w:p>
    <w:p>
      <w:pPr>
        <w:pStyle w:val="TextBody"/>
        <w:bidi w:val="0"/>
        <w:spacing w:before="0" w:after="200"/>
        <w:ind w:left="0" w:right="0" w:firstLine="720"/>
        <w:jc w:val="left"/>
        <w:rPr/>
      </w:pPr>
      <w:r>
        <w:rPr/>
        <w:t>​</w:t>
      </w:r>
    </w:p>
    <w:p>
      <w:pPr>
        <w:pStyle w:val="TextBody"/>
        <w:bidi w:val="0"/>
        <w:spacing w:before="0" w:after="160"/>
        <w:ind w:left="720" w:right="0" w:hanging="0"/>
        <w:jc w:val="left"/>
        <w:rPr>
          <w:rFonts w:ascii="Times New Roman;Times;serif" w:hAnsi="Times New Roman;Times;serif"/>
          <w:b/>
          <w:i/>
          <w:sz w:val="20"/>
        </w:rPr>
      </w:pPr>
      <w:r>
        <w:rPr>
          <w:rFonts w:ascii="Times New Roman;Times;serif" w:hAnsi="Times New Roman;Times;serif"/>
          <w:b/>
          <w:i/>
          <w:sz w:val="20"/>
        </w:rPr>
        <w:t xml:space="preserve">Cash Flow Activities </w:t>
      </w:r>
    </w:p>
    <w:tbl>
      <w:tblPr>
        <w:tblW w:w="6822" w:type="dxa"/>
        <w:jc w:val="left"/>
        <w:tblInd w:w="0" w:type="dxa"/>
        <w:tblLayout w:type="fixed"/>
        <w:tblCellMar>
          <w:top w:w="0" w:type="dxa"/>
          <w:left w:w="0" w:type="dxa"/>
          <w:bottom w:w="0" w:type="dxa"/>
          <w:right w:w="0" w:type="dxa"/>
        </w:tblCellMar>
      </w:tblPr>
      <w:tblGrid>
        <w:gridCol w:w="4216"/>
        <w:gridCol w:w="326"/>
        <w:gridCol w:w="211"/>
        <w:gridCol w:w="796"/>
        <w:gridCol w:w="326"/>
        <w:gridCol w:w="211"/>
        <w:gridCol w:w="736"/>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677160" cy="175260"/>
                      <wp:effectExtent l="0" t="0" r="0" b="0"/>
                      <wp:wrapNone/>
                      <wp:docPr id="449" name="Frame449"/>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07010" cy="175260"/>
                      <wp:effectExtent l="0" t="0" r="0" b="0"/>
                      <wp:wrapNone/>
                      <wp:docPr id="450" name="Frame4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33985" cy="175260"/>
                      <wp:effectExtent l="0" t="0" r="0" b="0"/>
                      <wp:wrapNone/>
                      <wp:docPr id="451" name="Frame4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505460" cy="175260"/>
                      <wp:effectExtent l="0" t="0" r="0" b="0"/>
                      <wp:wrapNone/>
                      <wp:docPr id="452" name="Frame45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07010" cy="175260"/>
                      <wp:effectExtent l="0" t="0" r="0" b="0"/>
                      <wp:wrapNone/>
                      <wp:docPr id="453" name="Frame4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33985" cy="175260"/>
                      <wp:effectExtent l="0" t="0" r="0" b="0"/>
                      <wp:wrapNone/>
                      <wp:docPr id="454" name="Frame4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467360" cy="175260"/>
                      <wp:effectExtent l="0" t="0" r="0" b="0"/>
                      <wp:wrapNone/>
                      <wp:docPr id="455" name="Frame45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8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4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8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4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(5,284)</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(7,556)</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10,568</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cash</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(2,272)</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2,819</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at end of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single" w:sz="2"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547</w:t>
            </w:r>
          </w:p>
        </w:tc>
      </w:tr>
    </w:tbl>
    <w:p>
      <w:pPr>
        <w:pStyle w:val="TextBody"/>
        <w:bidi w:val="0"/>
        <w:spacing w:before="0" w:after="0"/>
        <w:ind w:left="0" w:right="0" w:hanging="0"/>
        <w:jc w:val="left"/>
        <w:rPr/>
      </w:pPr>
      <w:r>
        <w:rPr/>
        <w:t>​</w:t>
      </w:r>
    </w:p>
    <w:p>
      <w:pPr>
        <w:pStyle w:val="TextBody"/>
        <w:bidi w:val="0"/>
        <w:spacing w:before="0" w:after="200"/>
        <w:ind w:left="720" w:right="0" w:hanging="0"/>
        <w:jc w:val="left"/>
        <w:rPr>
          <w:rFonts w:ascii="Times New Roman;Times;serif" w:hAnsi="Times New Roman;Times;serif"/>
          <w:b/>
          <w:sz w:val="20"/>
        </w:rPr>
      </w:pPr>
      <w:r>
        <w:rPr>
          <w:rFonts w:ascii="Times New Roman;Times;serif" w:hAnsi="Times New Roman;Times;serif"/>
          <w:b/>
          <w:sz w:val="20"/>
        </w:rPr>
        <w:t xml:space="preserve">Comparison of Cash Flow Activities from September 30, 2024 to September 30, 2023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Net cash provided by operating activities was $28.1 million during the nine months ended September 30, 2024, compared to net cash of $5.3 million used in operating activities during the nine months ended September 30, 2023. This change was predominantly the result of decreased MHP loan originations net of collections, decreased consumer loan originations net of collections, and decreased dealer inventory loan originations net of collections.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Net cash used in investing activities of $1.5 million during the nine months ended September 30, 2024 was primarily attributable to $5.8 million of collections of loans we made to third parties for the development of manufactured housing parks, $1.6 million in proceeds from the sale of property and $0.1 million in proceeds from collections of purchased loans, offset by $7.3 million used in improvements and development of property, plant and equipment and $1.7 million used to issue notes to third parties for the development of manufactured housing parks. Net cash used in investing activities of $7.6 million during the nine months ended September 30, 2023 was primarily attributable to $13.9 million used to issue notes to third parties for the development of manufactured housing parks, $4.6 million used in improvements and development of property, plant and equipment, offset by $8.5 million received from the sale of treasury notes, $1.1 million received from the sale of leases homes, $1.0 million of collections of loans we made to third parties for the development of manufactured housing parks and $0.3 million of collections from other purchased loans.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Net cash used in financing activities of $26.8 million during the nine months ended September 30, 2024 was attributable to net payments of $21.6 million on our lines of credit, $5.4 million of stock repurchases and $0.2 million received from the exercise of stock options. Net cash provided by financing activities of $10.6 million during the nine months ended September 30, 2023 was attributable to net proceeds of $10.5 million on our lines of credit and $0.1 million received from the exercise of stock options.</w:t>
      </w:r>
      <w:r>
        <w:rPr>
          <w:rFonts w:ascii="Times New Roman;Times;serif" w:hAnsi="Times New Roman;Times;serif"/>
          <w:sz w:val="20"/>
          <w:shd w:fill="FFFF00" w:val="clear"/>
        </w:rPr>
        <w:t xml:space="preserv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November 2022, our Board of Directors approved a share repurchase program to authorize the repurchase of up to $10.0 million of the Company’s common stock. We repurchased 1,001 shares for $0.02 million in the open market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during the three months ended September 30, 2024, and we repurchased 262,530 shares for $5.4 million in the open market during the nine months ended September 30, 2024. As of September 30, 2024, we had a remaining authorization of approximately $14.6 million. On August 6, 2024, our Board of Directors authorized the repurchase of an additional $10.0 million of the Company’s common stock under the share repurchase program.</w:t>
      </w:r>
    </w:p>
    <w:p>
      <w:pPr>
        <w:pStyle w:val="TextBody"/>
        <w:bidi w:val="0"/>
        <w:spacing w:before="0" w:after="200"/>
        <w:ind w:left="0" w:right="0" w:firstLine="720"/>
        <w:jc w:val="left"/>
        <w:rPr/>
      </w:pPr>
      <w:r>
        <w:rPr/>
        <w:t>​</w:t>
      </w:r>
    </w:p>
    <w:p>
      <w:pPr>
        <w:pStyle w:val="TextBody"/>
        <w:bidi w:val="0"/>
        <w:spacing w:before="0" w:after="200"/>
        <w:ind w:left="720" w:right="0" w:hanging="0"/>
        <w:jc w:val="left"/>
        <w:rPr>
          <w:rFonts w:ascii="Times New Roman;Times;serif" w:hAnsi="Times New Roman;Times;serif"/>
          <w:b/>
          <w:i/>
          <w:sz w:val="20"/>
        </w:rPr>
      </w:pPr>
      <w:r>
        <w:rPr>
          <w:rFonts w:ascii="Times New Roman;Times;serif" w:hAnsi="Times New Roman;Times;serif"/>
          <w:b/>
          <w:i/>
          <w:sz w:val="20"/>
        </w:rPr>
        <w:t>Lines of Credit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On July 28, 2023, the Company entered into a new Credit Agreement (the “Revolver”), by and among the Company as borrower, the financial institutions from time to time party thereto, as lenders, and Prosperity Bank as administrative agent. Subsequently, the Company repaid in full the balance due on its prior line of credit with Capital One, N.A. and all commitments under this prior line of credit were terminated. The Revolver provides for a four-year senior secured revolving credit facility with an initial commitment of $50,000 and an additional $25,000 commitment under an accordion feature. The Revolver is secured by the Company’s consumer loans receivables and all escrow accounts associated with the consumer loans receivables. At the Company’s option, borrowings will bear interest at a per annum rate equal to, (i) Term Secured Overnight Financing Rate (“SOFR”) plus an applicable margin of 2.5% or 2.75% based upon the Company’s average quarterly borrowings under the Revolver or (ii) a base rate plus an applicable margin of 2.5% or 2.75% based upon the Company’s average quarterly borrowings under the Revolver. The Company paid certain arrangement fees and other fees in connection with the Revolver of approximately $271, which were capitalized as unamortized debt issuance costs and included within lines of credit balance in the accompanying balance sheets and are amortized to interest expense over the life of the Revolver. The Revolver matures July 28, 2027.</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For the three months ended September 30, 2024, interest expense under the Revolver was $175, and for the three months ended September 30, 2023, interest expense under the Revolver and prior line of credit was $302. For the nine months ended September 30, 2024, interest expense under the Revolver was $686, and for the nine months ended September 30, 2023, interest expense under the Revolver and prior line of credit was $588. The outstanding balance of the Revolver as of September 30, 2024 and December 31, 2023 was $2,111 and $23,680, respectively. The interest rate in effect as of September 30, 2024 and December 31, 2023 for the Revolver was 7.61% and 7.95%, respectively. The amount of available credit under the Revolver was $47,889 and $26,320 as of September 30, 2024 and December 31, 2023, respectively. The Revolver requires the Company to comply with certain financial and non-financial covenants. As of September 30, 2024, the Company was in compliance with all financial covenants, including that it maintain a maximum leverage ratio of no more than 1.00 to 1.00 and a minimum fixed charge coverage ratio of no less than 1.75 to 1.00.</w:t>
      </w:r>
    </w:p>
    <w:p>
      <w:pPr>
        <w:pStyle w:val="TextBody"/>
        <w:bidi w:val="0"/>
        <w:spacing w:before="0" w:after="0"/>
        <w:ind w:left="0" w:right="0" w:hanging="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Contractual Obligations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table is a summary of contractual cash obligations as of September 30, 2024:</w:t>
      </w:r>
    </w:p>
    <w:tbl>
      <w:tblPr>
        <w:tblW w:w="8252" w:type="dxa"/>
        <w:jc w:val="left"/>
        <w:tblInd w:w="0" w:type="dxa"/>
        <w:tblLayout w:type="fixed"/>
        <w:tblCellMar>
          <w:top w:w="0" w:type="dxa"/>
          <w:left w:w="0" w:type="dxa"/>
          <w:bottom w:w="0" w:type="dxa"/>
          <w:right w:w="0" w:type="dxa"/>
        </w:tblCellMar>
      </w:tblPr>
      <w:tblGrid>
        <w:gridCol w:w="2356"/>
        <w:gridCol w:w="326"/>
        <w:gridCol w:w="211"/>
        <w:gridCol w:w="571"/>
        <w:gridCol w:w="386"/>
        <w:gridCol w:w="466"/>
        <w:gridCol w:w="326"/>
        <w:gridCol w:w="976"/>
        <w:gridCol w:w="326"/>
        <w:gridCol w:w="976"/>
        <w:gridCol w:w="386"/>
        <w:gridCol w:w="946"/>
      </w:tblGrid>
      <w:tr>
        <w:trPr/>
        <w:tc>
          <w:tcPr>
            <w:tcW w:w="2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496060" cy="175260"/>
                      <wp:effectExtent l="0" t="0" r="0" b="0"/>
                      <wp:wrapNone/>
                      <wp:docPr id="456" name="Frame456"/>
                      <a:graphic xmlns:a="http://schemas.openxmlformats.org/drawingml/2006/main">
                        <a:graphicData uri="http://schemas.microsoft.com/office/word/2010/wordprocessingShape">
                          <wps:wsp>
                            <wps:cNvSpPr txBox="1"/>
                            <wps:spPr>
                              <a:xfrm>
                                <a:off x="0" y="0"/>
                                <a:ext cx="149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07010" cy="175260"/>
                      <wp:effectExtent l="0" t="0" r="0" b="0"/>
                      <wp:wrapNone/>
                      <wp:docPr id="457" name="Frame4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33985" cy="175260"/>
                      <wp:effectExtent l="0" t="0" r="0" b="0"/>
                      <wp:wrapNone/>
                      <wp:docPr id="458" name="Frame4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362585" cy="175260"/>
                      <wp:effectExtent l="0" t="0" r="0" b="0"/>
                      <wp:wrapNone/>
                      <wp:docPr id="459" name="Frame45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45110" cy="175260"/>
                      <wp:effectExtent l="0" t="0" r="0" b="0"/>
                      <wp:wrapNone/>
                      <wp:docPr id="460" name="Frame460"/>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95910" cy="175260"/>
                      <wp:effectExtent l="0" t="0" r="0" b="0"/>
                      <wp:wrapNone/>
                      <wp:docPr id="461" name="Frame46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07010" cy="175260"/>
                      <wp:effectExtent l="0" t="0" r="0" b="0"/>
                      <wp:wrapNone/>
                      <wp:docPr id="462" name="Frame4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19760" cy="175260"/>
                      <wp:effectExtent l="0" t="0" r="0" b="0"/>
                      <wp:wrapNone/>
                      <wp:docPr id="463" name="Frame463"/>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07010" cy="175260"/>
                      <wp:effectExtent l="0" t="0" r="0" b="0"/>
                      <wp:wrapNone/>
                      <wp:docPr id="464" name="Frame4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19760" cy="175260"/>
                      <wp:effectExtent l="0" t="0" r="0" b="0"/>
                      <wp:wrapNone/>
                      <wp:docPr id="465" name="Frame465"/>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45110" cy="175260"/>
                      <wp:effectExtent l="0" t="0" r="0" b="0"/>
                      <wp:wrapNone/>
                      <wp:docPr id="466" name="Frame466"/>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00710" cy="175260"/>
                      <wp:effectExtent l="0" t="0" r="0" b="0"/>
                      <wp:wrapNone/>
                      <wp:docPr id="467" name="Frame467"/>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57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Payments Due by Period (in thousands)</w:t>
            </w:r>
          </w:p>
        </w:tc>
      </w:tr>
      <w:tr>
        <w:trPr/>
        <w:tc>
          <w:tcPr>
            <w:tcW w:w="2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center"/>
              <w:rPr/>
            </w:pPr>
            <w:r>
              <w:rPr/>
              <w:t>​</w:t>
            </w:r>
          </w:p>
        </w:tc>
      </w:tr>
      <w:tr>
        <w:trPr/>
        <w:tc>
          <w:tcPr>
            <w:tcW w:w="23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Contractual Obligations</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8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2025 - 2026</w:t>
            </w:r>
          </w:p>
        </w:tc>
        <w:tc>
          <w:tcPr>
            <w:tcW w:w="32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2027 - 2028</w:t>
            </w:r>
          </w:p>
        </w:tc>
        <w:tc>
          <w:tcPr>
            <w:tcW w:w="38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After 2028</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Lines of credit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2,111</w:t>
            </w:r>
          </w:p>
        </w:tc>
        <w:tc>
          <w:tcPr>
            <w:tcW w:w="38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2,111</w:t>
            </w:r>
          </w:p>
        </w:tc>
        <w:tc>
          <w:tcPr>
            <w:tcW w:w="38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obligations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1,540</w:t>
            </w:r>
          </w:p>
        </w:tc>
        <w:tc>
          <w:tcPr>
            <w:tcW w:w="38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c>
          <w:tcPr>
            <w:tcW w:w="38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Off Balance Sheet Arrangements</w:t>
      </w:r>
    </w:p>
    <w:p>
      <w:pPr>
        <w:pStyle w:val="TextBody"/>
        <w:bidi w:val="0"/>
        <w:spacing w:before="0" w:after="200"/>
        <w:ind w:left="0" w:right="0" w:firstLine="792"/>
        <w:jc w:val="left"/>
        <w:rPr>
          <w:rFonts w:ascii="Times New Roman;Times;serif" w:hAnsi="Times New Roman;Times;serif"/>
          <w:sz w:val="20"/>
        </w:rPr>
      </w:pPr>
      <w:r>
        <w:rPr>
          <w:rFonts w:ascii="Times New Roman;Times;serif" w:hAnsi="Times New Roman;Times;serif"/>
          <w:sz w:val="20"/>
        </w:rPr>
        <w:t>We did not have any off-balance sheet arrangements that are reasonably likely to have a current or future effect on our financial condition, net sales, results of operations, liquidity or capital expenditures. However, we do have a repurchase agreement with a financial institution that provides inventory financing for independent retailers of our products. Under this agreement, we have agreed to repurchase homes at declining prices over the term of the agreement (24 months). Our obligation under this repurchase agreement ceases upon the purchase of the home by the retail customer. The maximum amount of our contingent obligations under such repurchase agreements was approximately $856 and $3,030 as of September 30, 2024 and December 31, 2023, respectively, without reduction for the resale value of the homes. We may be required to honor contingent repurchase obligations in the future and may incur additional expense as a consequence of these repurchase agreements. We consider our obligations on current contracts to be immaterial, and accordingly, we have not recorded any reserve for repurchase commitment as of September 30, 2024.</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Critical accounting estimates are those that we believe are both significant and require us to make difficult, subjective or complex judgments, often because we need to estimate the effect of inherently uncertain matters. We base our estimates and judgments on historical experiences and various other factors that we believe to be appropriate under the circumstances. Actual results may differ from these estimates, and we might obtain different estimates if we used different assumptions or conditions. Our critical accounting estimates are identified and described in our Annual Report on Form 10-K for the year ended December 31, 2023.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For information regarding recent accounting pronouncements, see Note 1 – Nature of Operations, Recent Accounting Pronouncements to our September 30, 2024 Condensed Financial Statements, included in Part I, Item 1, Financial Statements (Unaudited), of this Quarterly Report.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Emerging Growth Company Status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Company’s status as an “emerging growth company” ended on December 31, 2023. An “emerging growth company,” as defined in the JOBS Act.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t>
      </w:r>
    </w:p>
    <w:p>
      <w:pPr>
        <w:pStyle w:val="TextBody"/>
        <w:bidi w:val="0"/>
        <w:spacing w:before="0" w:after="200"/>
        <w:ind w:left="0" w:right="0" w:hanging="0"/>
        <w:jc w:val="left"/>
        <w:rPr>
          <w:rFonts w:ascii="Times New Roman;Times;serif" w:hAnsi="Times New Roman;Times;serif"/>
          <w:b/>
          <w:sz w:val="20"/>
        </w:rPr>
      </w:pPr>
      <w:bookmarkStart w:id="1444" w:name="Item3QuantitativeandQualitativeDisclosur"/>
      <w:bookmarkStart w:id="1445" w:name="_33bd0eb7_61db_4e2b_9732_a4d06ca3bf95"/>
      <w:bookmarkEnd w:id="1444"/>
      <w:bookmarkEnd w:id="1445"/>
      <w:r>
        <w:rPr>
          <w:rFonts w:ascii="Times New Roman;Times;serif" w:hAnsi="Times New Roman;Times;serif"/>
          <w:b/>
          <w:sz w:val="20"/>
        </w:rPr>
        <w:t>Item 3. Quantitative and Qualitative Disclosures About Market Risk.</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Not applicable. </w:t>
      </w:r>
    </w:p>
    <w:p>
      <w:pPr>
        <w:pStyle w:val="TextBody"/>
        <w:bidi w:val="0"/>
        <w:spacing w:before="0" w:after="200"/>
        <w:ind w:left="0" w:right="0" w:hanging="0"/>
        <w:jc w:val="left"/>
        <w:rPr>
          <w:rFonts w:ascii="Times New Roman;Times;serif" w:hAnsi="Times New Roman;Times;serif"/>
          <w:b/>
          <w:sz w:val="20"/>
        </w:rPr>
      </w:pPr>
      <w:bookmarkStart w:id="1446" w:name="Item4ControlsandProcedures_709968"/>
      <w:bookmarkStart w:id="1447" w:name="_24ed9e76_2364_4f98_9973_fe20f74751c4"/>
      <w:bookmarkEnd w:id="1446"/>
      <w:bookmarkEnd w:id="1447"/>
      <w:r>
        <w:rPr>
          <w:rFonts w:ascii="Times New Roman;Times;serif" w:hAnsi="Times New Roman;Times;serif"/>
          <w:b/>
          <w:sz w:val="20"/>
        </w:rPr>
        <w:t>Item 4. Controls and Procedures.</w:t>
      </w:r>
    </w:p>
    <w:p>
      <w:pPr>
        <w:pStyle w:val="TextBody"/>
        <w:bidi w:val="0"/>
        <w:spacing w:before="0" w:after="264"/>
        <w:ind w:left="0" w:right="0" w:hanging="0"/>
        <w:jc w:val="left"/>
        <w:rPr>
          <w:rFonts w:ascii="Times New Roman;Times;serif" w:hAnsi="Times New Roman;Times;serif"/>
          <w:b/>
          <w:sz w:val="20"/>
        </w:rPr>
      </w:pPr>
      <w:r>
        <w:rPr>
          <w:rFonts w:ascii="Times New Roman;Times;serif" w:hAnsi="Times New Roman;Times;serif"/>
          <w:b/>
          <w:sz w:val="20"/>
        </w:rPr>
        <w:t>Disclosure Controls and Procedures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are subject to the periodic reporting requirements of the Exchange Act which requires designing disclosure controls and procedures to provide reasonable assurance that information we disclose in reports we file or submit under the Exchange Act is recorded, processed, summarized, and reported within the time periods specified in the rules and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forms of the SEC.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officer and principal financial officer, as appropriate, to allow for timely decisions regarding required disclosures.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Based on the evaluation of our disclosure controls and procedures as of September 30, 2024, our Chief Executive Officer and Chief Financial Officer have concluded that our disclosure controls and procedures were not effective as of such date due to material weaknesses in internal control over financial reporting.</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light of the conclusion that our disclosure controls and procedures are considered ineffective as of September 30, 2024, we have applied procedures and processes as necessary to ensure the reliability of our financial reporting in regard to this quarterly report. Accordingly, the Company believes, based on its knowledge, that: (i) this quarterly report does not contain any untrue statement of a material fact or omit to state a material fact necessary to make the statements made, in light of the circumstances under which they were made, not misleading with respect to the period covered by this report; and (ii) the financial statements, and other financial information included in this quarterly report, fairly present in all material respects our financial condition, results of operations and cash flows as of and for the periods presented in this quarterly report.</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Material Weaknesses in Internal Control Over Financial Reporting</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As previously disclosed in our Annual report on Form 10-K filed with the SEC for the year ended December 31, 2023 we identified material weaknesses in our internal control over financial reporting during the preparation of our financial statements. Under standards established by the PCAOB, a material weakness is a deficiency or combination of deficiencies in internal control over financial reporting, such that there is a reasonable possibility that a material misstatement of annual or interim financial statements will not be prevented or detected and corrected on a timely basis.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material weaknesses in financial reporting as of September 30, 2024 are summarized as follows:</w:t>
      </w:r>
    </w:p>
    <w:p>
      <w:pPr>
        <w:pStyle w:val="TextBody"/>
        <w:bidi w:val="0"/>
        <w:spacing w:before="0" w:after="200"/>
        <w:ind w:left="0" w:right="0" w:hanging="0"/>
        <w:jc w:val="left"/>
        <w:rPr/>
      </w:pPr>
      <w:r>
        <w:rPr>
          <w:caps w:val="false"/>
          <w:smallCaps w:val="false"/>
        </w:rPr>
        <w:t xml:space="preserve">● </w:t>
      </w:r>
      <w:r>
        <w:rPr>
          <w:rFonts w:ascii="Times New Roman;Times;serif" w:hAnsi="Times New Roman;Times;serif"/>
          <w:sz w:val="20"/>
        </w:rPr>
        <w:t>We determined that we have not sufficiently or adequately designed or implemented control activities and have a lack of documentation, review and approval of certain control activities. Additionally, those activities are not sufficiently monitored and tested;</w:t>
      </w:r>
    </w:p>
    <w:p>
      <w:pPr>
        <w:pStyle w:val="TextBody"/>
        <w:bidi w:val="0"/>
        <w:spacing w:before="0" w:after="200"/>
        <w:ind w:left="0" w:right="0" w:hanging="0"/>
        <w:jc w:val="left"/>
        <w:rPr/>
      </w:pPr>
      <w:r>
        <w:rPr>
          <w:caps w:val="false"/>
          <w:smallCaps w:val="false"/>
        </w:rPr>
        <w:t xml:space="preserve">● </w:t>
      </w:r>
      <w:r>
        <w:rPr>
          <w:rFonts w:ascii="Times New Roman;Times;serif" w:hAnsi="Times New Roman;Times;serif"/>
          <w:sz w:val="20"/>
        </w:rPr>
        <w:t>We determined that we do not have sufficient qualified accounting personnel to support the preparation of financial statements that are in compliance with U.S. GAAP and SEC reporting requirements; and</w:t>
      </w:r>
    </w:p>
    <w:p>
      <w:pPr>
        <w:pStyle w:val="TextBody"/>
        <w:bidi w:val="0"/>
        <w:spacing w:before="0" w:after="200"/>
        <w:ind w:left="0" w:right="0" w:hanging="0"/>
        <w:jc w:val="left"/>
        <w:rPr/>
      </w:pPr>
      <w:r>
        <w:rPr>
          <w:caps w:val="false"/>
          <w:smallCaps w:val="false"/>
        </w:rPr>
        <w:t xml:space="preserve">● </w:t>
      </w:r>
      <w:r>
        <w:rPr>
          <w:rFonts w:ascii="Times New Roman;Times;serif" w:hAnsi="Times New Roman;Times;serif"/>
          <w:sz w:val="20"/>
        </w:rPr>
        <w:t>We determined that we have not sufficiently or adequately designed or implemented information technology general controls over in-scope business processes and financial reporting systems.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identified in management’s evaluation pursuant to Rules 13a-15(d) or 15d-15(d) of the Exchange Act during the third quarter of fiscal 2024 that materially affected, or are reasonably likely to materially affect, our internal control over financial reporting.</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Limitations on Effectiveness of Controls and Procedures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management, including our Chief Executive Officer and Chief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 </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making can be faulty, and that breakdowns can occur because of simple errors, mistakes or fraud. Additionally, controls can be circumvented by individuals or groups of persons or by an unauthorized override of the controls. Accordingly, because of the inherent limitations in our control system, misstatements in our public reports due to error or fraud may occur and not be detected.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t>
      </w:r>
    </w:p>
    <w:p>
      <w:pPr>
        <w:pStyle w:val="TextBody"/>
        <w:bidi w:val="0"/>
        <w:spacing w:before="0" w:after="200"/>
        <w:ind w:left="0" w:right="0" w:hanging="0"/>
        <w:jc w:val="left"/>
        <w:rPr>
          <w:rFonts w:ascii="Times New Roman;Times;serif" w:hAnsi="Times New Roman;Times;serif"/>
          <w:b/>
          <w:sz w:val="20"/>
        </w:rPr>
      </w:pPr>
      <w:bookmarkStart w:id="1448" w:name="PARTIIOTHERINFORMATION_170690"/>
      <w:bookmarkStart w:id="1449" w:name="_3f98ce5b_592a_49b4_bf0d_09d96b3f12aa"/>
      <w:bookmarkEnd w:id="1448"/>
      <w:bookmarkEnd w:id="1449"/>
      <w:r>
        <w:rPr>
          <w:rFonts w:ascii="Times New Roman;Times;serif" w:hAnsi="Times New Roman;Times;serif"/>
          <w:b/>
          <w:sz w:val="20"/>
        </w:rPr>
        <w:t>PART II - OTHER INFORMATION</w:t>
      </w:r>
    </w:p>
    <w:p>
      <w:pPr>
        <w:pStyle w:val="TextBody"/>
        <w:bidi w:val="0"/>
        <w:spacing w:before="0" w:after="200"/>
        <w:ind w:left="0" w:right="0" w:hanging="0"/>
        <w:jc w:val="left"/>
        <w:rPr>
          <w:rFonts w:ascii="Times New Roman;Times;serif" w:hAnsi="Times New Roman;Times;serif"/>
          <w:b/>
          <w:sz w:val="20"/>
        </w:rPr>
      </w:pPr>
      <w:bookmarkStart w:id="1450" w:name="Item1LegalProceedings_348887"/>
      <w:bookmarkEnd w:id="1450"/>
      <w:r>
        <w:rPr>
          <w:rFonts w:ascii="Times New Roman;Times;serif" w:hAnsi="Times New Roman;Times;serif"/>
          <w:b/>
          <w:sz w:val="20"/>
        </w:rPr>
        <w:t>Item 1. Legal Proceedings.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See Note 15 - Commitments and Contingencies in our September 30, 2024 Condensed Financial Statements, included in Part I, Item 1, Financial Statements (Unaudited), of this Quarterly Report. </w:t>
      </w:r>
    </w:p>
    <w:p>
      <w:pPr>
        <w:pStyle w:val="TextBody"/>
        <w:bidi w:val="0"/>
        <w:spacing w:before="0" w:after="200"/>
        <w:ind w:left="0" w:right="0" w:hanging="0"/>
        <w:jc w:val="left"/>
        <w:rPr>
          <w:rFonts w:ascii="Times New Roman;Times;serif" w:hAnsi="Times New Roman;Times;serif"/>
          <w:b/>
          <w:sz w:val="20"/>
        </w:rPr>
      </w:pPr>
      <w:bookmarkStart w:id="1451" w:name="Item2UnregisteredSalesofEquitySecurities"/>
      <w:bookmarkStart w:id="1452" w:name="_c692864e_c659_4173_83e2_eaa0d1eeaf8c"/>
      <w:bookmarkEnd w:id="1451"/>
      <w:bookmarkEnd w:id="1452"/>
      <w:r>
        <w:rPr>
          <w:rFonts w:ascii="Times New Roman;Times;serif" w:hAnsi="Times New Roman;Times;serif"/>
          <w:b/>
          <w:sz w:val="20"/>
        </w:rPr>
        <w:t>Item 2. Unregistered Sales of Equity Securities and Use of Proceeds.</w:t>
      </w:r>
    </w:p>
    <w:p>
      <w:pPr>
        <w:pStyle w:val="TextBody"/>
        <w:bidi w:val="0"/>
        <w:spacing w:before="0" w:after="200"/>
        <w:ind w:left="0" w:right="0" w:firstLine="720"/>
        <w:jc w:val="left"/>
        <w:rPr>
          <w:rFonts w:ascii="Times New Roman;Times;serif" w:hAnsi="Times New Roman;Times;serif"/>
          <w:b/>
          <w:i/>
          <w:sz w:val="20"/>
        </w:rPr>
      </w:pPr>
      <w:r>
        <w:rPr>
          <w:rFonts w:ascii="Times New Roman;Times;serif" w:hAnsi="Times New Roman;Times;serif"/>
          <w:b/>
          <w:i/>
          <w:sz w:val="20"/>
        </w:rPr>
        <w:t>Repurchases of Equity Securities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table sets forth information regarding purchases of our common shares by us during the three months ended September 30, 2024:</w:t>
      </w:r>
    </w:p>
    <w:tbl>
      <w:tblPr>
        <w:tblW w:w="10205" w:type="dxa"/>
        <w:jc w:val="left"/>
        <w:tblInd w:w="0" w:type="dxa"/>
        <w:tblLayout w:type="fixed"/>
        <w:tblCellMar>
          <w:top w:w="0" w:type="dxa"/>
          <w:left w:w="0" w:type="dxa"/>
          <w:bottom w:w="0" w:type="dxa"/>
          <w:right w:w="0" w:type="dxa"/>
        </w:tblCellMar>
      </w:tblPr>
      <w:tblGrid>
        <w:gridCol w:w="1133"/>
        <w:gridCol w:w="109"/>
        <w:gridCol w:w="1584"/>
        <w:gridCol w:w="109"/>
        <w:gridCol w:w="342"/>
        <w:gridCol w:w="894"/>
        <w:gridCol w:w="109"/>
        <w:gridCol w:w="2723"/>
        <w:gridCol w:w="109"/>
        <w:gridCol w:w="934"/>
        <w:gridCol w:w="2159"/>
      </w:tblGrid>
      <w:tr>
        <w:trPr/>
        <w:tc>
          <w:tcPr>
            <w:tcW w:w="11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719455" cy="175260"/>
                      <wp:effectExtent l="0" t="0" r="0" b="0"/>
                      <wp:wrapNone/>
                      <wp:docPr id="468" name="Frame468"/>
                      <a:graphic xmlns:a="http://schemas.openxmlformats.org/drawingml/2006/main">
                        <a:graphicData uri="http://schemas.microsoft.com/office/word/2010/wordprocessingShape">
                          <wps:wsp>
                            <wps:cNvSpPr txBox="1"/>
                            <wps:spPr>
                              <a:xfrm>
                                <a:off x="0" y="0"/>
                                <a:ext cx="719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69215" cy="175260"/>
                      <wp:effectExtent l="0" t="0" r="0" b="0"/>
                      <wp:wrapNone/>
                      <wp:docPr id="469" name="Frame4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005840" cy="175260"/>
                      <wp:effectExtent l="0" t="0" r="0" b="0"/>
                      <wp:wrapNone/>
                      <wp:docPr id="470" name="Frame470"/>
                      <a:graphic xmlns:a="http://schemas.openxmlformats.org/drawingml/2006/main">
                        <a:graphicData uri="http://schemas.microsoft.com/office/word/2010/wordprocessingShape">
                          <wps:wsp>
                            <wps:cNvSpPr txBox="1"/>
                            <wps:spPr>
                              <a:xfrm>
                                <a:off x="0" y="0"/>
                                <a:ext cx="1005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69215" cy="175260"/>
                      <wp:effectExtent l="0" t="0" r="0" b="0"/>
                      <wp:wrapNone/>
                      <wp:docPr id="471" name="Frame4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17170" cy="175260"/>
                      <wp:effectExtent l="0" t="0" r="0" b="0"/>
                      <wp:wrapNone/>
                      <wp:docPr id="472" name="Frame472"/>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567690" cy="175260"/>
                      <wp:effectExtent l="0" t="0" r="0" b="0"/>
                      <wp:wrapNone/>
                      <wp:docPr id="473" name="Frame473"/>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69215" cy="175260"/>
                      <wp:effectExtent l="0" t="0" r="0" b="0"/>
                      <wp:wrapNone/>
                      <wp:docPr id="474" name="Frame4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1729105" cy="175260"/>
                      <wp:effectExtent l="0" t="0" r="0" b="0"/>
                      <wp:wrapNone/>
                      <wp:docPr id="475" name="Frame475"/>
                      <a:graphic xmlns:a="http://schemas.openxmlformats.org/drawingml/2006/main">
                        <a:graphicData uri="http://schemas.microsoft.com/office/word/2010/wordprocessingShape">
                          <wps:wsp>
                            <wps:cNvSpPr txBox="1"/>
                            <wps:spPr>
                              <a:xfrm>
                                <a:off x="0" y="0"/>
                                <a:ext cx="1729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9215" cy="175260"/>
                      <wp:effectExtent l="0" t="0" r="0" b="0"/>
                      <wp:wrapNone/>
                      <wp:docPr id="476" name="Frame4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593090" cy="175260"/>
                      <wp:effectExtent l="0" t="0" r="0" b="0"/>
                      <wp:wrapNone/>
                      <wp:docPr id="477" name="Frame477"/>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370965" cy="175260"/>
                      <wp:effectExtent l="0" t="0" r="0" b="0"/>
                      <wp:wrapNone/>
                      <wp:docPr id="478" name="Frame478"/>
                      <a:graphic xmlns:a="http://schemas.openxmlformats.org/drawingml/2006/main">
                        <a:graphicData uri="http://schemas.microsoft.com/office/word/2010/wordprocessingShape">
                          <wps:wsp>
                            <wps:cNvSpPr txBox="1"/>
                            <wps:spPr>
                              <a:xfrm>
                                <a:off x="0" y="0"/>
                                <a:ext cx="1370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3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Period</w:t>
            </w:r>
          </w:p>
        </w:tc>
        <w:tc>
          <w:tcPr>
            <w:tcW w:w="109" w:type="dxa"/>
            <w:tcBorders/>
            <w:vAlign w:val="center"/>
          </w:tcPr>
          <w:p>
            <w:pPr>
              <w:pStyle w:val="TableContents"/>
              <w:bidi w:val="0"/>
              <w:spacing w:before="0" w:after="1"/>
              <w:ind w:left="0" w:right="0" w:hanging="0"/>
              <w:jc w:val="left"/>
              <w:rPr/>
            </w:pPr>
            <w:r>
              <w:rPr/>
              <w:t>​</w:t>
            </w:r>
          </w:p>
        </w:tc>
        <w:tc>
          <w:tcPr>
            <w:tcW w:w="158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 number of shares purchased (1)</w:t>
            </w:r>
          </w:p>
        </w:tc>
        <w:tc>
          <w:tcPr>
            <w:tcW w:w="109" w:type="dxa"/>
            <w:tcBorders/>
            <w:vAlign w:val="center"/>
          </w:tcPr>
          <w:p>
            <w:pPr>
              <w:pStyle w:val="TableContents"/>
              <w:bidi w:val="0"/>
              <w:spacing w:before="0" w:after="1"/>
              <w:ind w:left="0" w:right="0" w:hanging="0"/>
              <w:jc w:val="left"/>
              <w:rPr/>
            </w:pPr>
            <w:r>
              <w:rPr/>
              <w:t>​</w:t>
            </w:r>
          </w:p>
        </w:tc>
        <w:tc>
          <w:tcPr>
            <w:tcW w:w="12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 price paid per share</w:t>
            </w:r>
          </w:p>
        </w:tc>
        <w:tc>
          <w:tcPr>
            <w:tcW w:w="109" w:type="dxa"/>
            <w:tcBorders/>
            <w:vAlign w:val="center"/>
          </w:tcPr>
          <w:p>
            <w:pPr>
              <w:pStyle w:val="TableContents"/>
              <w:bidi w:val="0"/>
              <w:spacing w:before="0" w:after="1"/>
              <w:ind w:left="0" w:right="0" w:hanging="0"/>
              <w:jc w:val="left"/>
              <w:rPr/>
            </w:pPr>
            <w:r>
              <w:rPr/>
              <w:t>​</w:t>
            </w:r>
          </w:p>
        </w:tc>
        <w:tc>
          <w:tcPr>
            <w:tcW w:w="272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 number of shares purchased as part of publicly announced plans or program</w:t>
            </w:r>
          </w:p>
        </w:tc>
        <w:tc>
          <w:tcPr>
            <w:tcW w:w="109" w:type="dxa"/>
            <w:tcBorders/>
            <w:vAlign w:val="center"/>
          </w:tcPr>
          <w:p>
            <w:pPr>
              <w:pStyle w:val="TableContents"/>
              <w:bidi w:val="0"/>
              <w:spacing w:before="0" w:after="1"/>
              <w:ind w:left="0" w:right="0" w:hanging="0"/>
              <w:jc w:val="left"/>
              <w:rPr/>
            </w:pPr>
            <w:r>
              <w:rPr/>
              <w:t>​</w:t>
            </w:r>
          </w:p>
        </w:tc>
        <w:tc>
          <w:tcPr>
            <w:tcW w:w="30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Approximate dollar value of shares that may yet be purchased under the plans or programs</w:t>
            </w:r>
          </w:p>
        </w:tc>
      </w:tr>
      <w:tr>
        <w:trPr/>
        <w:tc>
          <w:tcPr>
            <w:tcW w:w="113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July 1-31, 2024</w:t>
            </w:r>
          </w:p>
        </w:tc>
        <w:tc>
          <w:tcPr>
            <w:tcW w:w="109" w:type="dxa"/>
            <w:tcBorders/>
            <w:shd w:fill="CCEEFF" w:val="clear"/>
            <w:vAlign w:val="center"/>
          </w:tcPr>
          <w:p>
            <w:pPr>
              <w:pStyle w:val="TableContents"/>
              <w:bidi w:val="0"/>
              <w:spacing w:before="0" w:after="1"/>
              <w:ind w:left="0" w:right="0" w:hanging="0"/>
              <w:jc w:val="left"/>
              <w:rPr/>
            </w:pPr>
            <w:r>
              <w:rPr/>
              <w:t>​</w:t>
            </w:r>
          </w:p>
        </w:tc>
        <w:tc>
          <w:tcPr>
            <w:tcW w:w="158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1,001</w:t>
            </w:r>
          </w:p>
        </w:tc>
        <w:tc>
          <w:tcPr>
            <w:tcW w:w="109" w:type="dxa"/>
            <w:tcBorders/>
            <w:shd w:fill="CCEEFF" w:val="clear"/>
            <w:vAlign w:val="center"/>
          </w:tcPr>
          <w:p>
            <w:pPr>
              <w:pStyle w:val="TableContents"/>
              <w:bidi w:val="0"/>
              <w:spacing w:before="0" w:after="1"/>
              <w:ind w:left="0" w:right="0" w:hanging="0"/>
              <w:jc w:val="left"/>
              <w:rPr/>
            </w:pPr>
            <w:r>
              <w:rPr/>
              <w:t>​</w:t>
            </w:r>
          </w:p>
        </w:tc>
        <w:tc>
          <w:tcPr>
            <w:tcW w:w="34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22.29</w:t>
            </w:r>
          </w:p>
        </w:tc>
        <w:tc>
          <w:tcPr>
            <w:tcW w:w="109" w:type="dxa"/>
            <w:tcBorders/>
            <w:shd w:fill="CCEEFF" w:val="clear"/>
            <w:vAlign w:val="center"/>
          </w:tcPr>
          <w:p>
            <w:pPr>
              <w:pStyle w:val="TableContents"/>
              <w:bidi w:val="0"/>
              <w:spacing w:before="0" w:after="1"/>
              <w:ind w:left="0" w:right="0" w:hanging="0"/>
              <w:jc w:val="left"/>
              <w:rPr/>
            </w:pPr>
            <w:r>
              <w:rPr/>
              <w:t>​</w:t>
            </w:r>
          </w:p>
        </w:tc>
        <w:tc>
          <w:tcPr>
            <w:tcW w:w="272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93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2159" w:type="dxa"/>
            <w:tcBorders/>
            <w:shd w:fill="CCEEFF" w:val="clear"/>
            <w:vAlign w:val="center"/>
          </w:tcPr>
          <w:p>
            <w:pPr>
              <w:pStyle w:val="TableContents"/>
              <w:bidi w:val="0"/>
              <w:spacing w:before="0" w:after="1"/>
              <w:ind w:left="0" w:right="0" w:hanging="0"/>
              <w:jc w:val="right"/>
              <w:rPr/>
            </w:pPr>
            <w:r>
              <w:rPr/>
              <w:t>—</w:t>
            </w:r>
          </w:p>
        </w:tc>
      </w:tr>
      <w:tr>
        <w:trPr/>
        <w:tc>
          <w:tcPr>
            <w:tcW w:w="113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August 1-31, 2024</w:t>
            </w:r>
          </w:p>
        </w:tc>
        <w:tc>
          <w:tcPr>
            <w:tcW w:w="109" w:type="dxa"/>
            <w:tcBorders/>
            <w:vAlign w:val="center"/>
          </w:tcPr>
          <w:p>
            <w:pPr>
              <w:pStyle w:val="TableContents"/>
              <w:bidi w:val="0"/>
              <w:spacing w:before="0" w:after="1"/>
              <w:ind w:left="0" w:right="0" w:hanging="0"/>
              <w:jc w:val="left"/>
              <w:rPr/>
            </w:pPr>
            <w:r>
              <w:rPr/>
              <w:t>​</w:t>
            </w:r>
          </w:p>
        </w:tc>
        <w:tc>
          <w:tcPr>
            <w:tcW w:w="158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42" w:type="dxa"/>
            <w:tcBorders/>
            <w:vAlign w:val="center"/>
          </w:tcPr>
          <w:p>
            <w:pPr>
              <w:pStyle w:val="TableContents"/>
              <w:bidi w:val="0"/>
              <w:spacing w:before="0" w:after="1"/>
              <w:ind w:left="0" w:right="0" w:hanging="0"/>
              <w:jc w:val="left"/>
              <w:rPr/>
            </w:pPr>
            <w:r>
              <w:rPr/>
              <w:t>​</w:t>
            </w:r>
          </w:p>
        </w:tc>
        <w:tc>
          <w:tcPr>
            <w:tcW w:w="89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72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934" w:type="dxa"/>
            <w:tcBorders/>
            <w:vAlign w:val="center"/>
          </w:tcPr>
          <w:p>
            <w:pPr>
              <w:pStyle w:val="TableContents"/>
              <w:bidi w:val="0"/>
              <w:spacing w:before="0" w:after="1"/>
              <w:ind w:left="0" w:right="0" w:hanging="0"/>
              <w:jc w:val="left"/>
              <w:rPr/>
            </w:pPr>
            <w:r>
              <w:rPr/>
              <w:t>​</w:t>
            </w:r>
          </w:p>
        </w:tc>
        <w:tc>
          <w:tcPr>
            <w:tcW w:w="2159" w:type="dxa"/>
            <w:tcBorders/>
            <w:vAlign w:val="center"/>
          </w:tcPr>
          <w:p>
            <w:pPr>
              <w:pStyle w:val="TableContents"/>
              <w:bidi w:val="0"/>
              <w:spacing w:before="0" w:after="1"/>
              <w:ind w:left="0" w:right="0" w:hanging="0"/>
              <w:jc w:val="right"/>
              <w:rPr/>
            </w:pPr>
            <w:r>
              <w:rPr/>
              <w:t>—</w:t>
            </w:r>
          </w:p>
        </w:tc>
      </w:tr>
      <w:tr>
        <w:trPr/>
        <w:tc>
          <w:tcPr>
            <w:tcW w:w="113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September 1-30, 2024</w:t>
            </w:r>
          </w:p>
        </w:tc>
        <w:tc>
          <w:tcPr>
            <w:tcW w:w="109" w:type="dxa"/>
            <w:tcBorders/>
            <w:shd w:fill="CCEEFF" w:val="clear"/>
            <w:vAlign w:val="center"/>
          </w:tcPr>
          <w:p>
            <w:pPr>
              <w:pStyle w:val="TableContents"/>
              <w:bidi w:val="0"/>
              <w:spacing w:before="0" w:after="1"/>
              <w:ind w:left="0" w:right="0" w:hanging="0"/>
              <w:jc w:val="left"/>
              <w:rPr/>
            </w:pPr>
            <w:r>
              <w:rPr/>
              <w:t>​</w:t>
            </w:r>
          </w:p>
        </w:tc>
        <w:tc>
          <w:tcPr>
            <w:tcW w:w="158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42" w:type="dxa"/>
            <w:tcBorders/>
            <w:shd w:fill="CCEEFF" w:val="clear"/>
            <w:vAlign w:val="center"/>
          </w:tcPr>
          <w:p>
            <w:pPr>
              <w:pStyle w:val="TableContents"/>
              <w:bidi w:val="0"/>
              <w:spacing w:before="0" w:after="1"/>
              <w:ind w:left="0" w:right="0" w:hanging="0"/>
              <w:jc w:val="left"/>
              <w:rPr/>
            </w:pPr>
            <w:r>
              <w:rPr/>
              <w:t>​</w:t>
            </w:r>
          </w:p>
        </w:tc>
        <w:tc>
          <w:tcPr>
            <w:tcW w:w="89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72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934" w:type="dxa"/>
            <w:tcBorders/>
            <w:shd w:fill="CCEEFF" w:val="clear"/>
            <w:vAlign w:val="center"/>
          </w:tcPr>
          <w:p>
            <w:pPr>
              <w:pStyle w:val="TableContents"/>
              <w:bidi w:val="0"/>
              <w:spacing w:before="0" w:after="1"/>
              <w:ind w:left="0" w:right="0" w:hanging="0"/>
              <w:jc w:val="left"/>
              <w:rPr/>
            </w:pPr>
            <w:r>
              <w:rPr/>
              <w:t>​</w:t>
            </w:r>
          </w:p>
        </w:tc>
        <w:tc>
          <w:tcPr>
            <w:tcW w:w="2159" w:type="dxa"/>
            <w:tcBorders/>
            <w:shd w:fill="CCEEFF" w:val="clear"/>
            <w:vAlign w:val="center"/>
          </w:tcPr>
          <w:p>
            <w:pPr>
              <w:pStyle w:val="TableContents"/>
              <w:bidi w:val="0"/>
              <w:spacing w:before="0" w:after="1"/>
              <w:ind w:left="0" w:right="60" w:hanging="0"/>
              <w:jc w:val="right"/>
              <w:rPr/>
            </w:pPr>
            <w:r>
              <w:rPr/>
              <w:t>—</w:t>
            </w:r>
          </w:p>
        </w:tc>
      </w:tr>
    </w:tbl>
    <w:tbl>
      <w:tblPr>
        <w:tblW w:w="8346" w:type="dxa"/>
        <w:jc w:val="left"/>
        <w:tblInd w:w="0" w:type="dxa"/>
        <w:tblLayout w:type="fixed"/>
        <w:tblCellMar>
          <w:top w:w="28" w:type="dxa"/>
          <w:left w:w="28" w:type="dxa"/>
          <w:bottom w:w="28" w:type="dxa"/>
          <w:right w:w="28" w:type="dxa"/>
        </w:tblCellMar>
      </w:tblPr>
      <w:tblGrid>
        <w:gridCol w:w="124"/>
        <w:gridCol w:w="331"/>
        <w:gridCol w:w="789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shares purchased in open market and not pursuant to a publicly announced plan or program </w:t>
            </w:r>
          </w:p>
        </w:tc>
      </w:tr>
    </w:tbl>
    <w:p>
      <w:pPr>
        <w:pStyle w:val="TextBody"/>
        <w:bidi w:val="0"/>
        <w:spacing w:before="0" w:after="20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bookmarkStart w:id="1453" w:name="DefaultsUpon_535854"/>
      <w:bookmarkStart w:id="1454" w:name="_b366e9fe_0aa7_4703_9c82_d212fbfce5d5"/>
      <w:bookmarkEnd w:id="1453"/>
      <w:bookmarkEnd w:id="1454"/>
      <w:r>
        <w:rPr>
          <w:rFonts w:ascii="Times New Roman;Times;serif" w:hAnsi="Times New Roman;Times;serif"/>
          <w:b/>
          <w:sz w:val="20"/>
        </w:rPr>
        <w:t>Item 3. Defaults Upon Senior Securities.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00"/>
        <w:ind w:left="0" w:right="0" w:hanging="0"/>
        <w:jc w:val="left"/>
        <w:rPr>
          <w:rFonts w:ascii="Times New Roman;Times;serif" w:hAnsi="Times New Roman;Times;serif"/>
          <w:b/>
          <w:sz w:val="20"/>
        </w:rPr>
      </w:pPr>
      <w:bookmarkStart w:id="1455" w:name="MineSafety_773765"/>
      <w:bookmarkStart w:id="1456" w:name="_dc0b7cd0_c310_4c33_bc8c_05a1113829c5"/>
      <w:bookmarkEnd w:id="1455"/>
      <w:bookmarkEnd w:id="1456"/>
      <w:r>
        <w:rPr>
          <w:rFonts w:ascii="Times New Roman;Times;serif" w:hAnsi="Times New Roman;Times;serif"/>
          <w:b/>
          <w:sz w:val="20"/>
        </w:rPr>
        <w:t>Item 4. Mine Safety Disclosures.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00"/>
        <w:ind w:left="0" w:right="0" w:hanging="0"/>
        <w:jc w:val="left"/>
        <w:rPr>
          <w:rFonts w:ascii="Times New Roman;Times;serif" w:hAnsi="Times New Roman;Times;serif"/>
          <w:b/>
          <w:sz w:val="20"/>
        </w:rPr>
      </w:pPr>
      <w:bookmarkStart w:id="1457" w:name="OtherInformation_946294"/>
      <w:bookmarkStart w:id="1458" w:name="_d0e24ea6_0737_4c3a_9857_e1450acece44"/>
      <w:bookmarkEnd w:id="1457"/>
      <w:bookmarkEnd w:id="1458"/>
      <w:r>
        <w:rPr>
          <w:rFonts w:ascii="Times New Roman;Times;serif" w:hAnsi="Times New Roman;Times;serif"/>
          <w:b/>
          <w:sz w:val="20"/>
        </w:rPr>
        <w:t>Item 5. Other Information</w:t>
      </w:r>
    </w:p>
    <w:p>
      <w:pPr>
        <w:pStyle w:val="TextBody"/>
        <w:bidi w:val="0"/>
        <w:spacing w:before="0" w:after="200"/>
        <w:ind w:left="0" w:right="0" w:firstLine="720"/>
        <w:jc w:val="left"/>
        <w:rPr>
          <w:rFonts w:ascii="Times New Roman;Times;serif" w:hAnsi="Times New Roman;Times;serif"/>
          <w:b/>
          <w:sz w:val="20"/>
        </w:rPr>
      </w:pPr>
      <w:r>
        <w:rPr>
          <w:rFonts w:ascii="Times New Roman;Times;serif" w:hAnsi="Times New Roman;Times;serif"/>
          <w:b/>
          <w:sz w:val="20"/>
        </w:rPr>
        <w:t>Rule 10b5-1 Trading Plans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During the three months ended September 30, 2024, no officers or directors adopted, modified, or terminated trading plans intended to satisfy the affirmative defense conditions of Rule 10b5-1(c) under the Securities Exchange Act of 1934, as amended.</w:t>
      </w:r>
    </w:p>
    <w:p>
      <w:pPr>
        <w:pStyle w:val="TextBody"/>
        <w:bidi w:val="0"/>
        <w:spacing w:before="0" w:after="200"/>
        <w:ind w:left="0" w:right="0" w:firstLine="72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459" w:name="Item6Exhibits_809988"/>
      <w:bookmarkStart w:id="1460" w:name="_911283c7_2043_4820_a3c1_d69602d83c07"/>
      <w:bookmarkEnd w:id="1459"/>
      <w:bookmarkEnd w:id="1460"/>
      <w:r>
        <w:rPr>
          <w:rFonts w:ascii="Times New Roman;Times;serif" w:hAnsi="Times New Roman;Times;serif"/>
          <w:b/>
          <w:sz w:val="20"/>
        </w:rPr>
        <w:t xml:space="preserve">Item 6. Exhibits. </w:t>
      </w:r>
    </w:p>
    <w:tbl>
      <w:tblPr>
        <w:tblW w:w="9498" w:type="dxa"/>
        <w:jc w:val="left"/>
        <w:tblInd w:w="0" w:type="dxa"/>
        <w:tblLayout w:type="fixed"/>
        <w:tblCellMar>
          <w:top w:w="0" w:type="dxa"/>
          <w:left w:w="0" w:type="dxa"/>
          <w:bottom w:w="0" w:type="dxa"/>
          <w:right w:w="0" w:type="dxa"/>
        </w:tblCellMar>
      </w:tblPr>
      <w:tblGrid>
        <w:gridCol w:w="1876"/>
        <w:gridCol w:w="166"/>
        <w:gridCol w:w="7456"/>
      </w:tblGrid>
      <w:tr>
        <w:trPr/>
        <w:tc>
          <w:tcPr>
            <w:tcW w:w="187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No.</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Description</w:t>
            </w:r>
          </w:p>
        </w:tc>
      </w:tr>
      <w:tr>
        <w:trPr/>
        <w:tc>
          <w:tcPr>
            <w:tcW w:w="1876" w:type="dxa"/>
            <w:tcBorders/>
            <w:vAlign w:val="center"/>
          </w:tcPr>
          <w:p>
            <w:pPr>
              <w:pStyle w:val="TableContents"/>
              <w:pBdr/>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10.27 *</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hyperlink w:anchor="legh-20240930xex10d27.htm">
              <w:r>
                <w:rPr>
                  <w:rStyle w:val="InternetLink"/>
                  <w:rFonts w:ascii="Times New Roman;Times;serif" w:hAnsi="Times New Roman;Times;serif"/>
                  <w:b w:val="false"/>
                  <w:i w:val="false"/>
                  <w:caps w:val="false"/>
                  <w:smallCaps w:val="false"/>
                  <w:sz w:val="20"/>
                </w:rPr>
                <w:t>Settlement Agreement and Release dated July 27, 2024</w:t>
              </w:r>
            </w:hyperlink>
          </w:p>
        </w:tc>
      </w:tr>
      <w:tr>
        <w:trPr/>
        <w:tc>
          <w:tcPr>
            <w:tcW w:w="1876" w:type="dxa"/>
            <w:tcBorders/>
            <w:vAlign w:val="center"/>
          </w:tcPr>
          <w:p>
            <w:pPr>
              <w:pStyle w:val="TableContents"/>
              <w:pBdr/>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31.1  *</w:t>
            </w:r>
          </w:p>
        </w:tc>
        <w:tc>
          <w:tcPr>
            <w:tcW w:w="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6" w:type="dxa"/>
            <w:tcBorders/>
            <w:vAlign w:val="center"/>
          </w:tcPr>
          <w:p>
            <w:pPr>
              <w:pStyle w:val="TableContents"/>
              <w:bidi w:val="0"/>
              <w:spacing w:before="0" w:after="0"/>
              <w:ind w:left="0" w:right="0" w:hanging="0"/>
              <w:jc w:val="left"/>
              <w:rPr/>
            </w:pPr>
            <w:hyperlink w:anchor="legh-20240930xex31d1.htm">
              <w:r>
                <w:rPr>
                  <w:rStyle w:val="InternetLink"/>
                  <w:rFonts w:ascii="Times New Roman;Times;serif" w:hAnsi="Times New Roman;Times;serif"/>
                  <w:b w:val="false"/>
                  <w:i w:val="false"/>
                  <w:caps w:val="false"/>
                  <w:smallCaps w:val="false"/>
                  <w:sz w:val="20"/>
                </w:rPr>
                <w:t>Rule 13a—14(a) / 15d—14(a) Certifications — Chief Executive Officer.</w:t>
              </w:r>
            </w:hyperlink>
          </w:p>
        </w:tc>
      </w:tr>
      <w:tr>
        <w:trPr/>
        <w:tc>
          <w:tcPr>
            <w:tcW w:w="187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31.2  *</w:t>
            </w:r>
          </w:p>
        </w:tc>
        <w:tc>
          <w:tcPr>
            <w:tcW w:w="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6" w:type="dxa"/>
            <w:tcBorders/>
            <w:vAlign w:val="center"/>
          </w:tcPr>
          <w:p>
            <w:pPr>
              <w:pStyle w:val="TableContents"/>
              <w:bidi w:val="0"/>
              <w:spacing w:before="0" w:after="0"/>
              <w:ind w:left="0" w:right="0" w:hanging="0"/>
              <w:jc w:val="left"/>
              <w:rPr/>
            </w:pPr>
            <w:hyperlink w:anchor="legh-20240930xex31d2.htm">
              <w:r>
                <w:rPr>
                  <w:rStyle w:val="InternetLink"/>
                  <w:rFonts w:ascii="Times New Roman;Times;serif" w:hAnsi="Times New Roman;Times;serif"/>
                  <w:b w:val="false"/>
                  <w:i w:val="false"/>
                  <w:caps w:val="false"/>
                  <w:smallCaps w:val="false"/>
                  <w:sz w:val="20"/>
                </w:rPr>
                <w:t>Rule 13a—14(a) / 15d—14(a) Certifications — Chief Financial Officer.</w:t>
              </w:r>
            </w:hyperlink>
          </w:p>
        </w:tc>
      </w:tr>
      <w:tr>
        <w:trPr/>
        <w:tc>
          <w:tcPr>
            <w:tcW w:w="187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32.1  *</w:t>
            </w:r>
          </w:p>
        </w:tc>
        <w:tc>
          <w:tcPr>
            <w:tcW w:w="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6" w:type="dxa"/>
            <w:tcBorders/>
            <w:vAlign w:val="center"/>
          </w:tcPr>
          <w:p>
            <w:pPr>
              <w:pStyle w:val="TableContents"/>
              <w:bidi w:val="0"/>
              <w:spacing w:before="0" w:after="0"/>
              <w:ind w:left="0" w:right="0" w:hanging="0"/>
              <w:jc w:val="left"/>
              <w:rPr/>
            </w:pPr>
            <w:hyperlink w:anchor="legh-20240930xex32d1.htm">
              <w:r>
                <w:rPr>
                  <w:rStyle w:val="InternetLink"/>
                  <w:rFonts w:ascii="Times New Roman;Times;serif" w:hAnsi="Times New Roman;Times;serif"/>
                  <w:b w:val="false"/>
                  <w:i w:val="false"/>
                  <w:caps w:val="false"/>
                  <w:smallCaps w:val="false"/>
                  <w:sz w:val="20"/>
                </w:rPr>
                <w:t>Section 1350 Certification.</w:t>
              </w:r>
            </w:hyperlink>
          </w:p>
        </w:tc>
      </w:tr>
      <w:tr>
        <w:trPr/>
        <w:tc>
          <w:tcPr>
            <w:tcW w:w="187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32.2  *</w:t>
            </w:r>
          </w:p>
        </w:tc>
        <w:tc>
          <w:tcPr>
            <w:tcW w:w="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6" w:type="dxa"/>
            <w:tcBorders/>
            <w:vAlign w:val="center"/>
          </w:tcPr>
          <w:p>
            <w:pPr>
              <w:pStyle w:val="TableContents"/>
              <w:bidi w:val="0"/>
              <w:spacing w:before="0" w:after="0"/>
              <w:ind w:left="0" w:right="0" w:hanging="0"/>
              <w:jc w:val="left"/>
              <w:rPr/>
            </w:pPr>
            <w:hyperlink w:anchor="legh-20240930xex32d2.htm">
              <w:r>
                <w:rPr>
                  <w:rStyle w:val="InternetLink"/>
                  <w:rFonts w:ascii="Times New Roman;Times;serif" w:hAnsi="Times New Roman;Times;serif"/>
                  <w:b w:val="false"/>
                  <w:i w:val="false"/>
                  <w:caps w:val="false"/>
                  <w:smallCaps w:val="false"/>
                  <w:sz w:val="20"/>
                </w:rPr>
                <w:t>Section 1350 Certification.</w:t>
              </w:r>
            </w:hyperlink>
          </w:p>
        </w:tc>
      </w:tr>
      <w:tr>
        <w:trPr/>
        <w:tc>
          <w:tcPr>
            <w:tcW w:w="187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101.INS  *</w:t>
            </w:r>
          </w:p>
        </w:tc>
        <w:tc>
          <w:tcPr>
            <w:tcW w:w="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Instance Document.</w:t>
            </w:r>
          </w:p>
        </w:tc>
      </w:tr>
      <w:tr>
        <w:trPr/>
        <w:tc>
          <w:tcPr>
            <w:tcW w:w="187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101.SCH  *</w:t>
            </w:r>
          </w:p>
        </w:tc>
        <w:tc>
          <w:tcPr>
            <w:tcW w:w="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187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101.CAL  *</w:t>
            </w:r>
          </w:p>
        </w:tc>
        <w:tc>
          <w:tcPr>
            <w:tcW w:w="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187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101.DEF  *</w:t>
            </w:r>
          </w:p>
        </w:tc>
        <w:tc>
          <w:tcPr>
            <w:tcW w:w="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187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101.LAB  *</w:t>
            </w:r>
          </w:p>
        </w:tc>
        <w:tc>
          <w:tcPr>
            <w:tcW w:w="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187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101.PRE  *</w:t>
            </w:r>
          </w:p>
        </w:tc>
        <w:tc>
          <w:tcPr>
            <w:tcW w:w="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1876" w:type="dxa"/>
            <w:tcBorders/>
            <w:vAlign w:val="center"/>
          </w:tcPr>
          <w:p>
            <w:pPr>
              <w:pStyle w:val="TableContents"/>
              <w:pBdr/>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6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1461" w:name="SIGNATURES_65971"/>
      <w:bookmarkStart w:id="1462" w:name="_ebdc8bbc_05d7_42be_87b4_06367ad5fd77"/>
      <w:bookmarkEnd w:id="1461"/>
      <w:bookmarkEnd w:id="1462"/>
      <w:r>
        <w:rPr>
          <w:rFonts w:ascii="Times New Roman;Times;serif" w:hAnsi="Times New Roman;Times;serif"/>
          <w:b/>
          <w:sz w:val="20"/>
        </w:rPr>
        <w:t>SIGNATURES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823" w:type="dxa"/>
        <w:jc w:val="left"/>
        <w:tblInd w:w="0" w:type="dxa"/>
        <w:tblLayout w:type="fixed"/>
        <w:tblCellMar>
          <w:top w:w="0" w:type="dxa"/>
          <w:left w:w="0" w:type="dxa"/>
          <w:bottom w:w="0" w:type="dxa"/>
          <w:right w:w="0" w:type="dxa"/>
        </w:tblCellMar>
      </w:tblPr>
      <w:tblGrid>
        <w:gridCol w:w="2206"/>
        <w:gridCol w:w="406"/>
        <w:gridCol w:w="3211"/>
      </w:tblGrid>
      <w:tr>
        <w:trPr/>
        <w:tc>
          <w:tcPr>
            <w:tcW w:w="2206" w:type="dxa"/>
            <w:tcBorders/>
            <w:vAlign w:val="center"/>
          </w:tcPr>
          <w:p>
            <w:pPr>
              <w:pStyle w:val="TableContents"/>
              <w:bidi w:val="0"/>
              <w:spacing w:before="0" w:after="0"/>
              <w:ind w:left="0" w:right="0" w:hanging="0"/>
              <w:jc w:val="left"/>
              <w:rPr/>
            </w:pPr>
            <w:r>
              <w:rPr/>
              <w:t>​</w:t>
            </w:r>
          </w:p>
        </w:tc>
        <w:tc>
          <w:tcPr>
            <w:tcW w:w="361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LEGACY HOUSING CORPORATION</w:t>
            </w:r>
          </w:p>
        </w:tc>
      </w:tr>
      <w:tr>
        <w:trPr/>
        <w:tc>
          <w:tcPr>
            <w:tcW w:w="2206" w:type="dxa"/>
            <w:tcBorders/>
            <w:vAlign w:val="center"/>
          </w:tcPr>
          <w:p>
            <w:pPr>
              <w:pStyle w:val="TableContents"/>
              <w:bidi w:val="0"/>
              <w:spacing w:before="0" w:after="0"/>
              <w:ind w:left="0" w:right="0" w:hanging="0"/>
              <w:jc w:val="left"/>
              <w:rPr/>
            </w:pPr>
            <w:r>
              <w:rPr/>
              <w:t>​</w:t>
            </w:r>
          </w:p>
        </w:tc>
        <w:tc>
          <w:tcPr>
            <w:tcW w:w="3617" w:type="dxa"/>
            <w:gridSpan w:val="2"/>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pPr>
            <w:r>
              <w:rPr/>
              <w:t>​</w:t>
            </w:r>
          </w:p>
        </w:tc>
        <w:tc>
          <w:tcPr>
            <w:tcW w:w="3617" w:type="dxa"/>
            <w:gridSpan w:val="2"/>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pPr>
            <w:r>
              <w:rPr/>
              <w:t>​</w:t>
            </w:r>
          </w:p>
        </w:tc>
        <w:tc>
          <w:tcPr>
            <w:tcW w:w="3617" w:type="dxa"/>
            <w:gridSpan w:val="2"/>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12, 2024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 DUNCAN BATES</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 Duncan Bates</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12, 2024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JEFFREY FIEDELMAN</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Fiedelman</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40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240"/>
        <w:ind w:left="0" w:right="0" w:hanging="0"/>
        <w:jc w:val="right"/>
        <w:rPr>
          <w:rFonts w:ascii="Times New Roman;Times;serif" w:hAnsi="Times New Roman;Times;serif"/>
          <w:sz w:val="20"/>
        </w:rPr>
      </w:pPr>
      <w:bookmarkStart w:id="1463" w:name="legh-20240930xex10d27.htm"/>
      <w:bookmarkStart w:id="1464" w:name="kslegh20240930xex10d27"/>
      <w:bookmarkEnd w:id="1463"/>
      <w:bookmarkEnd w:id="1464"/>
      <w:r>
        <w:rPr>
          <w:rFonts w:ascii="Times New Roman;Times;serif" w:hAnsi="Times New Roman;Times;serif"/>
          <w:b/>
          <w:sz w:val="24"/>
        </w:rPr>
        <w:t>Exhibit</w:t>
      </w:r>
      <w:r>
        <w:rPr>
          <w:rFonts w:ascii="Times New Roman;Times;serif" w:hAnsi="Times New Roman;Times;serif"/>
          <w:sz w:val="20"/>
        </w:rPr>
        <w:t> </w:t>
      </w:r>
      <w:r>
        <w:rPr>
          <w:rFonts w:ascii="Times New Roman;Times;serif" w:hAnsi="Times New Roman;Times;serif"/>
          <w:b/>
          <w:sz w:val="24"/>
        </w:rPr>
        <w:t>10.27</w:t>
      </w:r>
      <w:r>
        <w:br w:type="page"/>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SETTLEMENT AGREEMENT AND RELEASE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This Settlement Agreement and Release (the </w:t>
      </w:r>
      <w:r>
        <w:rPr>
          <w:rFonts w:ascii="Times New Roman;Times;serif" w:hAnsi="Times New Roman;Times;serif"/>
          <w:sz w:val="20"/>
        </w:rPr>
        <w:t>“</w:t>
      </w:r>
      <w:r>
        <w:rPr>
          <w:rFonts w:ascii="Times New Roman;Times;serif" w:hAnsi="Times New Roman;Times;serif"/>
          <w:sz w:val="24"/>
        </w:rPr>
        <w:t>Agreement</w:t>
      </w:r>
      <w:r>
        <w:rPr>
          <w:rFonts w:ascii="Times New Roman;Times;serif" w:hAnsi="Times New Roman;Times;serif"/>
          <w:sz w:val="20"/>
        </w:rPr>
        <w:t>”</w:t>
      </w:r>
      <w:r>
        <w:rPr>
          <w:rFonts w:ascii="Times New Roman;Times;serif" w:hAnsi="Times New Roman;Times;serif"/>
          <w:sz w:val="24"/>
        </w:rPr>
        <w:t xml:space="preserve">) shall resolve all pending claims in the following lawsuits (collectively, the </w:t>
      </w:r>
      <w:r>
        <w:rPr>
          <w:rFonts w:ascii="Times New Roman;Times;serif" w:hAnsi="Times New Roman;Times;serif"/>
          <w:sz w:val="20"/>
        </w:rPr>
        <w:t>“</w:t>
      </w:r>
      <w:r>
        <w:rPr>
          <w:rFonts w:ascii="Times New Roman;Times;serif" w:hAnsi="Times New Roman;Times;serif"/>
          <w:sz w:val="24"/>
        </w:rPr>
        <w:t>Litigation</w:t>
      </w:r>
      <w:r>
        <w:rPr>
          <w:rFonts w:ascii="Times New Roman;Times;serif" w:hAnsi="Times New Roman;Times;serif"/>
          <w:sz w:val="20"/>
        </w:rPr>
        <w:t>”</w:t>
      </w:r>
      <w:r>
        <w:rPr>
          <w:rFonts w:ascii="Times New Roman;Times;serif" w:hAnsi="Times New Roman;Times;serif"/>
          <w:sz w:val="24"/>
        </w:rPr>
        <w:t>), subject to the terms and conditions set out below.</w:t>
      </w:r>
    </w:p>
    <w:tbl>
      <w:tblPr>
        <w:tblW w:w="10205" w:type="dxa"/>
        <w:jc w:val="left"/>
        <w:tblInd w:w="0" w:type="dxa"/>
        <w:tblLayout w:type="fixed"/>
        <w:tblCellMar>
          <w:top w:w="0" w:type="dxa"/>
          <w:left w:w="0" w:type="dxa"/>
          <w:bottom w:w="0" w:type="dxa"/>
          <w:right w:w="0" w:type="dxa"/>
        </w:tblCellMar>
      </w:tblPr>
      <w:tblGrid>
        <w:gridCol w:w="23"/>
        <w:gridCol w:w="168"/>
        <w:gridCol w:w="10014"/>
      </w:tblGrid>
      <w:tr>
        <w:trPr/>
        <w:tc>
          <w:tcPr>
            <w:tcW w:w="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w:t>
            </w:r>
          </w:p>
        </w:tc>
        <w:tc>
          <w:tcPr>
            <w:tcW w:w="1001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i/>
                <w:sz w:val="24"/>
              </w:rPr>
              <w:t>Legacy Housing Corp. v. Bill Rodwell et al.</w:t>
            </w:r>
            <w:r>
              <w:rPr>
                <w:rFonts w:ascii="Times New Roman;Times;serif" w:hAnsi="Times New Roman;Times;serif"/>
                <w:sz w:val="24"/>
              </w:rPr>
              <w:t xml:space="preserve">, No. 4:24-cv-00096-P consolidated with No. 4:24-CV-00300-P, pending in the United States District Court for the Northern District of Texas (the </w:t>
            </w:r>
            <w:r>
              <w:rPr>
                <w:rFonts w:ascii="Times New Roman;Times;serif" w:hAnsi="Times New Roman;Times;serif"/>
                <w:sz w:val="20"/>
              </w:rPr>
              <w:t>“</w:t>
            </w:r>
            <w:r>
              <w:rPr>
                <w:rFonts w:ascii="Times New Roman;Times;serif" w:hAnsi="Times New Roman;Times;serif"/>
                <w:sz w:val="24"/>
              </w:rPr>
              <w:t>Texas Lawsuit</w:t>
            </w:r>
            <w:r>
              <w:rPr>
                <w:rFonts w:ascii="Times New Roman;Times;serif" w:hAnsi="Times New Roman;Times;serif"/>
                <w:sz w:val="20"/>
              </w:rPr>
              <w:t>”</w:t>
            </w:r>
            <w:r>
              <w:rPr>
                <w:rFonts w:ascii="Times New Roman;Times;serif" w:hAnsi="Times New Roman;Times;serif"/>
                <w:sz w:val="24"/>
              </w:rPr>
              <w:t>);</w:t>
            </w:r>
          </w:p>
        </w:tc>
      </w:tr>
    </w:tbl>
    <w:tbl>
      <w:tblPr>
        <w:tblW w:w="10205" w:type="dxa"/>
        <w:jc w:val="left"/>
        <w:tblInd w:w="0" w:type="dxa"/>
        <w:tblLayout w:type="fixed"/>
        <w:tblCellMar>
          <w:top w:w="0" w:type="dxa"/>
          <w:left w:w="0" w:type="dxa"/>
          <w:bottom w:w="0" w:type="dxa"/>
          <w:right w:w="0" w:type="dxa"/>
        </w:tblCellMar>
      </w:tblPr>
      <w:tblGrid>
        <w:gridCol w:w="23"/>
        <w:gridCol w:w="164"/>
        <w:gridCol w:w="10018"/>
      </w:tblGrid>
      <w:tr>
        <w:trPr/>
        <w:tc>
          <w:tcPr>
            <w:tcW w:w="2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w:t>
            </w:r>
          </w:p>
        </w:tc>
        <w:tc>
          <w:tcPr>
            <w:tcW w:w="1001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i/>
                <w:sz w:val="24"/>
              </w:rPr>
              <w:t>Cleveland MHC, LLC v. Legacy Housing Corp. and Jeffery V. Burt</w:t>
            </w:r>
            <w:r>
              <w:rPr>
                <w:rFonts w:ascii="Times New Roman;Times;serif" w:hAnsi="Times New Roman;Times;serif"/>
                <w:sz w:val="24"/>
              </w:rPr>
              <w:t>, No. 3:24-CV-00084-DPJ-ASH, pending in the United States District Court for the Southern District of Mississippi</w:t>
            </w:r>
            <w:r>
              <w:rPr>
                <w:rFonts w:ascii="Times New Roman;Times;serif" w:hAnsi="Times New Roman;Times;serif"/>
                <w:sz w:val="20"/>
              </w:rPr>
              <w:t>—</w:t>
            </w:r>
            <w:r>
              <w:rPr>
                <w:rFonts w:ascii="Times New Roman;Times;serif" w:hAnsi="Times New Roman;Times;serif"/>
                <w:sz w:val="24"/>
              </w:rPr>
              <w:t xml:space="preserve">Northern Division (the </w:t>
            </w:r>
            <w:r>
              <w:rPr>
                <w:rFonts w:ascii="Times New Roman;Times;serif" w:hAnsi="Times New Roman;Times;serif"/>
                <w:sz w:val="20"/>
              </w:rPr>
              <w:t>“</w:t>
            </w:r>
            <w:r>
              <w:rPr>
                <w:rFonts w:ascii="Times New Roman;Times;serif" w:hAnsi="Times New Roman;Times;serif"/>
                <w:sz w:val="24"/>
              </w:rPr>
              <w:t>Mississippi Lawsuit</w:t>
            </w:r>
            <w:r>
              <w:rPr>
                <w:rFonts w:ascii="Times New Roman;Times;serif" w:hAnsi="Times New Roman;Times;serif"/>
                <w:sz w:val="20"/>
              </w:rPr>
              <w:t>”</w:t>
            </w:r>
            <w:r>
              <w:rPr>
                <w:rFonts w:ascii="Times New Roman;Times;serif" w:hAnsi="Times New Roman;Times;serif"/>
                <w:sz w:val="24"/>
              </w:rPr>
              <w:t>); and</w:t>
            </w:r>
          </w:p>
        </w:tc>
      </w:tr>
    </w:tbl>
    <w:tbl>
      <w:tblPr>
        <w:tblW w:w="10205" w:type="dxa"/>
        <w:jc w:val="left"/>
        <w:tblInd w:w="0" w:type="dxa"/>
        <w:tblLayout w:type="fixed"/>
        <w:tblCellMar>
          <w:top w:w="0" w:type="dxa"/>
          <w:left w:w="0" w:type="dxa"/>
          <w:bottom w:w="0" w:type="dxa"/>
          <w:right w:w="0" w:type="dxa"/>
        </w:tblCellMar>
      </w:tblPr>
      <w:tblGrid>
        <w:gridCol w:w="23"/>
        <w:gridCol w:w="154"/>
        <w:gridCol w:w="10028"/>
      </w:tblGrid>
      <w:tr>
        <w:trPr/>
        <w:tc>
          <w:tcPr>
            <w:tcW w:w="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3.</w:t>
            </w:r>
          </w:p>
        </w:tc>
        <w:tc>
          <w:tcPr>
            <w:tcW w:w="1002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i/>
                <w:sz w:val="24"/>
              </w:rPr>
              <w:t>Legacy Housing Corp. v. Country Aire Homes of LA, LLC et al.</w:t>
            </w:r>
            <w:r>
              <w:rPr>
                <w:rFonts w:ascii="Times New Roman;Times;serif" w:hAnsi="Times New Roman;Times;serif"/>
                <w:sz w:val="24"/>
              </w:rPr>
              <w:t xml:space="preserve">, No. 1:24-cv-00460, pending in the United States District Court for the Western District of Louisiana and </w:t>
            </w:r>
            <w:r>
              <w:rPr>
                <w:rFonts w:ascii="Times New Roman;Times;serif" w:hAnsi="Times New Roman;Times;serif"/>
                <w:i/>
                <w:sz w:val="24"/>
              </w:rPr>
              <w:t>Legacy Housing Corp. v. Country Aire MHP LLC, et al.</w:t>
            </w:r>
            <w:r>
              <w:rPr>
                <w:rFonts w:ascii="Times New Roman;Times;serif" w:hAnsi="Times New Roman;Times;serif"/>
                <w:sz w:val="24"/>
              </w:rPr>
              <w:t>, No. 2:24-cv-00525-JDC-TPL, pending in the United States District Court for the Western District of Louisiana</w:t>
            </w:r>
            <w:r>
              <w:rPr>
                <w:rFonts w:ascii="Times New Roman;Times;serif" w:hAnsi="Times New Roman;Times;serif"/>
                <w:sz w:val="20"/>
              </w:rPr>
              <w:t>—</w:t>
            </w:r>
            <w:r>
              <w:rPr>
                <w:rFonts w:ascii="Times New Roman;Times;serif" w:hAnsi="Times New Roman;Times;serif"/>
                <w:sz w:val="24"/>
              </w:rPr>
              <w:t xml:space="preserve">Lake Charles Division (the </w:t>
            </w:r>
            <w:r>
              <w:rPr>
                <w:rFonts w:ascii="Times New Roman;Times;serif" w:hAnsi="Times New Roman;Times;serif"/>
                <w:sz w:val="20"/>
              </w:rPr>
              <w:t>“</w:t>
            </w:r>
            <w:r>
              <w:rPr>
                <w:rFonts w:ascii="Times New Roman;Times;serif" w:hAnsi="Times New Roman;Times;serif"/>
                <w:sz w:val="24"/>
              </w:rPr>
              <w:t>Louisiana Lawsuits</w:t>
            </w:r>
            <w:r>
              <w:rPr>
                <w:rFonts w:ascii="Times New Roman;Times;serif" w:hAnsi="Times New Roman;Times;serif"/>
                <w:sz w:val="20"/>
              </w:rPr>
              <w:t>”</w:t>
            </w:r>
            <w:r>
              <w:rPr>
                <w:rFonts w:ascii="Times New Roman;Times;serif" w:hAnsi="Times New Roman;Times;serif"/>
                <w:sz w:val="24"/>
              </w:rPr>
              <w: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The </w:t>
      </w:r>
      <w:r>
        <w:rPr>
          <w:rFonts w:ascii="Times New Roman;Times;serif" w:hAnsi="Times New Roman;Times;serif"/>
          <w:sz w:val="20"/>
        </w:rPr>
        <w:t>“</w:t>
      </w:r>
      <w:r>
        <w:rPr>
          <w:rFonts w:ascii="Times New Roman;Times;serif" w:hAnsi="Times New Roman;Times;serif"/>
          <w:sz w:val="24"/>
        </w:rPr>
        <w:t>Parties</w:t>
      </w:r>
      <w:r>
        <w:rPr>
          <w:rFonts w:ascii="Times New Roman;Times;serif" w:hAnsi="Times New Roman;Times;serif"/>
          <w:sz w:val="20"/>
        </w:rPr>
        <w:t xml:space="preserve">” </w:t>
      </w:r>
      <w:r>
        <w:rPr>
          <w:rFonts w:ascii="Times New Roman;Times;serif" w:hAnsi="Times New Roman;Times;serif"/>
          <w:sz w:val="24"/>
        </w:rPr>
        <w:t>include Legacy Housing Corporation (</w:t>
      </w:r>
      <w:r>
        <w:rPr>
          <w:rFonts w:ascii="Times New Roman;Times;serif" w:hAnsi="Times New Roman;Times;serif"/>
          <w:sz w:val="20"/>
        </w:rPr>
        <w:t>“</w:t>
      </w:r>
      <w:r>
        <w:rPr>
          <w:rFonts w:ascii="Times New Roman;Times;serif" w:hAnsi="Times New Roman;Times;serif"/>
          <w:sz w:val="24"/>
        </w:rPr>
        <w:t>Legacy</w:t>
      </w:r>
      <w:r>
        <w:rPr>
          <w:rFonts w:ascii="Times New Roman;Times;serif" w:hAnsi="Times New Roman;Times;serif"/>
          <w:sz w:val="20"/>
        </w:rPr>
        <w:t>”</w:t>
      </w:r>
      <w:r>
        <w:rPr>
          <w:rFonts w:ascii="Times New Roman;Times;serif" w:hAnsi="Times New Roman;Times;serif"/>
          <w:sz w:val="24"/>
        </w:rPr>
        <w:t xml:space="preserve">) and Curtis D. Hodgson (collectively, the </w:t>
      </w:r>
      <w:r>
        <w:rPr>
          <w:rFonts w:ascii="Times New Roman;Times;serif" w:hAnsi="Times New Roman;Times;serif"/>
          <w:sz w:val="20"/>
        </w:rPr>
        <w:t>“</w:t>
      </w:r>
      <w:r>
        <w:rPr>
          <w:rFonts w:ascii="Times New Roman;Times;serif" w:hAnsi="Times New Roman;Times;serif"/>
          <w:sz w:val="24"/>
        </w:rPr>
        <w:t>Plaintiffs</w:t>
      </w:r>
      <w:r>
        <w:rPr>
          <w:rFonts w:ascii="Times New Roman;Times;serif" w:hAnsi="Times New Roman;Times;serif"/>
          <w:sz w:val="20"/>
        </w:rPr>
        <w:t>”</w:t>
      </w:r>
      <w:r>
        <w:rPr>
          <w:rFonts w:ascii="Times New Roman;Times;serif" w:hAnsi="Times New Roman;Times;serif"/>
          <w:sz w:val="24"/>
        </w:rPr>
        <w:t xml:space="preserve">), William Rodwell, Cynthia Rodwell, Tony Hartsgrove, Robert T. Hutson II, Yakov Plotnikov, Eric D. Wooten (collectively, the </w:t>
      </w:r>
      <w:r>
        <w:rPr>
          <w:rFonts w:ascii="Times New Roman;Times;serif" w:hAnsi="Times New Roman;Times;serif"/>
          <w:sz w:val="20"/>
        </w:rPr>
        <w:t>“</w:t>
      </w:r>
      <w:r>
        <w:rPr>
          <w:rFonts w:ascii="Times New Roman;Times;serif" w:hAnsi="Times New Roman;Times;serif"/>
          <w:sz w:val="24"/>
        </w:rPr>
        <w:t>Individual Defendants</w:t>
      </w:r>
      <w:r>
        <w:rPr>
          <w:rFonts w:ascii="Times New Roman;Times;serif" w:hAnsi="Times New Roman;Times;serif"/>
          <w:sz w:val="20"/>
        </w:rPr>
        <w:t>”</w:t>
      </w:r>
      <w:r>
        <w:rPr>
          <w:rFonts w:ascii="Times New Roman;Times;serif" w:hAnsi="Times New Roman;Times;serif"/>
          <w:sz w:val="24"/>
        </w:rPr>
        <w:t>), Cleveland MHC, LLC (</w:t>
      </w:r>
      <w:r>
        <w:rPr>
          <w:rFonts w:ascii="Times New Roman;Times;serif" w:hAnsi="Times New Roman;Times;serif"/>
          <w:sz w:val="20"/>
        </w:rPr>
        <w:t>“</w:t>
      </w:r>
      <w:r>
        <w:rPr>
          <w:rFonts w:ascii="Times New Roman;Times;serif" w:hAnsi="Times New Roman;Times;serif"/>
          <w:sz w:val="24"/>
        </w:rPr>
        <w:t>Cleveland</w:t>
      </w:r>
      <w:r>
        <w:rPr>
          <w:rFonts w:ascii="Times New Roman;Times;serif" w:hAnsi="Times New Roman;Times;serif"/>
          <w:sz w:val="20"/>
        </w:rPr>
        <w:t>”</w:t>
      </w:r>
      <w:r>
        <w:rPr>
          <w:rFonts w:ascii="Times New Roman;Times;serif" w:hAnsi="Times New Roman;Times;serif"/>
          <w:sz w:val="24"/>
        </w:rPr>
        <w:t>), Country Aire Homes of LA, LLC, Forest Hollow, LLC (</w:t>
      </w:r>
      <w:r>
        <w:rPr>
          <w:rFonts w:ascii="Times New Roman;Times;serif" w:hAnsi="Times New Roman;Times;serif"/>
          <w:sz w:val="20"/>
        </w:rPr>
        <w:t>“</w:t>
      </w:r>
      <w:r>
        <w:rPr>
          <w:rFonts w:ascii="Times New Roman;Times;serif" w:hAnsi="Times New Roman;Times;serif"/>
          <w:sz w:val="24"/>
        </w:rPr>
        <w:t>Forest Hollow</w:t>
      </w:r>
      <w:r>
        <w:rPr>
          <w:rFonts w:ascii="Times New Roman;Times;serif" w:hAnsi="Times New Roman;Times;serif"/>
          <w:sz w:val="20"/>
        </w:rPr>
        <w:t>”</w:t>
      </w:r>
      <w:r>
        <w:rPr>
          <w:rFonts w:ascii="Times New Roman;Times;serif" w:hAnsi="Times New Roman;Times;serif"/>
          <w:sz w:val="24"/>
        </w:rPr>
        <w:t xml:space="preserve">), Gulf Stream Homes of LA, LLC, Gulf Stream Homes of MS, LLC, Stellar GS Homes, LLC, SINOP GS Homes, LLC, Gulf Stream Manor Phase 2 Homes, LLC, Iowa Homes, LLC, Southern Pointe Homes, LLC, Southern Pointe Investments, LLC, Southern Pointe Investments II, LLC, Stellar GS Homes LLC, and Country Aire MHP LLC (collectively, the </w:t>
      </w:r>
      <w:r>
        <w:rPr>
          <w:rFonts w:ascii="Times New Roman;Times;serif" w:hAnsi="Times New Roman;Times;serif"/>
          <w:sz w:val="20"/>
        </w:rPr>
        <w:t>“</w:t>
      </w:r>
      <w:r>
        <w:rPr>
          <w:rFonts w:ascii="Times New Roman;Times;serif" w:hAnsi="Times New Roman;Times;serif"/>
          <w:sz w:val="24"/>
        </w:rPr>
        <w:t>Entity Defendants</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material terms of this Agreement are as follows: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 Consideration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As consideration for the mutual release described in Section 3:</w:t>
      </w:r>
    </w:p>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both"/>
              <w:rPr>
                <w:rFonts w:ascii="Symbol" w:hAnsi="Symbol"/>
                <w:sz w:val="24"/>
              </w:rPr>
            </w:pPr>
            <w:r>
              <w:rPr>
                <w:rFonts w:ascii="Symbol" w:hAnsi="Symbol"/>
                <w:sz w:val="24"/>
              </w:rPr>
              <w:t>·</w:t>
            </w:r>
          </w:p>
        </w:tc>
        <w:tc>
          <w:tcPr>
            <w:tcW w:w="100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 xml:space="preserve">Forest Hollow shall convey clear title, and the undisputed right to possess, all real and personal property located on or at the Forest Hollow Mobile Home Community, 6650 Broad Oak Street, Beaumont, TX 77713 (the </w:t>
            </w:r>
            <w:r>
              <w:rPr>
                <w:rFonts w:ascii="Times New Roman;Times;serif" w:hAnsi="Times New Roman;Times;serif"/>
                <w:sz w:val="20"/>
              </w:rPr>
              <w:t>“</w:t>
            </w:r>
            <w:r>
              <w:rPr>
                <w:rFonts w:ascii="Times New Roman;Times;serif" w:hAnsi="Times New Roman;Times;serif"/>
                <w:sz w:val="24"/>
              </w:rPr>
              <w:t>Forest Hollow Mobile Home Community</w:t>
            </w:r>
            <w:r>
              <w:rPr>
                <w:rFonts w:ascii="Times New Roman;Times;serif" w:hAnsi="Times New Roman;Times;serif"/>
                <w:sz w:val="20"/>
              </w:rPr>
              <w:t>”</w:t>
            </w:r>
            <w:r>
              <w:rPr>
                <w:rFonts w:ascii="Times New Roman;Times;serif" w:hAnsi="Times New Roman;Times;serif"/>
                <w:sz w:val="24"/>
              </w:rPr>
              <w:t>) to Legacy;</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both"/>
              <w:rPr>
                <w:rFonts w:ascii="Symbol" w:hAnsi="Symbol"/>
                <w:sz w:val="24"/>
              </w:rPr>
            </w:pPr>
            <w:r>
              <w:rPr>
                <w:rFonts w:ascii="Symbol" w:hAnsi="Symbol"/>
                <w:sz w:val="24"/>
              </w:rPr>
              <w:t>·</w:t>
            </w:r>
          </w:p>
        </w:tc>
        <w:tc>
          <w:tcPr>
            <w:tcW w:w="100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 xml:space="preserve">Cleveland shall convey clear title, and the undisputed right to possess, all real and personal property located on or at the Cleveland Mobile Home Community, 110 Old Hwy 49 S. Richland, MS 39218 (the </w:t>
            </w:r>
            <w:r>
              <w:rPr>
                <w:rFonts w:ascii="Times New Roman;Times;serif" w:hAnsi="Times New Roman;Times;serif"/>
                <w:sz w:val="20"/>
              </w:rPr>
              <w:t>“</w:t>
            </w:r>
            <w:r>
              <w:rPr>
                <w:rFonts w:ascii="Times New Roman;Times;serif" w:hAnsi="Times New Roman;Times;serif"/>
                <w:sz w:val="24"/>
              </w:rPr>
              <w:t>Cleveland Mobile Home Community</w:t>
            </w:r>
            <w:r>
              <w:rPr>
                <w:rFonts w:ascii="Times New Roman;Times;serif" w:hAnsi="Times New Roman;Times;serif"/>
                <w:sz w:val="20"/>
              </w:rPr>
              <w:t>”</w:t>
            </w:r>
            <w:r>
              <w:rPr>
                <w:rFonts w:ascii="Times New Roman;Times;serif" w:hAnsi="Times New Roman;Times;serif"/>
                <w:sz w:val="24"/>
              </w:rPr>
              <w:t>) to Legacy;</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both"/>
              <w:rPr>
                <w:rFonts w:ascii="Symbol" w:hAnsi="Symbol"/>
                <w:sz w:val="24"/>
              </w:rPr>
            </w:pPr>
            <w:r>
              <w:rPr>
                <w:rFonts w:ascii="Symbol" w:hAnsi="Symbol"/>
                <w:sz w:val="24"/>
              </w:rPr>
              <w:t>·</w:t>
            </w:r>
          </w:p>
        </w:tc>
        <w:tc>
          <w:tcPr>
            <w:tcW w:w="10057"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Cleveland and Forest Hollow shall assign all intangible assets, including all leases, contracts, and goodwill applicable or related to the real and personal property located on or at the Forest Hollow Mobile Home Community and the Cleveland Mobile Home Community to Legacy;</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both"/>
              <w:rPr>
                <w:rFonts w:ascii="Symbol" w:hAnsi="Symbol"/>
                <w:sz w:val="24"/>
              </w:rPr>
            </w:pPr>
            <w:r>
              <w:rPr>
                <w:rFonts w:ascii="Symbol" w:hAnsi="Symbol"/>
                <w:sz w:val="24"/>
              </w:rPr>
              <w:t>·</w:t>
            </w:r>
          </w:p>
        </w:tc>
        <w:tc>
          <w:tcPr>
            <w:tcW w:w="10057"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Individual and Entity Defendants shall irrevocably waive any and all claims related to existing deposits; and</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tbl>
      <w:tblPr>
        <w:tblW w:w="7413" w:type="dxa"/>
        <w:jc w:val="left"/>
        <w:tblInd w:w="0" w:type="dxa"/>
        <w:tblLayout w:type="fixed"/>
        <w:tblCellMar>
          <w:top w:w="0" w:type="dxa"/>
          <w:left w:w="0" w:type="dxa"/>
          <w:bottom w:w="0" w:type="dxa"/>
          <w:right w:w="0" w:type="dxa"/>
        </w:tblCellMar>
      </w:tblPr>
      <w:tblGrid>
        <w:gridCol w:w="23"/>
        <w:gridCol w:w="125"/>
        <w:gridCol w:w="7265"/>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both"/>
              <w:rPr>
                <w:rFonts w:ascii="Symbol" w:hAnsi="Symbol"/>
                <w:sz w:val="24"/>
              </w:rPr>
            </w:pPr>
            <w:r>
              <w:rPr>
                <w:rFonts w:ascii="Symbol" w:hAnsi="Symbol"/>
                <w:sz w:val="24"/>
              </w:rPr>
              <w:t>·</w:t>
            </w:r>
          </w:p>
        </w:tc>
        <w:tc>
          <w:tcPr>
            <w:tcW w:w="726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Legacy shall refinance the Entity and Individual Defendants</w:t>
            </w:r>
            <w:r>
              <w:rPr>
                <w:rFonts w:ascii="Times New Roman;Times;serif" w:hAnsi="Times New Roman;Times;serif"/>
                <w:sz w:val="20"/>
              </w:rPr>
              <w:t xml:space="preserve">’ </w:t>
            </w:r>
            <w:r>
              <w:rPr>
                <w:rFonts w:ascii="Times New Roman;Times;serif" w:hAnsi="Times New Roman;Times;serif"/>
                <w:sz w:val="24"/>
              </w:rPr>
              <w:t>remaining debt.</w:t>
            </w:r>
          </w:p>
        </w:tc>
      </w:tr>
    </w:tbl>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o</w:t>
            </w:r>
          </w:p>
        </w:tc>
        <w:tc>
          <w:tcPr>
            <w:tcW w:w="100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 xml:space="preserve">The Parties shall enter into a new two-year, $48 million promissory note (the </w:t>
            </w:r>
            <w:r>
              <w:rPr>
                <w:rFonts w:ascii="Times New Roman;Times;serif" w:hAnsi="Times New Roman;Times;serif"/>
                <w:sz w:val="20"/>
              </w:rPr>
              <w:t>“</w:t>
            </w:r>
            <w:r>
              <w:rPr>
                <w:rFonts w:ascii="Times New Roman;Times;serif" w:hAnsi="Times New Roman;Times;serif"/>
                <w:sz w:val="24"/>
              </w:rPr>
              <w:t>Note</w:t>
            </w:r>
            <w:r>
              <w:rPr>
                <w:rFonts w:ascii="Times New Roman;Times;serif" w:hAnsi="Times New Roman;Times;serif"/>
                <w:sz w:val="20"/>
              </w:rPr>
              <w:t>”</w:t>
            </w:r>
            <w:r>
              <w:rPr>
                <w:rFonts w:ascii="Times New Roman;Times;serif" w:hAnsi="Times New Roman;Times;serif"/>
                <w:sz w:val="24"/>
              </w:rPr>
              <w:t>), dated July 3, 2024, that is governed by Louisiana law. Pursuant to this Agreement, the borrower(s) shall have the option to reduce the principal debt due under the Note by up to $5 million by making a lump-sum payment prior to executing the Note and all related security and credit instruments. On a one-to-one basis, Legacy will forgive $1 of debt for every $1 that the borrower(s) pay at signing, up to $2.5 million.</w:t>
            </w:r>
            <w:r>
              <w:rPr>
                <w:rFonts w:ascii="Times New Roman;Times;serif" w:hAnsi="Times New Roman;Times;serif"/>
                <w:sz w:val="18"/>
              </w:rPr>
              <w:t>1</w:t>
            </w:r>
            <w:r>
              <w:rPr>
                <w:rFonts w:ascii="Times New Roman;Times;serif" w:hAnsi="Times New Roman;Times;serif"/>
                <w:sz w:val="20"/>
              </w:rPr>
              <w:t xml:space="preserve"> </w:t>
            </w:r>
            <w:r>
              <w:rPr>
                <w:rFonts w:ascii="Times New Roman;Times;serif" w:hAnsi="Times New Roman;Times;serif"/>
                <w:sz w:val="24"/>
              </w:rPr>
              <w:t>The Note shall bear interest at a rate of 7.9% per annum, shall require monthly, interest-only payments paid by ACH, and shall mature after twenty-four months, with the balance due upon maturity. The borrower(s) shall have the right to release any collateral used to secure the Note by making a Release Payment. The Release Payments are identified in Exhibit A and Exhibit B. Prior to making a Release Payment, the borrower(s) shall provide Legacy with notice and sufficient time to release the collateral. Legacy shall not be required to release any lien on the Real Property until all liens on the Personal Property located on or at the Real Property have been released. The borrower(s) shall not further encumber the collateral that is being encumbered pursuant to this Agreement. Release Payments shall be used to reduce the principal due under the Note, and the Note shall be secured by:</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both"/>
              <w:rPr>
                <w:rFonts w:ascii="Symbol" w:hAnsi="Symbol"/>
                <w:sz w:val="24"/>
              </w:rPr>
            </w:pPr>
            <w:r>
              <w:rPr>
                <w:rFonts w:ascii="Symbol" w:hAnsi="Symbol"/>
                <w:sz w:val="24"/>
              </w:rPr>
              <w:t>·</w:t>
            </w:r>
          </w:p>
        </w:tc>
        <w:tc>
          <w:tcPr>
            <w:tcW w:w="100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 xml:space="preserve">A first priority security interest in the homes identified in Exhibit A (collectively, the </w:t>
            </w:r>
            <w:r>
              <w:rPr>
                <w:rFonts w:ascii="Times New Roman;Times;serif" w:hAnsi="Times New Roman;Times;serif"/>
                <w:sz w:val="20"/>
              </w:rPr>
              <w:t>“</w:t>
            </w:r>
            <w:r>
              <w:rPr>
                <w:rFonts w:ascii="Times New Roman;Times;serif" w:hAnsi="Times New Roman;Times;serif"/>
                <w:sz w:val="24"/>
              </w:rPr>
              <w:t>Personal Property</w:t>
            </w:r>
            <w:r>
              <w:rPr>
                <w:rFonts w:ascii="Times New Roman;Times;serif" w:hAnsi="Times New Roman;Times;serif"/>
                <w:sz w:val="20"/>
              </w:rPr>
              <w:t>”</w:t>
            </w:r>
            <w:r>
              <w:rPr>
                <w:rFonts w:ascii="Times New Roman;Times;serif" w:hAnsi="Times New Roman;Times;serif"/>
                <w:sz w:val="24"/>
              </w:rPr>
              <w:t>), including all fixtures, component parts, and equipment in or attached thereto.</w:t>
            </w:r>
          </w:p>
        </w:tc>
      </w:tr>
    </w:tbl>
    <w:tbl>
      <w:tblPr>
        <w:tblW w:w="8568" w:type="dxa"/>
        <w:jc w:val="left"/>
        <w:tblInd w:w="0" w:type="dxa"/>
        <w:tblLayout w:type="fixed"/>
        <w:tblCellMar>
          <w:top w:w="0" w:type="dxa"/>
          <w:left w:w="0" w:type="dxa"/>
          <w:bottom w:w="0" w:type="dxa"/>
          <w:right w:w="0" w:type="dxa"/>
        </w:tblCellMar>
      </w:tblPr>
      <w:tblGrid>
        <w:gridCol w:w="23"/>
        <w:gridCol w:w="125"/>
        <w:gridCol w:w="8420"/>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both"/>
              <w:rPr>
                <w:rFonts w:ascii="Symbol" w:hAnsi="Symbol"/>
                <w:sz w:val="24"/>
              </w:rPr>
            </w:pPr>
            <w:r>
              <w:rPr>
                <w:rFonts w:ascii="Symbol" w:hAnsi="Symbol"/>
                <w:sz w:val="24"/>
              </w:rPr>
              <w:t>·</w:t>
            </w:r>
          </w:p>
        </w:tc>
        <w:tc>
          <w:tcPr>
            <w:tcW w:w="84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 xml:space="preserve">A first priority mortgage in the real property identified in Exhibit B (the </w:t>
            </w:r>
            <w:r>
              <w:rPr>
                <w:rFonts w:ascii="Times New Roman;Times;serif" w:hAnsi="Times New Roman;Times;serif"/>
                <w:sz w:val="20"/>
              </w:rPr>
              <w:t>“</w:t>
            </w:r>
            <w:r>
              <w:rPr>
                <w:rFonts w:ascii="Times New Roman;Times;serif" w:hAnsi="Times New Roman;Times;serif"/>
                <w:sz w:val="24"/>
              </w:rPr>
              <w:t>Real Property</w:t>
            </w:r>
            <w:r>
              <w:rPr>
                <w:rFonts w:ascii="Times New Roman;Times;serif" w:hAnsi="Times New Roman;Times;serif"/>
                <w:sz w:val="20"/>
              </w:rPr>
              <w:t>”</w:t>
            </w:r>
            <w:r>
              <w:rPr>
                <w:rFonts w:ascii="Times New Roman;Times;serif" w:hAnsi="Times New Roman;Times;serif"/>
                <w:sz w:val="24"/>
              </w:rPr>
              <w:t>).</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both"/>
              <w:rPr>
                <w:rFonts w:ascii="Symbol" w:hAnsi="Symbol"/>
                <w:sz w:val="24"/>
              </w:rPr>
            </w:pPr>
            <w:r>
              <w:rPr>
                <w:rFonts w:ascii="Symbol" w:hAnsi="Symbol"/>
                <w:sz w:val="24"/>
              </w:rPr>
              <w:t>·</w:t>
            </w:r>
          </w:p>
        </w:tc>
        <w:tc>
          <w:tcPr>
            <w:tcW w:w="10057"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A pledge of any and all leases and rents, either current or in the future, related to the Real and Personal Property.</w:t>
            </w:r>
          </w:p>
        </w:tc>
      </w:tr>
    </w:tbl>
    <w:tbl>
      <w:tblPr>
        <w:tblW w:w="5673" w:type="dxa"/>
        <w:jc w:val="left"/>
        <w:tblInd w:w="0" w:type="dxa"/>
        <w:tblLayout w:type="fixed"/>
        <w:tblCellMar>
          <w:top w:w="0" w:type="dxa"/>
          <w:left w:w="0" w:type="dxa"/>
          <w:bottom w:w="0" w:type="dxa"/>
          <w:right w:w="0" w:type="dxa"/>
        </w:tblCellMar>
      </w:tblPr>
      <w:tblGrid>
        <w:gridCol w:w="23"/>
        <w:gridCol w:w="125"/>
        <w:gridCol w:w="5525"/>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both"/>
              <w:rPr>
                <w:rFonts w:ascii="Symbol" w:hAnsi="Symbol"/>
                <w:sz w:val="24"/>
              </w:rPr>
            </w:pPr>
            <w:r>
              <w:rPr>
                <w:rFonts w:ascii="Symbol" w:hAnsi="Symbol"/>
                <w:sz w:val="24"/>
              </w:rPr>
              <w:t>·</w:t>
            </w:r>
          </w:p>
        </w:tc>
        <w:tc>
          <w:tcPr>
            <w:tcW w:w="55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Personal guarantees signed by the Individual Defendants.</w:t>
            </w:r>
            <w:r>
              <w:rPr>
                <w:rFonts w:ascii="Times New Roman;Times;serif" w:hAnsi="Times New Roman;Times;serif"/>
                <w:sz w:val="18"/>
              </w:rPr>
              <w:t>2</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both"/>
              <w:rPr>
                <w:rFonts w:ascii="Symbol" w:hAnsi="Symbol"/>
                <w:sz w:val="24"/>
              </w:rPr>
            </w:pPr>
            <w:r>
              <w:rPr>
                <w:rFonts w:ascii="Symbol" w:hAnsi="Symbol"/>
                <w:sz w:val="24"/>
              </w:rPr>
              <w:t>·</w:t>
            </w:r>
          </w:p>
        </w:tc>
        <w:tc>
          <w:tcPr>
            <w:tcW w:w="10057"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Current certificates of existence and/or good standing for every borrower that is not a natural person issued by the appropriate governmental authority certifying that the entity is validly existing and in good standing in the jurisdiction in which it is organized.</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both"/>
              <w:rPr>
                <w:rFonts w:ascii="Symbol" w:hAnsi="Symbol"/>
                <w:sz w:val="24"/>
              </w:rPr>
            </w:pPr>
            <w:r>
              <w:rPr>
                <w:rFonts w:ascii="Symbol" w:hAnsi="Symbol"/>
                <w:sz w:val="24"/>
              </w:rPr>
              <w:t>·</w:t>
            </w:r>
          </w:p>
        </w:tc>
        <w:tc>
          <w:tcPr>
            <w:tcW w:w="10057"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Current, certified copies of the articles of organization, limited liability company certificate, and operating agreement applicable to every borrower that is not a natural person.</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jc w:val="both"/>
              <w:rPr>
                <w:rFonts w:ascii="Symbol" w:hAnsi="Symbol"/>
                <w:sz w:val="24"/>
              </w:rPr>
            </w:pPr>
            <w:r>
              <w:rPr>
                <w:rFonts w:ascii="Symbol" w:hAnsi="Symbol"/>
                <w:sz w:val="24"/>
              </w:rPr>
              <w:t>·</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4"/>
              </w:rPr>
              <w:t>Such other security and credit instruments as are reasonably necessary or customary for such transaction, including, but not limited to: (1) a restriction on any borrower</w:t>
            </w:r>
            <w:r>
              <w:rPr>
                <w:rFonts w:ascii="Times New Roman;Times;serif" w:hAnsi="Times New Roman;Times;serif"/>
                <w:sz w:val="20"/>
              </w:rPr>
              <w:t>’</w:t>
            </w:r>
            <w:r>
              <w:rPr>
                <w:rFonts w:ascii="Times New Roman;Times;serif" w:hAnsi="Times New Roman;Times;serif"/>
                <w:sz w:val="24"/>
              </w:rPr>
              <w:t>s ability to incur additional debt on the Real and Personal Property;</w:t>
            </w:r>
          </w:p>
        </w:tc>
      </w:tr>
    </w:tbl>
    <w:p>
      <w:pPr>
        <w:pStyle w:val="TextBody"/>
        <w:bidi w:val="0"/>
        <w:spacing w:before="0" w:after="0"/>
        <w:ind w:left="0" w:right="0" w:hanging="0"/>
        <w:jc w:val="left"/>
        <w:rPr/>
      </w:pPr>
      <w:r>
        <w:rPr/>
        <w:t>​</w:t>
      </w:r>
    </w:p>
    <w:p>
      <w:pPr>
        <w:pStyle w:val="HorizontalLine"/>
        <w:pBdr>
          <w:bottom w:val="single" w:sz="6" w:space="0" w:color="000000"/>
        </w:pBdr>
        <w:bidi w:val="0"/>
        <w:spacing w:before="0" w:after="0"/>
        <w:ind w:left="0" w:right="7654" w:hanging="0"/>
        <w:jc w:val="left"/>
        <w:rPr/>
      </w:pPr>
      <w:r>
        <w:rPr/>
      </w:r>
    </w:p>
    <w:tbl>
      <w:tblPr>
        <w:tblW w:w="6700" w:type="dxa"/>
        <w:jc w:val="left"/>
        <w:tblInd w:w="0" w:type="dxa"/>
        <w:tblLayout w:type="fixed"/>
        <w:tblCellMar>
          <w:top w:w="0" w:type="dxa"/>
          <w:left w:w="0" w:type="dxa"/>
          <w:bottom w:w="0" w:type="dxa"/>
          <w:right w:w="0" w:type="dxa"/>
        </w:tblCellMar>
      </w:tblPr>
      <w:tblGrid>
        <w:gridCol w:w="110"/>
        <w:gridCol w:w="6590"/>
      </w:tblGrid>
      <w:tr>
        <w:trPr/>
        <w:tc>
          <w:tcPr>
            <w:tcW w:w="110"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1</w:t>
            </w:r>
          </w:p>
        </w:tc>
        <w:tc>
          <w:tcPr>
            <w:tcW w:w="659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Need final amount. Payment due upon executing new two-year Note.</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2</w:t>
            </w:r>
          </w:p>
        </w:tc>
        <w:tc>
          <w:tcPr>
            <w:tcW w:w="100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4"/>
              </w:rPr>
              <w:t>The Individual Defendants shall personally guarantee the Note to the same extent they have personally guaranteed the Entity Defendants</w:t>
            </w:r>
            <w:r>
              <w:rPr>
                <w:rFonts w:ascii="Times New Roman;Times;serif" w:hAnsi="Times New Roman;Times;serif"/>
                <w:sz w:val="20"/>
              </w:rPr>
              <w:t xml:space="preserve">’ </w:t>
            </w:r>
            <w:r>
              <w:rPr>
                <w:rFonts w:ascii="Times New Roman;Times;serif" w:hAnsi="Times New Roman;Times;serif"/>
                <w:sz w:val="24"/>
              </w:rPr>
              <w:t>existing debt.</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240"/>
        <w:ind w:left="1800" w:right="0" w:hanging="0"/>
        <w:jc w:val="both"/>
        <w:rPr>
          <w:rFonts w:ascii="Times New Roman;Times;serif" w:hAnsi="Times New Roman;Times;serif"/>
          <w:sz w:val="24"/>
        </w:rPr>
      </w:pPr>
      <w:r>
        <w:rPr>
          <w:rFonts w:ascii="Times New Roman;Times;serif" w:hAnsi="Times New Roman;Times;serif"/>
          <w:sz w:val="24"/>
        </w:rPr>
        <w:t>(2) a requirement that every borrower provide Legacy with accurate financial reporting on a quarterly basis; and (3) a requirement that every borrower maintain adequate insurance, which is to be defined and agreed upon at a later date.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2. Operative Timeline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Parties shall fulfill their obligations, under Section 1, pursuant to the following timeline:</w:t>
      </w:r>
    </w:p>
    <w:tbl>
      <w:tblPr>
        <w:tblW w:w="6633" w:type="dxa"/>
        <w:jc w:val="left"/>
        <w:tblInd w:w="0" w:type="dxa"/>
        <w:tblLayout w:type="fixed"/>
        <w:tblCellMar>
          <w:top w:w="0" w:type="dxa"/>
          <w:left w:w="0" w:type="dxa"/>
          <w:bottom w:w="0" w:type="dxa"/>
          <w:right w:w="0" w:type="dxa"/>
        </w:tblCellMar>
      </w:tblPr>
      <w:tblGrid>
        <w:gridCol w:w="23"/>
        <w:gridCol w:w="125"/>
        <w:gridCol w:w="6485"/>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both"/>
              <w:rPr>
                <w:rFonts w:ascii="Symbol" w:hAnsi="Symbol"/>
                <w:sz w:val="24"/>
              </w:rPr>
            </w:pPr>
            <w:r>
              <w:rPr>
                <w:rFonts w:ascii="Symbol" w:hAnsi="Symbol"/>
                <w:sz w:val="24"/>
              </w:rPr>
              <w:t>·</w:t>
            </w:r>
          </w:p>
        </w:tc>
        <w:tc>
          <w:tcPr>
            <w:tcW w:w="6485"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Parties shall execute this Agreement on or before July 26, 2024.</w:t>
            </w:r>
          </w:p>
        </w:tc>
      </w:tr>
    </w:tbl>
    <w:tbl>
      <w:tblPr>
        <w:tblW w:w="9378" w:type="dxa"/>
        <w:jc w:val="left"/>
        <w:tblInd w:w="0" w:type="dxa"/>
        <w:tblLayout w:type="fixed"/>
        <w:tblCellMar>
          <w:top w:w="0" w:type="dxa"/>
          <w:left w:w="0" w:type="dxa"/>
          <w:bottom w:w="0" w:type="dxa"/>
          <w:right w:w="0" w:type="dxa"/>
        </w:tblCellMar>
      </w:tblPr>
      <w:tblGrid>
        <w:gridCol w:w="23"/>
        <w:gridCol w:w="125"/>
        <w:gridCol w:w="9230"/>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both"/>
              <w:rPr>
                <w:rFonts w:ascii="Symbol" w:hAnsi="Symbol"/>
                <w:sz w:val="24"/>
              </w:rPr>
            </w:pPr>
            <w:r>
              <w:rPr>
                <w:rFonts w:ascii="Symbol" w:hAnsi="Symbol"/>
                <w:sz w:val="24"/>
              </w:rPr>
              <w:t>·</w:t>
            </w:r>
          </w:p>
        </w:tc>
        <w:tc>
          <w:tcPr>
            <w:tcW w:w="923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Parties shall file joint motions to stay the Litigation for thirty days on or before July 29, 2024.</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both"/>
              <w:rPr>
                <w:rFonts w:ascii="Symbol" w:hAnsi="Symbol"/>
                <w:sz w:val="24"/>
              </w:rPr>
            </w:pPr>
            <w:r>
              <w:rPr>
                <w:rFonts w:ascii="Symbol" w:hAnsi="Symbol"/>
                <w:sz w:val="24"/>
              </w:rPr>
              <w:t>·</w:t>
            </w:r>
          </w:p>
        </w:tc>
        <w:tc>
          <w:tcPr>
            <w:tcW w:w="10057"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Forest Hollow shall convey clear title, and the undisputed right to possess, all real and personal property located on or at the Forest Hollow Mobile Home Community to Legacy on or before August 5, 2024.</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both"/>
              <w:rPr>
                <w:rFonts w:ascii="Symbol" w:hAnsi="Symbol"/>
                <w:sz w:val="24"/>
              </w:rPr>
            </w:pPr>
            <w:r>
              <w:rPr>
                <w:rFonts w:ascii="Symbol" w:hAnsi="Symbol"/>
                <w:sz w:val="24"/>
              </w:rPr>
              <w:t>·</w:t>
            </w:r>
          </w:p>
        </w:tc>
        <w:tc>
          <w:tcPr>
            <w:tcW w:w="10057"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Cleveland shall convey clear title, and the undisputed right to possess, all real and personal property located on or at the Cleveland Mobile Home Community to Legacy on or before August 5, 2024.</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both"/>
              <w:rPr>
                <w:rFonts w:ascii="Symbol" w:hAnsi="Symbol"/>
                <w:sz w:val="24"/>
              </w:rPr>
            </w:pPr>
            <w:r>
              <w:rPr>
                <w:rFonts w:ascii="Symbol" w:hAnsi="Symbol"/>
                <w:sz w:val="24"/>
              </w:rPr>
              <w:t>·</w:t>
            </w:r>
          </w:p>
        </w:tc>
        <w:tc>
          <w:tcPr>
            <w:tcW w:w="10057"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Cleveland and Forest Hollow shall assign all intangible assets, including all leases, contracts, and goodwill applicable or related to the real and personal property located on or at the Forest Hollow Mobile Home Community and the Cleveland Mobile Home Community to Legacy on or before August 5, 2024.</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both"/>
              <w:rPr>
                <w:rFonts w:ascii="Symbol" w:hAnsi="Symbol"/>
                <w:sz w:val="24"/>
              </w:rPr>
            </w:pPr>
            <w:r>
              <w:rPr>
                <w:rFonts w:ascii="Symbol" w:hAnsi="Symbol"/>
                <w:sz w:val="24"/>
              </w:rPr>
              <w:t>·</w:t>
            </w:r>
          </w:p>
        </w:tc>
        <w:tc>
          <w:tcPr>
            <w:tcW w:w="100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The Entity and Individual Defendants shall provide a schedule of outstanding indebtedness, reach a resolution with Vanderbilt Mortgage, and bring current any other debt in default on or before August 5, 2024.</w:t>
            </w:r>
            <w:r>
              <w:rPr>
                <w:rFonts w:ascii="Times New Roman;Times;serif" w:hAnsi="Times New Roman;Times;serif"/>
                <w:sz w:val="18"/>
              </w:rPr>
              <w:t>3</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both"/>
              <w:rPr>
                <w:rFonts w:ascii="Symbol" w:hAnsi="Symbol"/>
                <w:sz w:val="24"/>
              </w:rPr>
            </w:pPr>
            <w:r>
              <w:rPr>
                <w:rFonts w:ascii="Symbol" w:hAnsi="Symbol"/>
                <w:sz w:val="24"/>
              </w:rPr>
              <w:t>·</w:t>
            </w:r>
          </w:p>
        </w:tc>
        <w:tc>
          <w:tcPr>
            <w:tcW w:w="100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The borrower(s) shall execute the Note and all related security and credit instruments on or before August</w:t>
            </w:r>
            <w:r>
              <w:rPr>
                <w:rFonts w:ascii="Times New Roman;Times;serif" w:hAnsi="Times New Roman;Times;serif"/>
                <w:sz w:val="20"/>
              </w:rPr>
              <w:t> </w:t>
            </w:r>
            <w:r>
              <w:rPr>
                <w:rFonts w:ascii="Times New Roman;Times;serif" w:hAnsi="Times New Roman;Times;serif"/>
                <w:sz w:val="24"/>
              </w:rPr>
              <w:t>8, 2024.</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Parties shall dismiss the Litigation with prejudice once all the above conditions are met. The Parties agree that the above deadlines can be extended upon a writing signed by the Parties. The Parties further agree that any failure to meet the above deadlines, absent an extension, constitutes a material breach of this Agreement.</w:t>
      </w:r>
    </w:p>
    <w:tbl>
      <w:tblPr>
        <w:tblW w:w="1690" w:type="dxa"/>
        <w:jc w:val="left"/>
        <w:tblInd w:w="0" w:type="dxa"/>
        <w:tblLayout w:type="fixed"/>
        <w:tblCellMar>
          <w:top w:w="0" w:type="dxa"/>
          <w:left w:w="0" w:type="dxa"/>
          <w:bottom w:w="0" w:type="dxa"/>
          <w:right w:w="0" w:type="dxa"/>
        </w:tblCellMar>
      </w:tblPr>
      <w:tblGrid>
        <w:gridCol w:w="200"/>
        <w:gridCol w:w="1490"/>
      </w:tblGrid>
      <w:tr>
        <w:trPr/>
        <w:tc>
          <w:tcPr>
            <w:tcW w:w="2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3.</w:t>
            </w:r>
          </w:p>
        </w:tc>
        <w:tc>
          <w:tcPr>
            <w:tcW w:w="149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Mutual Release</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Once the conditions set forth in Section 1 are completed pursuant to the timeline set forth in Section 2, the Parties shall release all past and present claims arising out of or related to the Texas Lawsuit, Mississippi Lawsuit, and Louisiana Lawsuits, including all claims, counterclaims, and third-party claims asserted therein. This release shall not cover any claims that arise after the execution of this Agreement or apply to any breach of this Agreement, the Note, or any related security or credit instrument.</w:t>
      </w:r>
    </w:p>
    <w:p>
      <w:pPr>
        <w:pStyle w:val="TextBody"/>
        <w:pBdr/>
        <w:bidi w:val="0"/>
        <w:spacing w:before="0" w:after="240"/>
        <w:ind w:left="0" w:right="0" w:hanging="360"/>
        <w:jc w:val="left"/>
        <w:rPr/>
      </w:pPr>
      <w:r>
        <w:rPr/>
        <w:t>​</w:t>
      </w:r>
    </w:p>
    <w:p>
      <w:pPr>
        <w:pStyle w:val="HorizontalLine"/>
        <w:pBdr>
          <w:bottom w:val="single" w:sz="6" w:space="0" w:color="000000"/>
        </w:pBdr>
        <w:bidi w:val="0"/>
        <w:spacing w:before="0" w:after="0"/>
        <w:ind w:left="0" w:right="7654" w:hanging="0"/>
        <w:jc w:val="left"/>
        <w:rPr/>
      </w:pPr>
      <w:r>
        <w:rPr/>
      </w:r>
    </w:p>
    <w:tbl>
      <w:tblPr>
        <w:tblW w:w="1705" w:type="dxa"/>
        <w:jc w:val="left"/>
        <w:tblInd w:w="0" w:type="dxa"/>
        <w:tblLayout w:type="fixed"/>
        <w:tblCellMar>
          <w:top w:w="0" w:type="dxa"/>
          <w:left w:w="0" w:type="dxa"/>
          <w:bottom w:w="0" w:type="dxa"/>
          <w:right w:w="0" w:type="dxa"/>
        </w:tblCellMar>
      </w:tblPr>
      <w:tblGrid>
        <w:gridCol w:w="110"/>
        <w:gridCol w:w="1595"/>
      </w:tblGrid>
      <w:tr>
        <w:trPr/>
        <w:tc>
          <w:tcPr>
            <w:tcW w:w="110"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3</w:t>
            </w:r>
          </w:p>
        </w:tc>
        <w:tc>
          <w:tcPr>
            <w:tcW w:w="159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To be discussed.</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 Further Cooperation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Parties agree to undertake all necessary efforts and execute all necessary documents to ensure that all the conditions set forth in Section 1 are completed pursuant to the timeline set forth in Section 2 and shall reasonably cooperate as necessary to effectuate the terms of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5. Counterpart Execution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This Agreement may be executed in any number of counterparts and transmitted by facsimile, electronic mail (including portable document format (.pdf)) or any electronic signature complying with the U.S. Federal ESIGN Act of 2000 e.g., via DocuSign), or other transmission method and all so executed shall constitute one agreement binding on all Parties, notwithstanding that all Parties have not signed the original or the same counterpart.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 Miscellaneous Provisions</w:t>
      </w:r>
    </w:p>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both"/>
              <w:rPr>
                <w:rFonts w:ascii="Symbol" w:hAnsi="Symbol"/>
                <w:sz w:val="24"/>
              </w:rPr>
            </w:pPr>
            <w:r>
              <w:rPr>
                <w:rFonts w:ascii="Symbol" w:hAnsi="Symbol"/>
                <w:sz w:val="24"/>
              </w:rPr>
              <w:t>·</w:t>
            </w:r>
          </w:p>
        </w:tc>
        <w:tc>
          <w:tcPr>
            <w:tcW w:w="10057"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This Agreement is a binding and enforceable contract that, to the extent necessary, can be enforced in a court of law.</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both"/>
              <w:rPr>
                <w:rFonts w:ascii="Symbol" w:hAnsi="Symbol"/>
                <w:sz w:val="24"/>
              </w:rPr>
            </w:pPr>
            <w:r>
              <w:rPr>
                <w:rFonts w:ascii="Symbol" w:hAnsi="Symbol"/>
                <w:sz w:val="24"/>
              </w:rPr>
              <w:t>·</w:t>
            </w:r>
          </w:p>
        </w:tc>
        <w:tc>
          <w:tcPr>
            <w:tcW w:w="10057"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This Agreement has been executed under, and shall be construed and enforced in accordance with, the laws of the State of Texas, without regard to any conflicts of laws principles.</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both"/>
              <w:rPr>
                <w:rFonts w:ascii="Symbol" w:hAnsi="Symbol"/>
                <w:sz w:val="24"/>
              </w:rPr>
            </w:pPr>
            <w:r>
              <w:rPr>
                <w:rFonts w:ascii="Symbol" w:hAnsi="Symbol"/>
                <w:sz w:val="24"/>
              </w:rPr>
              <w:t>·</w:t>
            </w:r>
          </w:p>
        </w:tc>
        <w:tc>
          <w:tcPr>
            <w:tcW w:w="10057"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This Agreement constitutes the entire understanding and agreement of the Parties and supersedes all prior and contemporaneous agreements, understandings, representations, and negotiations.</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both"/>
              <w:rPr>
                <w:rFonts w:ascii="Symbol" w:hAnsi="Symbol"/>
                <w:sz w:val="24"/>
              </w:rPr>
            </w:pPr>
            <w:r>
              <w:rPr>
                <w:rFonts w:ascii="Symbol" w:hAnsi="Symbol"/>
                <w:sz w:val="24"/>
              </w:rPr>
              <w:t>·</w:t>
            </w:r>
          </w:p>
        </w:tc>
        <w:tc>
          <w:tcPr>
            <w:tcW w:w="10057"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Parties represent, covenant, and warrant that each has the right and authority to execute and grant the rights and releases contained in this Agreement.</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both"/>
              <w:rPr>
                <w:rFonts w:ascii="Symbol" w:hAnsi="Symbol"/>
                <w:sz w:val="24"/>
              </w:rPr>
            </w:pPr>
            <w:r>
              <w:rPr>
                <w:rFonts w:ascii="Symbol" w:hAnsi="Symbol"/>
                <w:sz w:val="24"/>
              </w:rPr>
              <w:t>·</w:t>
            </w:r>
          </w:p>
        </w:tc>
        <w:tc>
          <w:tcPr>
            <w:tcW w:w="10057"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Defendants represent, covenant, and warrant that they have not assigned, pledged, sold or transferred any right, title or interest in the Real and Personal Property described in Section 1 of this Agreement.</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both"/>
              <w:rPr>
                <w:rFonts w:ascii="Symbol" w:hAnsi="Symbol"/>
                <w:sz w:val="24"/>
              </w:rPr>
            </w:pPr>
            <w:r>
              <w:rPr>
                <w:rFonts w:ascii="Symbol" w:hAnsi="Symbol"/>
                <w:sz w:val="24"/>
              </w:rPr>
              <w:t>·</w:t>
            </w:r>
          </w:p>
        </w:tc>
        <w:tc>
          <w:tcPr>
            <w:tcW w:w="100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The Parties shall bear their own attorneys</w:t>
            </w:r>
            <w:r>
              <w:rPr>
                <w:rFonts w:ascii="Times New Roman;Times;serif" w:hAnsi="Times New Roman;Times;serif"/>
                <w:sz w:val="20"/>
              </w:rPr>
              <w:t xml:space="preserve">’ </w:t>
            </w:r>
            <w:r>
              <w:rPr>
                <w:rFonts w:ascii="Times New Roman;Times;serif" w:hAnsi="Times New Roman;Times;serif"/>
                <w:sz w:val="24"/>
              </w:rPr>
              <w:t>fees and costs, including any attorneys</w:t>
            </w:r>
            <w:r>
              <w:rPr>
                <w:rFonts w:ascii="Times New Roman;Times;serif" w:hAnsi="Times New Roman;Times;serif"/>
                <w:sz w:val="20"/>
              </w:rPr>
              <w:t xml:space="preserve">’ </w:t>
            </w:r>
            <w:r>
              <w:rPr>
                <w:rFonts w:ascii="Times New Roman;Times;serif" w:hAnsi="Times New Roman;Times;serif"/>
                <w:sz w:val="24"/>
              </w:rPr>
              <w:t>fees and costs incurred in connection with this Agreement; provided, however, that in the event this Agreement is, in any way, challenged or subject to litigation, the Entity and Individual Defendants shall indemnify Legacy and Hodgson for all attorneys</w:t>
            </w:r>
            <w:r>
              <w:rPr>
                <w:rFonts w:ascii="Times New Roman;Times;serif" w:hAnsi="Times New Roman;Times;serif"/>
                <w:sz w:val="20"/>
              </w:rPr>
              <w:t xml:space="preserve">’ </w:t>
            </w:r>
            <w:r>
              <w:rPr>
                <w:rFonts w:ascii="Times New Roman;Times;serif" w:hAnsi="Times New Roman;Times;serif"/>
                <w:sz w:val="24"/>
              </w:rPr>
              <w:t>fees and costs related to the same.</w:t>
            </w:r>
          </w:p>
        </w:tc>
      </w:tr>
    </w:tbl>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EXECUTED IN MULTIPLE ORIGINALS on this 27th day of July 2024.</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786" w:type="dxa"/>
        <w:jc w:val="left"/>
        <w:tblInd w:w="0" w:type="dxa"/>
        <w:tblLayout w:type="fixed"/>
        <w:tblCellMar>
          <w:top w:w="0" w:type="dxa"/>
          <w:left w:w="0" w:type="dxa"/>
          <w:bottom w:w="0" w:type="dxa"/>
          <w:right w:w="0" w:type="dxa"/>
        </w:tblCellMar>
      </w:tblPr>
      <w:tblGrid>
        <w:gridCol w:w="3271"/>
        <w:gridCol w:w="109"/>
        <w:gridCol w:w="3406"/>
      </w:tblGrid>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PLAINTIFFS</w:t>
            </w:r>
          </w:p>
        </w:tc>
        <w:tc>
          <w:tcPr>
            <w:tcW w:w="109"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INDIVIDUAL DEFENDANTS</w:t>
            </w:r>
          </w:p>
        </w:tc>
      </w:tr>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Legacy Housing Corporation</w:t>
            </w:r>
          </w:p>
        </w:tc>
        <w:tc>
          <w:tcPr>
            <w:tcW w:w="109"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William Rodwell</w:t>
            </w:r>
          </w:p>
        </w:tc>
      </w:tr>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left"/>
              <w:rPr/>
            </w:pPr>
            <w:r>
              <w:rPr/>
              <w:t>​</w:t>
            </w:r>
          </w:p>
        </w:tc>
      </w:tr>
      <w:tr>
        <w:trPr/>
        <w:tc>
          <w:tcPr>
            <w:tcW w:w="32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Max M. Africk</w:t>
            </w:r>
          </w:p>
        </w:tc>
        <w:tc>
          <w:tcPr>
            <w:tcW w:w="109" w:type="dxa"/>
            <w:tcBorders/>
            <w:vAlign w:val="center"/>
          </w:tcPr>
          <w:p>
            <w:pPr>
              <w:pStyle w:val="TableContents"/>
              <w:bidi w:val="0"/>
              <w:spacing w:before="0" w:after="0"/>
              <w:ind w:left="0" w:right="0" w:hanging="0"/>
              <w:jc w:val="left"/>
              <w:rPr/>
            </w:pPr>
            <w:r>
              <w:rPr/>
              <w:t>​</w:t>
            </w:r>
          </w:p>
        </w:tc>
        <w:tc>
          <w:tcPr>
            <w:tcW w:w="34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William Rodwell</w:t>
            </w:r>
          </w:p>
        </w:tc>
      </w:tr>
      <w:tr>
        <w:trPr/>
        <w:tc>
          <w:tcPr>
            <w:tcW w:w="32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Max M. Africk, General Counsel</w:t>
            </w:r>
          </w:p>
        </w:tc>
        <w:tc>
          <w:tcPr>
            <w:tcW w:w="109" w:type="dxa"/>
            <w:tcBorders/>
            <w:vAlign w:val="center"/>
          </w:tcPr>
          <w:p>
            <w:pPr>
              <w:pStyle w:val="TableContents"/>
              <w:bidi w:val="0"/>
              <w:spacing w:before="0" w:after="0"/>
              <w:ind w:left="0" w:right="0" w:hanging="0"/>
              <w:jc w:val="left"/>
              <w:rPr/>
            </w:pPr>
            <w:r>
              <w:rPr/>
              <w:t>​</w:t>
            </w:r>
          </w:p>
        </w:tc>
        <w:tc>
          <w:tcPr>
            <w:tcW w:w="34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William Rodwell</w:t>
            </w:r>
          </w:p>
        </w:tc>
      </w:tr>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Curtis D. Hodgson</w:t>
            </w:r>
          </w:p>
        </w:tc>
        <w:tc>
          <w:tcPr>
            <w:tcW w:w="109"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Cynthia Rodwell</w:t>
            </w:r>
          </w:p>
        </w:tc>
      </w:tr>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left"/>
              <w:rPr/>
            </w:pPr>
            <w:r>
              <w:rPr/>
              <w:t>​</w:t>
            </w:r>
          </w:p>
        </w:tc>
      </w:tr>
      <w:tr>
        <w:trPr/>
        <w:tc>
          <w:tcPr>
            <w:tcW w:w="32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Curtis D. Hodgson</w:t>
            </w:r>
          </w:p>
        </w:tc>
        <w:tc>
          <w:tcPr>
            <w:tcW w:w="109" w:type="dxa"/>
            <w:tcBorders/>
            <w:vAlign w:val="center"/>
          </w:tcPr>
          <w:p>
            <w:pPr>
              <w:pStyle w:val="TableContents"/>
              <w:bidi w:val="0"/>
              <w:spacing w:before="0" w:after="0"/>
              <w:ind w:left="0" w:right="0" w:hanging="0"/>
              <w:jc w:val="left"/>
              <w:rPr/>
            </w:pPr>
            <w:r>
              <w:rPr/>
              <w:t>​</w:t>
            </w:r>
          </w:p>
        </w:tc>
        <w:tc>
          <w:tcPr>
            <w:tcW w:w="34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Cynthia Rodwell</w:t>
            </w:r>
          </w:p>
        </w:tc>
      </w:tr>
      <w:tr>
        <w:trPr/>
        <w:tc>
          <w:tcPr>
            <w:tcW w:w="32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Curtis D. Hodgson</w:t>
            </w:r>
          </w:p>
        </w:tc>
        <w:tc>
          <w:tcPr>
            <w:tcW w:w="109" w:type="dxa"/>
            <w:tcBorders/>
            <w:vAlign w:val="center"/>
          </w:tcPr>
          <w:p>
            <w:pPr>
              <w:pStyle w:val="TableContents"/>
              <w:bidi w:val="0"/>
              <w:spacing w:before="0" w:after="0"/>
              <w:ind w:left="0" w:right="0" w:hanging="0"/>
              <w:jc w:val="left"/>
              <w:rPr/>
            </w:pPr>
            <w:r>
              <w:rPr/>
              <w:t>​</w:t>
            </w:r>
          </w:p>
        </w:tc>
        <w:tc>
          <w:tcPr>
            <w:tcW w:w="34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Cynthia Rodwell</w:t>
            </w:r>
          </w:p>
        </w:tc>
      </w:tr>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Tony Hartsgrove</w:t>
            </w:r>
          </w:p>
        </w:tc>
      </w:tr>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Tony Hartsgrove</w:t>
            </w:r>
          </w:p>
        </w:tc>
      </w:tr>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Tony Hartsgrove</w:t>
            </w:r>
          </w:p>
        </w:tc>
      </w:tr>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Robert T. Hutson II</w:t>
            </w:r>
          </w:p>
        </w:tc>
      </w:tr>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Robert Hutson</w:t>
            </w:r>
          </w:p>
        </w:tc>
      </w:tr>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Robert T. Hutson II</w:t>
            </w:r>
          </w:p>
        </w:tc>
      </w:tr>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Yakov Plotnikov</w:t>
            </w:r>
          </w:p>
        </w:tc>
      </w:tr>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Yakov Plotnikov</w:t>
            </w:r>
          </w:p>
        </w:tc>
      </w:tr>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Yakov Plotnikov</w:t>
            </w:r>
          </w:p>
        </w:tc>
      </w:tr>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Eric D. Wooten</w:t>
            </w:r>
          </w:p>
        </w:tc>
      </w:tr>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Eric Wooten</w:t>
            </w:r>
          </w:p>
        </w:tc>
      </w:tr>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Eric D. Wooten</w:t>
            </w:r>
          </w:p>
        </w:tc>
      </w:tr>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ENTITIY DEFENDANTS</w:t>
            </w:r>
          </w:p>
        </w:tc>
      </w:tr>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Cleveland MHC, LLC</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pBdr>
          <w:bottom w:val="double" w:sz="2" w:space="0" w:color="808080"/>
        </w:pBdr>
        <w:bidi w:val="0"/>
        <w:spacing w:before="0" w:after="283"/>
        <w:jc w:val="left"/>
        <w:rPr/>
      </w:pPr>
      <w:r>
        <w:rPr/>
      </w:r>
    </w:p>
    <w:tbl>
      <w:tblPr>
        <w:tblW w:w="3608" w:type="dxa"/>
        <w:jc w:val="left"/>
        <w:tblInd w:w="0" w:type="dxa"/>
        <w:tblLayout w:type="fixed"/>
        <w:tblCellMar>
          <w:top w:w="0" w:type="dxa"/>
          <w:left w:w="0" w:type="dxa"/>
          <w:bottom w:w="0" w:type="dxa"/>
          <w:right w:w="0" w:type="dxa"/>
        </w:tblCellMar>
      </w:tblPr>
      <w:tblGrid>
        <w:gridCol w:w="124"/>
        <w:gridCol w:w="109"/>
        <w:gridCol w:w="790"/>
        <w:gridCol w:w="2585"/>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left"/>
              <w:rPr/>
            </w:pPr>
            <w:r>
              <w:rPr/>
              <w:t>​</w:t>
            </w:r>
          </w:p>
        </w:tc>
        <w:tc>
          <w:tcPr>
            <w:tcW w:w="2585"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7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William Rodwell</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585"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William Rodwell</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2585"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Managing Member</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7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7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Country Aire Homes of LA, LLC</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7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7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William Rodwell</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585"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William Rodwell</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2585"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Managing Member</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7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7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Forest Hollow, LLC</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7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7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William Rodwell</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585"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William Rodwell</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2585"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Managing Member</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7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7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Gulf Stream Homes of LA, LLC</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7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7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William Rodwell</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585"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William Rodwell</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2585"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Managing Member</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7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7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Gulf Stream Homes of MS, LLC</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7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7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William Rodwell</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585"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William Rodwell</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2585"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Managing Member</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7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7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Stellar GS Homes, LLC</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7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7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William Rodwell</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585"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William Rodwell</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2585"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Managing Member</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7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7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SINOP GS Homes, LLC</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7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7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William Rodwell</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pBdr>
          <w:bottom w:val="double" w:sz="2" w:space="0" w:color="808080"/>
        </w:pBdr>
        <w:bidi w:val="0"/>
        <w:spacing w:before="0" w:after="283"/>
        <w:jc w:val="left"/>
        <w:rPr/>
      </w:pPr>
      <w:r>
        <w:rPr/>
      </w:r>
    </w:p>
    <w:tbl>
      <w:tblPr>
        <w:tblW w:w="4343" w:type="dxa"/>
        <w:jc w:val="left"/>
        <w:tblInd w:w="0" w:type="dxa"/>
        <w:tblLayout w:type="fixed"/>
        <w:tblCellMar>
          <w:top w:w="0" w:type="dxa"/>
          <w:left w:w="0" w:type="dxa"/>
          <w:bottom w:w="0" w:type="dxa"/>
          <w:right w:w="0" w:type="dxa"/>
        </w:tblCellMar>
      </w:tblPr>
      <w:tblGrid>
        <w:gridCol w:w="124"/>
        <w:gridCol w:w="109"/>
        <w:gridCol w:w="962"/>
        <w:gridCol w:w="3148"/>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left"/>
              <w:rPr/>
            </w:pPr>
            <w:r>
              <w:rPr/>
              <w:t>​</w:t>
            </w:r>
          </w:p>
        </w:tc>
        <w:tc>
          <w:tcPr>
            <w:tcW w:w="3148"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14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William Rodwell</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314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Managing Member</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1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Gulf Stream Manor Phase 2 Homes, LLC</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1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William Rodwell</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14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William Rodwell</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314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Managing Member</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1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Iowa Homes, LLC</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1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William Rodwell</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14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William Rodwell</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314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Managing Member</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1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Southern Pointe Homes, LLC</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1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William Rodwell</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14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William Rodwell</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314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Managing Member</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1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Southern Pointe Investments, LLC</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1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William Rodwell</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14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William Rodwell</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314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Managing Member</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1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Southern Pointe Investments II, LLC</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1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William Rodwell</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14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William Rodwell</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314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Managing Member</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1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Stellar GS Homes LLC</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HorizontalLine"/>
        <w:pBdr>
          <w:bottom w:val="double" w:sz="2" w:space="0" w:color="808080"/>
        </w:pBdr>
        <w:bidi w:val="0"/>
        <w:spacing w:before="0" w:after="283"/>
        <w:jc w:val="left"/>
        <w:rPr/>
      </w:pPr>
      <w:r>
        <w:rPr/>
      </w:r>
    </w:p>
    <w:tbl>
      <w:tblPr>
        <w:tblW w:w="2800" w:type="dxa"/>
        <w:jc w:val="left"/>
        <w:tblInd w:w="0" w:type="dxa"/>
        <w:tblLayout w:type="fixed"/>
        <w:tblCellMar>
          <w:top w:w="0" w:type="dxa"/>
          <w:left w:w="0" w:type="dxa"/>
          <w:bottom w:w="0" w:type="dxa"/>
          <w:right w:w="0" w:type="dxa"/>
        </w:tblCellMar>
      </w:tblPr>
      <w:tblGrid>
        <w:gridCol w:w="124"/>
        <w:gridCol w:w="109"/>
        <w:gridCol w:w="601"/>
        <w:gridCol w:w="1966"/>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6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William Rodwell</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196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William Rodwell</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196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Managing Member</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6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67"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Country Aire MHP LLC</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6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6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William Rodwell</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196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William Rodwell</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196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Managing Member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8</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right"/>
        <w:rPr>
          <w:rFonts w:ascii="Times New Roman;Times;serif" w:hAnsi="Times New Roman;Times;serif"/>
          <w:b/>
          <w:sz w:val="20"/>
        </w:rPr>
      </w:pPr>
      <w:bookmarkStart w:id="1465" w:name="legh-20240930xex31d1.htm"/>
      <w:bookmarkStart w:id="1466" w:name="kslegh20240930xex31d1"/>
      <w:bookmarkEnd w:id="1465"/>
      <w:bookmarkEnd w:id="1466"/>
      <w:r>
        <w:rPr>
          <w:rFonts w:ascii="Times New Roman;Times;serif" w:hAnsi="Times New Roman;Times;serif"/>
          <w:b/>
          <w:sz w:val="20"/>
        </w:rPr>
        <w:t>Exhibit 31.1</w:t>
      </w:r>
      <w:r>
        <w:br w:type="page"/>
      </w:r>
    </w:p>
    <w:p>
      <w:pPr>
        <w:pStyle w:val="TextBody"/>
        <w:bidi w:val="0"/>
        <w:spacing w:before="0" w:after="0"/>
        <w:ind w:left="0" w:right="0" w:firstLine="72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 Duncan Bates, certify that: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1. I have reviewed this quarterly report on Form 10-Q of Legacy Housing Corporation;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tbl>
      <w:tblPr>
        <w:tblW w:w="5912" w:type="dxa"/>
        <w:jc w:val="center"/>
        <w:tblInd w:w="0" w:type="dxa"/>
        <w:tblLayout w:type="fixed"/>
        <w:tblCellMar>
          <w:top w:w="0" w:type="dxa"/>
          <w:left w:w="0" w:type="dxa"/>
          <w:bottom w:w="0" w:type="dxa"/>
          <w:right w:w="0" w:type="dxa"/>
        </w:tblCellMar>
      </w:tblPr>
      <w:tblGrid>
        <w:gridCol w:w="2206"/>
        <w:gridCol w:w="3706"/>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1400810" cy="175260"/>
                      <wp:effectExtent l="0" t="0" r="0" b="0"/>
                      <wp:wrapNone/>
                      <wp:docPr id="479" name="Frame479"/>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353945" cy="175260"/>
                      <wp:effectExtent l="0" t="0" r="0" b="0"/>
                      <wp:wrapNone/>
                      <wp:docPr id="480" name="Frame480"/>
                      <a:graphic xmlns:a="http://schemas.openxmlformats.org/drawingml/2006/main">
                        <a:graphicData uri="http://schemas.microsoft.com/office/word/2010/wordprocessingShape">
                          <wps:wsp>
                            <wps:cNvSpPr txBox="1"/>
                            <wps:spPr>
                              <a:xfrm>
                                <a:off x="0" y="0"/>
                                <a:ext cx="2353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12, 2024</w:t>
            </w:r>
          </w:p>
        </w:tc>
        <w:tc>
          <w:tcPr>
            <w:tcW w:w="37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Duncan Bates</w:t>
            </w:r>
          </w:p>
        </w:tc>
      </w:tr>
      <w:tr>
        <w:trPr/>
        <w:tc>
          <w:tcPr>
            <w:tcW w:w="2206" w:type="dxa"/>
            <w:tcBorders/>
            <w:vAlign w:val="center"/>
          </w:tcPr>
          <w:p>
            <w:pPr>
              <w:pStyle w:val="TableContents"/>
              <w:bidi w:val="0"/>
              <w:spacing w:before="0" w:after="0"/>
              <w:ind w:left="0" w:right="0" w:hanging="0"/>
              <w:jc w:val="left"/>
              <w:rPr/>
            </w:pPr>
            <w:r>
              <w:rPr/>
              <w:t>​</w:t>
            </w:r>
          </w:p>
        </w:tc>
        <w:tc>
          <w:tcPr>
            <w:tcW w:w="37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Duncan Bates</w:t>
            </w:r>
          </w:p>
        </w:tc>
      </w:tr>
      <w:tr>
        <w:trPr/>
        <w:tc>
          <w:tcPr>
            <w:tcW w:w="2206"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President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right"/>
        <w:rPr>
          <w:rFonts w:ascii="Times New Roman;Times;serif" w:hAnsi="Times New Roman;Times;serif"/>
          <w:b/>
          <w:sz w:val="20"/>
        </w:rPr>
      </w:pPr>
      <w:bookmarkStart w:id="1467" w:name="legh-20240930xex31d2.htm"/>
      <w:bookmarkStart w:id="1468" w:name="kslegh20240930xex31d2"/>
      <w:bookmarkEnd w:id="1467"/>
      <w:bookmarkEnd w:id="1468"/>
      <w:r>
        <w:rPr>
          <w:rFonts w:ascii="Times New Roman;Times;serif" w:hAnsi="Times New Roman;Times;serif"/>
          <w:b/>
          <w:sz w:val="20"/>
        </w:rPr>
        <w:t>Exhibit 31.2</w:t>
      </w:r>
      <w:r>
        <w:br w:type="page"/>
      </w:r>
    </w:p>
    <w:p>
      <w:pPr>
        <w:pStyle w:val="TextBody"/>
        <w:bidi w:val="0"/>
        <w:spacing w:before="0" w:after="0"/>
        <w:ind w:left="0" w:right="0" w:firstLine="72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 Jeffrey Fiedelman, certify that: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1. I have reviewed this quarterly report on Form 10-Q of Legacy Housing Corporation;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tbl>
      <w:tblPr>
        <w:tblW w:w="4712" w:type="dxa"/>
        <w:jc w:val="center"/>
        <w:tblInd w:w="0" w:type="dxa"/>
        <w:tblLayout w:type="fixed"/>
        <w:tblCellMar>
          <w:top w:w="0" w:type="dxa"/>
          <w:left w:w="0" w:type="dxa"/>
          <w:bottom w:w="0" w:type="dxa"/>
          <w:right w:w="0" w:type="dxa"/>
        </w:tblCellMar>
      </w:tblPr>
      <w:tblGrid>
        <w:gridCol w:w="2206"/>
        <w:gridCol w:w="2506"/>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400810" cy="175260"/>
                      <wp:effectExtent l="0" t="0" r="0" b="0"/>
                      <wp:wrapNone/>
                      <wp:docPr id="481" name="Frame481"/>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1591945" cy="175260"/>
                      <wp:effectExtent l="0" t="0" r="0" b="0"/>
                      <wp:wrapNone/>
                      <wp:docPr id="482" name="Frame482"/>
                      <a:graphic xmlns:a="http://schemas.openxmlformats.org/drawingml/2006/main">
                        <a:graphicData uri="http://schemas.microsoft.com/office/word/2010/wordprocessingShape">
                          <wps:wsp>
                            <wps:cNvSpPr txBox="1"/>
                            <wps:spPr>
                              <a:xfrm>
                                <a:off x="0" y="0"/>
                                <a:ext cx="1591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12, 2024</w:t>
            </w:r>
          </w:p>
        </w:tc>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Jeffrey Fiedelman</w:t>
            </w:r>
            <w:r>
              <w:rPr>
                <w:rFonts w:ascii="Times New Roman;Times;serif" w:hAnsi="Times New Roman;Times;serif"/>
                <w:sz w:val="20"/>
                <w:shd w:fill="FFFF00" w:val="clear"/>
              </w:rPr>
              <w:t xml:space="preserve"> </w:t>
            </w:r>
          </w:p>
        </w:tc>
      </w:tr>
      <w:tr>
        <w:trPr/>
        <w:tc>
          <w:tcPr>
            <w:tcW w:w="2206" w:type="dxa"/>
            <w:tcBorders/>
            <w:vAlign w:val="center"/>
          </w:tcPr>
          <w:p>
            <w:pPr>
              <w:pStyle w:val="TableContents"/>
              <w:bidi w:val="0"/>
              <w:spacing w:before="0" w:after="0"/>
              <w:ind w:left="0" w:right="0" w:hanging="0"/>
              <w:jc w:val="left"/>
              <w:rPr/>
            </w:pPr>
            <w:r>
              <w:rPr/>
              <w:t>​</w:t>
            </w:r>
          </w:p>
        </w:tc>
        <w:tc>
          <w:tcPr>
            <w:tcW w:w="25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Jeffrey Fiedelman</w:t>
            </w:r>
            <w:r>
              <w:rPr>
                <w:rFonts w:ascii="Times New Roman;Times;serif" w:hAnsi="Times New Roman;Times;serif"/>
                <w:sz w:val="20"/>
                <w:shd w:fill="FFFF00" w:val="clear"/>
              </w:rPr>
              <w:t xml:space="preserve"> </w:t>
            </w:r>
          </w:p>
        </w:tc>
      </w:tr>
      <w:tr>
        <w:trPr/>
        <w:tc>
          <w:tcPr>
            <w:tcW w:w="22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
        <w:ind w:left="0" w:right="0" w:hanging="0"/>
        <w:jc w:val="right"/>
        <w:rPr>
          <w:rFonts w:ascii="Times New Roman;Times;serif" w:hAnsi="Times New Roman;Times;serif"/>
          <w:b/>
          <w:sz w:val="20"/>
        </w:rPr>
      </w:pPr>
      <w:bookmarkStart w:id="1469" w:name="legh-20240930xex32d1.htm"/>
      <w:bookmarkStart w:id="1470" w:name="kslegh20240930xex32d1"/>
      <w:bookmarkEnd w:id="1469"/>
      <w:bookmarkEnd w:id="1470"/>
      <w:r>
        <w:rPr>
          <w:rFonts w:ascii="Times New Roman;Times;serif" w:hAnsi="Times New Roman;Times;serif"/>
          <w:b/>
          <w:sz w:val="20"/>
        </w:rPr>
        <w:t>Exhibit 32.1</w:t>
      </w:r>
      <w:r>
        <w:br w:type="page"/>
      </w:r>
    </w:p>
    <w:p>
      <w:pPr>
        <w:pStyle w:val="TextBody"/>
        <w:bidi w:val="0"/>
        <w:spacing w:before="0" w:after="6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of Legacy Housing Corporation (the “Company”) on Form 10-Q for the quarter ended September 30, 2024, as filed with the Securities and Exchange Commission on the date hereof (the “Report”), I, Duncan Bates, President and Chief Executive Officer of the Company, certify, pursuant to 18 U.S.C. §1350, as adopted pursuant to Section 906 of the Sarbanes-Oxley Act of 2002, that to my knowledge:</w:t>
      </w:r>
    </w:p>
    <w:p>
      <w:pPr>
        <w:pStyle w:val="TextBody"/>
        <w:pBdr/>
        <w:bidi w:val="0"/>
        <w:spacing w:before="0" w:after="240"/>
        <w:ind w:left="720" w:right="0" w:hanging="72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as applicable, of the Securities Exchange Act of 1934; and</w:t>
      </w:r>
    </w:p>
    <w:p>
      <w:pPr>
        <w:pStyle w:val="TextBody"/>
        <w:pBdr/>
        <w:bidi w:val="0"/>
        <w:spacing w:before="0" w:after="240"/>
        <w:ind w:left="720" w:right="0" w:hanging="72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 of operations of the Company.</w:t>
      </w:r>
    </w:p>
    <w:p>
      <w:pPr>
        <w:pStyle w:val="TextBody"/>
        <w:bidi w:val="0"/>
        <w:spacing w:before="0" w:after="0"/>
        <w:ind w:left="0" w:right="0" w:hanging="0"/>
        <w:jc w:val="left"/>
        <w:rPr/>
      </w:pPr>
      <w:r>
        <w:rPr/>
        <w:t>​</w:t>
      </w:r>
    </w:p>
    <w:tbl>
      <w:tblPr>
        <w:tblW w:w="5912" w:type="dxa"/>
        <w:jc w:val="center"/>
        <w:tblInd w:w="0" w:type="dxa"/>
        <w:tblLayout w:type="fixed"/>
        <w:tblCellMar>
          <w:top w:w="0" w:type="dxa"/>
          <w:left w:w="0" w:type="dxa"/>
          <w:bottom w:w="0" w:type="dxa"/>
          <w:right w:w="0" w:type="dxa"/>
        </w:tblCellMar>
      </w:tblPr>
      <w:tblGrid>
        <w:gridCol w:w="2206"/>
        <w:gridCol w:w="3706"/>
      </w:tblGrid>
      <w:tr>
        <w:trPr/>
        <w:tc>
          <w:tcPr>
            <w:tcW w:w="22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12, 2024</w:t>
            </w:r>
          </w:p>
        </w:tc>
        <w:tc>
          <w:tcPr>
            <w:tcW w:w="37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Duncan Bates </w:t>
            </w:r>
          </w:p>
        </w:tc>
      </w:tr>
      <w:tr>
        <w:trPr/>
        <w:tc>
          <w:tcPr>
            <w:tcW w:w="2206" w:type="dxa"/>
            <w:tcBorders/>
            <w:vAlign w:val="center"/>
          </w:tcPr>
          <w:p>
            <w:pPr>
              <w:pStyle w:val="TableContents"/>
              <w:bidi w:val="0"/>
              <w:spacing w:before="0" w:after="0"/>
              <w:ind w:left="0" w:right="0" w:hanging="0"/>
              <w:jc w:val="left"/>
              <w:rPr/>
            </w:pPr>
            <w:r>
              <w:rPr/>
              <w:t>​</w:t>
            </w:r>
          </w:p>
        </w:tc>
        <w:tc>
          <w:tcPr>
            <w:tcW w:w="37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Duncan Bates</w:t>
            </w:r>
          </w:p>
        </w:tc>
      </w:tr>
      <w:tr>
        <w:trPr/>
        <w:tc>
          <w:tcPr>
            <w:tcW w:w="2206"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President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
        <w:ind w:left="0" w:right="0" w:hanging="0"/>
        <w:jc w:val="right"/>
        <w:rPr>
          <w:rFonts w:ascii="Times New Roman;Times;serif" w:hAnsi="Times New Roman;Times;serif"/>
          <w:b/>
          <w:sz w:val="20"/>
        </w:rPr>
      </w:pPr>
      <w:bookmarkStart w:id="1471" w:name="legh-20240930xex32d2.htm"/>
      <w:bookmarkStart w:id="1472" w:name="kslegh20240930xex32d2"/>
      <w:bookmarkEnd w:id="1471"/>
      <w:bookmarkEnd w:id="1472"/>
      <w:r>
        <w:rPr>
          <w:rFonts w:ascii="Times New Roman;Times;serif" w:hAnsi="Times New Roman;Times;serif"/>
          <w:b/>
          <w:sz w:val="20"/>
        </w:rPr>
        <w:t>Exhibit 32.2</w:t>
      </w:r>
      <w:r>
        <w:br w:type="page"/>
      </w:r>
    </w:p>
    <w:p>
      <w:pPr>
        <w:pStyle w:val="TextBody"/>
        <w:bidi w:val="0"/>
        <w:spacing w:before="0" w:after="6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of Legacy Housing Corporation (the “Company”) on Form 10-Q for the quarter ended September 30, 2024, as filed with the Securities and Exchange Commission on the date hereof (the “Report”), I, Jeffrey Fiedelman, Chief Financial Officer of the Company, certify, pursuant to 18 U.S.C. §1350, as adopted pursuant to Section 906 of the Sarbanes-Oxley Act of 2002, that to my knowledge:</w:t>
      </w:r>
    </w:p>
    <w:p>
      <w:pPr>
        <w:pStyle w:val="TextBody"/>
        <w:pBdr/>
        <w:bidi w:val="0"/>
        <w:spacing w:before="0" w:after="240"/>
        <w:ind w:left="720" w:right="0" w:hanging="72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as applicable, of the Securities Exchange Act of 1934; and</w:t>
      </w:r>
    </w:p>
    <w:p>
      <w:pPr>
        <w:pStyle w:val="TextBody"/>
        <w:pBdr/>
        <w:bidi w:val="0"/>
        <w:spacing w:before="0" w:after="240"/>
        <w:ind w:left="720" w:right="0" w:hanging="72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 of operations of the Company.</w:t>
      </w:r>
    </w:p>
    <w:p>
      <w:pPr>
        <w:pStyle w:val="TextBody"/>
        <w:bidi w:val="0"/>
        <w:spacing w:before="0" w:after="0"/>
        <w:ind w:left="0" w:right="0" w:hanging="0"/>
        <w:jc w:val="left"/>
        <w:rPr/>
      </w:pPr>
      <w:r>
        <w:rPr/>
        <w:t>​</w:t>
      </w:r>
    </w:p>
    <w:tbl>
      <w:tblPr>
        <w:tblW w:w="4712" w:type="dxa"/>
        <w:jc w:val="center"/>
        <w:tblInd w:w="0" w:type="dxa"/>
        <w:tblLayout w:type="fixed"/>
        <w:tblCellMar>
          <w:top w:w="0" w:type="dxa"/>
          <w:left w:w="0" w:type="dxa"/>
          <w:bottom w:w="0" w:type="dxa"/>
          <w:right w:w="0" w:type="dxa"/>
        </w:tblCellMar>
      </w:tblPr>
      <w:tblGrid>
        <w:gridCol w:w="2206"/>
        <w:gridCol w:w="2506"/>
      </w:tblGrid>
      <w:tr>
        <w:trPr/>
        <w:tc>
          <w:tcPr>
            <w:tcW w:w="22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12, 2024</w:t>
            </w:r>
          </w:p>
        </w:tc>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Jeffrey Fiedelman </w:t>
            </w:r>
          </w:p>
        </w:tc>
      </w:tr>
      <w:tr>
        <w:trPr/>
        <w:tc>
          <w:tcPr>
            <w:tcW w:w="2206" w:type="dxa"/>
            <w:tcBorders/>
            <w:vAlign w:val="center"/>
          </w:tcPr>
          <w:p>
            <w:pPr>
              <w:pStyle w:val="TableContents"/>
              <w:bidi w:val="0"/>
              <w:spacing w:before="0" w:after="0"/>
              <w:ind w:left="0" w:right="0" w:hanging="0"/>
              <w:jc w:val="left"/>
              <w:rPr/>
            </w:pPr>
            <w:r>
              <w:rPr/>
              <w:t>​</w:t>
            </w:r>
          </w:p>
        </w:tc>
        <w:tc>
          <w:tcPr>
            <w:tcW w:w="25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Jeffrey Fiedelman</w:t>
            </w:r>
          </w:p>
        </w:tc>
      </w:tr>
      <w:tr>
        <w:trPr/>
        <w:tc>
          <w:tcPr>
            <w:tcW w:w="22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22510</Words>
  <Characters>120354</Characters>
  <CharactersWithSpaces>144483</CharactersWithSpaces>
  <Paragraphs>7161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