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1"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71120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ind w:left="450" w:right="180" w:hanging="450"/>
        <w:spacing w:after="0" w:line="234" w:lineRule="auto"/>
        <w:tabs>
          <w:tab w:leader="none" w:pos="45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130810" cy="100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810" cy="10096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50" w:right="160" w:hanging="450"/>
        <w:spacing w:after="0" w:line="234" w:lineRule="auto"/>
        <w:tabs>
          <w:tab w:leader="none" w:pos="45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-269875</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6" w:lineRule="exact"/>
        <w:rPr>
          <w:sz w:val="24"/>
          <w:szCs w:val="24"/>
          <w:color w:val="auto"/>
        </w:rPr>
      </w:pPr>
    </w:p>
    <w:p>
      <w:pPr>
        <w:ind w:left="3770"/>
        <w:spacing w:after="0"/>
        <w:tabs>
          <w:tab w:leader="none" w:pos="62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71755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p>
      <w:pPr>
        <w:spacing w:after="0" w:line="298" w:lineRule="exact"/>
        <w:rPr>
          <w:sz w:val="24"/>
          <w:szCs w:val="24"/>
          <w:color w:val="auto"/>
        </w:rPr>
      </w:pPr>
    </w:p>
    <w:p>
      <w:pPr>
        <w:ind w:left="239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5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1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70" w:space="720"/>
            <w:col w:w="3140"/>
          </w:cols>
          <w:pgMar w:left="830" w:top="665" w:right="839" w:bottom="1440" w:gutter="0" w:footer="0" w:header="0"/>
          <w:type w:val="continuous"/>
        </w:sectPr>
      </w:pPr>
    </w:p>
    <w:p>
      <w:pPr>
        <w:jc w:val="center"/>
        <w:ind w:right="10"/>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30"/>
          </w:cols>
          <w:pgMar w:left="830" w:top="665" w:right="839" w:bottom="1440" w:gutter="0" w:footer="0" w:header="0"/>
          <w:type w:val="continuous"/>
        </w:sectPr>
      </w:pPr>
    </w:p>
    <w:p>
      <w:pPr>
        <w:spacing w:after="0" w:line="1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6" w:lineRule="exact"/>
        <w:rPr>
          <w:sz w:val="24"/>
          <w:szCs w:val="24"/>
          <w:color w:val="auto"/>
        </w:rPr>
      </w:pPr>
    </w:p>
    <w:p>
      <w:pPr>
        <w:ind w:left="10"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520"/>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1" w:lineRule="exact"/>
        <w:rPr>
          <w:sz w:val="24"/>
          <w:szCs w:val="24"/>
          <w:color w:val="auto"/>
        </w:rPr>
      </w:pPr>
    </w:p>
    <w:p>
      <w:pPr>
        <w:ind w:left="169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spacing w:after="0" w:line="33" w:lineRule="exact"/>
        <w:rPr>
          <w:sz w:val="24"/>
          <w:szCs w:val="24"/>
          <w:color w:val="auto"/>
        </w:rPr>
      </w:pPr>
    </w:p>
    <w:p>
      <w:pPr>
        <w:ind w:left="173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90" w:space="720"/>
            <w:col w:w="3320"/>
          </w:cols>
          <w:pgMar w:left="830" w:top="665" w:right="839" w:bottom="1440" w:gutter="0" w:footer="0" w:header="0"/>
          <w:type w:val="continuous"/>
        </w:sectPr>
      </w:pPr>
    </w:p>
    <w:p>
      <w:pPr>
        <w:spacing w:after="0" w:line="3" w:lineRule="exact"/>
        <w:rPr>
          <w:sz w:val="24"/>
          <w:szCs w:val="24"/>
          <w:color w:val="auto"/>
        </w:rPr>
      </w:pPr>
    </w:p>
    <w:p>
      <w:pPr>
        <w:ind w:left="1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50"/>
        <w:spacing w:after="0"/>
        <w:rPr>
          <w:sz w:val="20"/>
          <w:szCs w:val="20"/>
          <w:color w:val="auto"/>
        </w:rPr>
      </w:pPr>
      <w:r>
        <w:rPr>
          <w:rFonts w:ascii="Arial" w:cs="Arial" w:eastAsia="Arial" w:hAnsi="Arial"/>
          <w:sz w:val="16"/>
          <w:szCs w:val="16"/>
          <w:color w:val="auto"/>
        </w:rPr>
        <w:t>There were 24,192,157 shares of Common Stock ($0.001 par value) outstanding as of August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575310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137795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ind w:left="60" w:right="119" w:firstLine="713"/>
        <w:spacing w:after="0" w:line="270" w:lineRule="auto"/>
        <w:rPr>
          <w:sz w:val="20"/>
          <w:szCs w:val="20"/>
          <w:color w:val="auto"/>
        </w:rPr>
      </w:pPr>
      <w:r>
        <w:rPr>
          <w:rFonts w:ascii="Arial" w:cs="Arial" w:eastAsia="Arial" w:hAnsi="Arial"/>
          <w:sz w:val="17"/>
          <w:szCs w:val="17"/>
          <w:color w:val="auto"/>
        </w:rPr>
        <w:t>Legacy Housing Corporation (the “Company”) is filing this amended Form 10-Q/A (“Form 10-Q/A” and “Amendment”) to amend its Quarterly Report on Form 10-Q for the period ended June 30, 2020, that was originally filed with the Securities and Exchange Commission (the “SEC”) on August 14, 2020 (“Original Filing”), to restate its unaudited condensed balance sheet as of June 30, 2020, its unaudited condensed statements of operations, its unaudited condensed statement of cash flows, its unaudited condensed statement of changes in stockholders’ equity, and related footnote disclosures for the three and six months ended June 30, 2020. As described in Item 4.02 of our Current Report on Form 8-K filed on November 6, 2020, the previously filed unaudited condensed financial statements for this period should no longer be relied upon. This Form 10-Q/A also amends certain other items in the Original Filing, as listed in “Items Amended in this Form 10 -Q/A” below.</w:t>
      </w:r>
    </w:p>
    <w:p>
      <w:pPr>
        <w:spacing w:after="0" w:line="140" w:lineRule="exact"/>
        <w:rPr>
          <w:sz w:val="20"/>
          <w:szCs w:val="20"/>
          <w:color w:val="auto"/>
        </w:rPr>
      </w:pPr>
    </w:p>
    <w:p>
      <w:pPr>
        <w:ind w:left="60" w:right="339" w:firstLine="713"/>
        <w:spacing w:after="0" w:line="279" w:lineRule="auto"/>
        <w:rPr>
          <w:sz w:val="20"/>
          <w:szCs w:val="20"/>
          <w:color w:val="auto"/>
        </w:rPr>
      </w:pPr>
      <w:r>
        <w:rPr>
          <w:rFonts w:ascii="Arial" w:cs="Arial" w:eastAsia="Arial" w:hAnsi="Arial"/>
          <w:sz w:val="17"/>
          <w:szCs w:val="17"/>
          <w:color w:val="auto"/>
        </w:rPr>
        <w:t>As further discussed in Note 1 to our unaudited condensed consolidated financial statements in Part I, Item 1, “Financial Statements” of this 10-Q/A, we concluded that we would restate our previously issued consolidated financial statements as of and for the period ended June 30, 2020, as set forth in the Original Filing in connection with the recognition in this 10-Q/A of an overstatement in accounts payable and costs of goods sold.</w:t>
      </w:r>
    </w:p>
    <w:p>
      <w:pPr>
        <w:spacing w:after="0" w:line="131" w:lineRule="exact"/>
        <w:rPr>
          <w:sz w:val="20"/>
          <w:szCs w:val="20"/>
          <w:color w:val="auto"/>
        </w:rPr>
      </w:pPr>
    </w:p>
    <w:p>
      <w:pPr>
        <w:ind w:left="60" w:right="79" w:firstLine="713"/>
        <w:spacing w:after="0" w:line="259" w:lineRule="auto"/>
        <w:rPr>
          <w:sz w:val="20"/>
          <w:szCs w:val="20"/>
          <w:color w:val="auto"/>
        </w:rPr>
      </w:pPr>
      <w:r>
        <w:rPr>
          <w:rFonts w:ascii="Arial" w:cs="Arial" w:eastAsia="Arial" w:hAnsi="Arial"/>
          <w:sz w:val="18"/>
          <w:szCs w:val="18"/>
          <w:color w:val="auto"/>
        </w:rPr>
        <w:t>As disclosed in our Form 10-Q for the Quarterly period ended June 30, 2020, the Company’s management determined that there were deficiencies in internal control over financial reporting that constituted a material weakness. For a description of the material weakness in internal control over financial reporting, see Part I, Item 4 “Controls and Procedures” included in this Form 10-Q/A.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Items Amended in this Form 10-Q/A</w:t>
      </w:r>
    </w:p>
    <w:p>
      <w:pPr>
        <w:spacing w:after="0" w:line="202" w:lineRule="exact"/>
        <w:rPr>
          <w:sz w:val="20"/>
          <w:szCs w:val="20"/>
          <w:color w:val="auto"/>
        </w:rPr>
      </w:pPr>
    </w:p>
    <w:p>
      <w:pPr>
        <w:ind w:left="60" w:right="159" w:firstLine="713"/>
        <w:spacing w:after="0" w:line="271" w:lineRule="auto"/>
        <w:rPr>
          <w:sz w:val="20"/>
          <w:szCs w:val="20"/>
          <w:color w:val="auto"/>
        </w:rPr>
      </w:pPr>
      <w:r>
        <w:rPr>
          <w:rFonts w:ascii="Arial" w:cs="Arial" w:eastAsia="Arial" w:hAnsi="Arial"/>
          <w:sz w:val="17"/>
          <w:szCs w:val="17"/>
          <w:color w:val="auto"/>
        </w:rPr>
        <w:t>For the convenience of the reader, this Form 10-Q/A sets forth the Original Filing in its entirety, as modified and superseded as necessary to reflect the restatement described above. Accordingly, the Amendment does not reflect events occurring after the filing of the original Form 10-Q or modify or update those disclosures affected by subsequent events and should be read in conjunction with the Original Filing and our other filings with the SEC. Information not affected by the restatement is unchanged and reflects disclosures made at the time of the filing of the Original Filing. The disclosures impacted by the restatement include, but are not limited to, those related to cost of product sales, income tax expense, accounts payable, accrued liabilities and retained earnings. The following items in the Original Filing have been amended as a result of, and to reflect, the restatement:</w:t>
      </w:r>
    </w:p>
    <w:p>
      <w:pPr>
        <w:spacing w:after="0" w:line="178" w:lineRule="exact"/>
        <w:rPr>
          <w:sz w:val="20"/>
          <w:szCs w:val="20"/>
          <w:color w:val="auto"/>
        </w:rPr>
      </w:pPr>
    </w:p>
    <w:p>
      <w:pPr>
        <w:ind w:left="540" w:hanging="34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Item 1. Financial Statements</w:t>
      </w:r>
    </w:p>
    <w:p>
      <w:pPr>
        <w:spacing w:after="0" w:line="238" w:lineRule="exact"/>
        <w:rPr>
          <w:rFonts w:ascii="Arial" w:cs="Arial" w:eastAsia="Arial" w:hAnsi="Arial"/>
          <w:sz w:val="18"/>
          <w:szCs w:val="18"/>
          <w:color w:val="auto"/>
        </w:rPr>
      </w:pPr>
    </w:p>
    <w:p>
      <w:pPr>
        <w:ind w:left="540" w:hanging="34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Item 2. Management’s Discussion and Analysis of Financial Condition and Results of Operation</w:t>
      </w:r>
    </w:p>
    <w:p>
      <w:pPr>
        <w:spacing w:after="0" w:line="238" w:lineRule="exact"/>
        <w:rPr>
          <w:rFonts w:ascii="Arial" w:cs="Arial" w:eastAsia="Arial" w:hAnsi="Arial"/>
          <w:sz w:val="18"/>
          <w:szCs w:val="18"/>
          <w:color w:val="auto"/>
        </w:rPr>
      </w:pPr>
    </w:p>
    <w:p>
      <w:pPr>
        <w:ind w:left="540" w:hanging="34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6. Exhibits</w:t>
      </w:r>
    </w:p>
    <w:p>
      <w:pPr>
        <w:spacing w:after="0" w:line="200" w:lineRule="exact"/>
        <w:rPr>
          <w:sz w:val="20"/>
          <w:szCs w:val="20"/>
          <w:color w:val="auto"/>
        </w:rPr>
      </w:pPr>
    </w:p>
    <w:p>
      <w:pPr>
        <w:spacing w:after="0" w:line="228" w:lineRule="exact"/>
        <w:rPr>
          <w:sz w:val="20"/>
          <w:szCs w:val="20"/>
          <w:color w:val="auto"/>
        </w:rPr>
      </w:pPr>
    </w:p>
    <w:p>
      <w:pPr>
        <w:jc w:val="both"/>
        <w:ind w:left="60" w:right="139" w:firstLine="758"/>
        <w:spacing w:after="0" w:line="263" w:lineRule="auto"/>
        <w:rPr>
          <w:sz w:val="20"/>
          <w:szCs w:val="20"/>
          <w:color w:val="auto"/>
        </w:rPr>
      </w:pPr>
      <w:r>
        <w:rPr>
          <w:rFonts w:ascii="Arial" w:cs="Arial" w:eastAsia="Arial" w:hAnsi="Arial"/>
          <w:sz w:val="18"/>
          <w:szCs w:val="18"/>
          <w:color w:val="auto"/>
        </w:rPr>
        <w:t>In accordance with applicable SEC rules, this Amendment includes new certifications required by Rule 13a-14 under the Securities Exchange Act of 1934, as amended, or the Exchange Act, from our Chief Executive Officer and Chief Financial Officer dated as of the date of filing of this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880110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7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980" w:type="dxa"/>
            <w:vAlign w:val="bottom"/>
            <w:gridSpan w:val="2"/>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 FINANCIAL INFORMATION</w:t>
              </w:r>
            </w:hyperlink>
          </w:p>
        </w:tc>
        <w:tc>
          <w:tcPr>
            <w:tcW w:w="5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w w:val="98"/>
              </w:rPr>
            </w:pPr>
            <w:hyperlink w:anchor="page25">
              <w:r>
                <w:rPr>
                  <w:rFonts w:ascii="Arial" w:cs="Arial" w:eastAsia="Arial" w:hAnsi="Arial"/>
                  <w:sz w:val="18"/>
                  <w:szCs w:val="18"/>
                  <w:u w:val="single" w:color="auto"/>
                  <w:color w:val="0000EE"/>
                  <w:w w:val="98"/>
                </w:rPr>
                <w:t>Item 2.   Management’s Discussion and Analysis of Financial Condition and Results of Operations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Quantitative and Qualitative Disclosures About Market Risk</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980" w:type="dxa"/>
            <w:vAlign w:val="bottom"/>
            <w:gridSpan w:val="2"/>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 - OTHER INFORMATION</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Unregistered Sales of Equity Securities and Use of Proceeds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Defaults Upon Senior Securities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5.</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7980" w:type="dxa"/>
            <w:vAlign w:val="bottom"/>
            <w:gridSpan w:val="2"/>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1654"/>
        </w:trPr>
        <w:tc>
          <w:tcPr>
            <w:tcW w:w="9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(as restated)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consumer loans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Current portion of notes receivable from mobile home parks (“MHP”)</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10,969</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other notes receivable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26,377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27,228</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49,504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52,967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21,038</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102,166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99,048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81,375</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312,184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920"/>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2,607</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c>
          <w:tcPr>
            <w:tcW w:w="0" w:type="dxa"/>
            <w:vAlign w:val="bottom"/>
          </w:tcPr>
          <w:p>
            <w:pPr>
              <w:spacing w:after="0"/>
              <w:rPr>
                <w:sz w:val="1"/>
                <w:szCs w:val="1"/>
                <w:color w:val="auto"/>
              </w:rPr>
            </w:pPr>
          </w:p>
        </w:tc>
      </w:tr>
      <w:tr>
        <w:trPr>
          <w:trHeight w:val="202"/>
        </w:trPr>
        <w:tc>
          <w:tcPr>
            <w:tcW w:w="6580" w:type="dxa"/>
            <w:vAlign w:val="bottom"/>
          </w:tcPr>
          <w:p>
            <w:pPr>
              <w:ind w:left="100"/>
              <w:spacing w:after="0"/>
              <w:rPr>
                <w:sz w:val="20"/>
                <w:szCs w:val="20"/>
                <w:color w:val="auto"/>
              </w:rPr>
            </w:pPr>
            <w:r>
              <w:rPr>
                <w:rFonts w:ascii="Arial" w:cs="Arial" w:eastAsia="Arial" w:hAnsi="Arial"/>
                <w:sz w:val="17"/>
                <w:szCs w:val="17"/>
                <w:color w:val="auto"/>
              </w:rPr>
              <w:t>Customer deposits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Escrow liability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Line of credit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28,860</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51,933</w:t>
            </w:r>
          </w:p>
        </w:tc>
        <w:tc>
          <w:tcPr>
            <w:tcW w:w="0" w:type="dxa"/>
            <w:vAlign w:val="bottom"/>
          </w:tcPr>
          <w:p>
            <w:pPr>
              <w:spacing w:after="0"/>
              <w:rPr>
                <w:sz w:val="1"/>
                <w:szCs w:val="1"/>
                <w:color w:val="auto"/>
              </w:rPr>
            </w:pPr>
          </w:p>
        </w:tc>
      </w:tr>
      <w:tr>
        <w:trPr>
          <w:trHeight w:val="203"/>
        </w:trPr>
        <w:tc>
          <w:tcPr>
            <w:tcW w:w="6580" w:type="dxa"/>
            <w:vAlign w:val="bottom"/>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Lines of credit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Dealer incentive liability</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72,014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61,231</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Commitments and contingencies (Note 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580" w:type="dxa"/>
            <w:vAlign w:val="bottom"/>
          </w:tcPr>
          <w:p>
            <w:pPr>
              <w:ind w:left="100"/>
              <w:spacing w:after="0" w:line="185" w:lineRule="exact"/>
              <w:rPr>
                <w:sz w:val="20"/>
                <w:szCs w:val="20"/>
                <w:color w:val="auto"/>
              </w:rPr>
            </w:pPr>
            <w:r>
              <w:rPr>
                <w:rFonts w:ascii="Arial" w:cs="Arial" w:eastAsia="Arial" w:hAnsi="Arial"/>
                <w:sz w:val="17"/>
                <w:szCs w:val="17"/>
                <w:color w:val="auto"/>
                <w:w w:val="93"/>
              </w:rPr>
              <w:t>Common stock, $.001 par value, 90,000,000 shares authorized; 24,637,222 and 24,620,079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w w:val="90"/>
              </w:rPr>
              <w:t>issued and 24,192,157 and 24,320,079 outstanding at June 30, 2020 and December 31, 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80" w:type="dxa"/>
            <w:vAlign w:val="bottom"/>
          </w:tcPr>
          <w:p>
            <w:pPr>
              <w:ind w:left="10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7"/>
        </w:trPr>
        <w:tc>
          <w:tcPr>
            <w:tcW w:w="6580" w:type="dxa"/>
            <w:vAlign w:val="bottom"/>
            <w:shd w:val="clear" w:color="auto" w:fill="CCEEFF"/>
          </w:tcPr>
          <w:p>
            <w:pPr>
              <w:ind w:left="100"/>
              <w:spacing w:after="0" w:line="187" w:lineRule="exact"/>
              <w:rPr>
                <w:sz w:val="20"/>
                <w:szCs w:val="20"/>
                <w:color w:val="auto"/>
              </w:rPr>
            </w:pPr>
            <w:r>
              <w:rPr>
                <w:rFonts w:ascii="Arial" w:cs="Arial" w:eastAsia="Arial" w:hAnsi="Arial"/>
                <w:sz w:val="17"/>
                <w:szCs w:val="17"/>
                <w:color w:val="auto"/>
                <w:w w:val="90"/>
              </w:rPr>
              <w:t>Treasury stock at cost, 445,065 and 300,000 shares at June 30, 2020 and December 31, 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175,200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175,067</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50,357</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240,170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222,389</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312,184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7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42"/>
        </w:trPr>
        <w:tc>
          <w:tcPr>
            <w:tcW w:w="3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(as restated)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(as restated)</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revenue: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71,316</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Consumer and MHP loans interest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10,642</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60" w:type="dxa"/>
            <w:vAlign w:val="bottom"/>
            <w:shd w:val="clear" w:color="auto" w:fill="CCEEFF"/>
          </w:tcPr>
          <w:p>
            <w:pPr>
              <w:spacing w:after="0"/>
              <w:rPr>
                <w:sz w:val="18"/>
                <w:szCs w:val="18"/>
                <w:color w:val="auto"/>
              </w:rPr>
            </w:pPr>
          </w:p>
        </w:tc>
      </w:tr>
      <w:tr>
        <w:trPr>
          <w:trHeight w:val="209"/>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83,715</w:t>
            </w:r>
          </w:p>
        </w:tc>
        <w:tc>
          <w:tcPr>
            <w:tcW w:w="60" w:type="dxa"/>
            <w:vAlign w:val="bottom"/>
            <w:tcBorders>
              <w:bottom w:val="single" w:sz="8" w:color="CCEEFF"/>
            </w:tcBorders>
          </w:tcPr>
          <w:p>
            <w:pPr>
              <w:spacing w:after="0"/>
              <w:rPr>
                <w:sz w:val="18"/>
                <w:szCs w:val="18"/>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Cost of product sales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49,760</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Dealer incentive</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60" w:type="dxa"/>
            <w:vAlign w:val="bottom"/>
            <w:tcBorders>
              <w:bottom w:val="single" w:sz="8" w:color="CCEEFF"/>
            </w:tcBorders>
          </w:tcPr>
          <w:p>
            <w:pPr>
              <w:spacing w:after="0"/>
              <w:rPr>
                <w:sz w:val="18"/>
                <w:szCs w:val="18"/>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Miscellaneous,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net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expense</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r>
      <w:tr>
        <w:trPr>
          <w:trHeight w:val="210"/>
        </w:trPr>
        <w:tc>
          <w:tcPr>
            <w:tcW w:w="372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20,642</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60" w:type="dxa"/>
            <w:vAlign w:val="bottom"/>
            <w:shd w:val="clear" w:color="auto" w:fill="CCEEFF"/>
          </w:tcPr>
          <w:p>
            <w:pPr>
              <w:spacing w:after="0"/>
              <w:rPr>
                <w:sz w:val="18"/>
                <w:szCs w:val="18"/>
                <w:color w:val="auto"/>
              </w:rPr>
            </w:pPr>
          </w:p>
        </w:tc>
      </w:tr>
      <w:tr>
        <w:trPr>
          <w:trHeight w:val="250"/>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15,846</w:t>
            </w:r>
          </w:p>
        </w:tc>
        <w:tc>
          <w:tcPr>
            <w:tcW w:w="60" w:type="dxa"/>
            <w:vAlign w:val="bottom"/>
            <w:tcBorders>
              <w:bottom w:val="single" w:sz="8" w:color="CCEEFF"/>
            </w:tcBorders>
          </w:tcPr>
          <w:p>
            <w:pPr>
              <w:spacing w:after="0"/>
              <w:rPr>
                <w:sz w:val="21"/>
                <w:szCs w:val="21"/>
                <w:color w:val="auto"/>
              </w:rPr>
            </w:pPr>
          </w:p>
        </w:tc>
      </w:tr>
      <w:tr>
        <w:trPr>
          <w:trHeight w:val="197"/>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24,201,220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24,369,890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24,260,274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24,442,921</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24,201,823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24,369,890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24,260,938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24,457,967</w:t>
            </w: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income per share: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r>
      <w:tr>
        <w:trPr>
          <w:trHeight w:val="230"/>
        </w:trPr>
        <w:tc>
          <w:tcPr>
            <w:tcW w:w="3720" w:type="dxa"/>
            <w:vAlign w:val="bottom"/>
          </w:tcPr>
          <w:p>
            <w:pPr>
              <w:ind w:left="10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142"/>
        </w:trPr>
        <w:tc>
          <w:tcPr>
            <w:tcW w:w="6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(as restated)</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Amortization of debt discount and issuance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loan loss—consumer loans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Share based payment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originations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Consumer loans principal collections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4,128</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originations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15,016</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Dealer incentive liability</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r>
      <w:tr>
        <w:trPr>
          <w:trHeight w:val="210"/>
        </w:trPr>
        <w:tc>
          <w:tcPr>
            <w:tcW w:w="6220" w:type="dxa"/>
            <w:vAlign w:val="bottom"/>
          </w:tcPr>
          <w:p>
            <w:pPr>
              <w:ind w:left="3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(1,454)</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notes receivable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Notes receivable collections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consumer loans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Collections from purchased consumer loans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bottom w:val="single" w:sz="8" w:color="CCEEFF"/>
            </w:tcBorders>
          </w:tcPr>
          <w:p>
            <w:pPr>
              <w:spacing w:after="0"/>
              <w:rPr>
                <w:sz w:val="18"/>
                <w:szCs w:val="18"/>
                <w:color w:val="auto"/>
              </w:rPr>
            </w:pPr>
          </w:p>
        </w:tc>
      </w:tr>
      <w:tr>
        <w:trPr>
          <w:trHeight w:val="209"/>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 of over-allotment common stock in initial public offering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Offering cost for over-allotment of initial public offering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 purchase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Proceeds from issuance of note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Principal payments on note payable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Escrow liability,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lines of credit,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26,284</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Payments on lines of credit</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(30,839)</w:t>
            </w:r>
          </w:p>
        </w:tc>
        <w:tc>
          <w:tcPr>
            <w:tcW w:w="160" w:type="dxa"/>
            <w:vAlign w:val="bottom"/>
            <w:tcBorders>
              <w:bottom w:val="single" w:sz="8" w:color="CCEEFF"/>
            </w:tcBorders>
          </w:tcPr>
          <w:p>
            <w:pPr>
              <w:spacing w:after="0"/>
              <w:rPr>
                <w:sz w:val="18"/>
                <w:szCs w:val="18"/>
                <w:color w:val="auto"/>
              </w:rPr>
            </w:pPr>
          </w:p>
        </w:tc>
      </w:tr>
      <w:tr>
        <w:trPr>
          <w:trHeight w:val="209"/>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60" w:type="dxa"/>
            <w:vAlign w:val="bottom"/>
            <w:shd w:val="clear" w:color="auto" w:fill="CCEEFF"/>
          </w:tcPr>
          <w:p>
            <w:pPr>
              <w:spacing w:after="0"/>
              <w:rPr>
                <w:sz w:val="18"/>
                <w:szCs w:val="18"/>
                <w:color w:val="auto"/>
              </w:rPr>
            </w:pPr>
          </w:p>
        </w:tc>
      </w:tr>
      <w:tr>
        <w:trPr>
          <w:trHeight w:val="249"/>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160" w:type="dxa"/>
            <w:vAlign w:val="bottom"/>
            <w:tcBorders>
              <w:bottom w:val="single" w:sz="8" w:color="CCEEFF"/>
            </w:tcBorders>
          </w:tcPr>
          <w:p>
            <w:pPr>
              <w:spacing w:after="0"/>
              <w:rPr>
                <w:sz w:val="21"/>
                <w:szCs w:val="2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553</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22"/>
                <w:szCs w:val="22"/>
                <w:color w:val="auto"/>
              </w:rPr>
            </w:pPr>
          </w:p>
        </w:tc>
      </w:tr>
      <w:tr>
        <w:trPr>
          <w:trHeight w:val="196"/>
        </w:trPr>
        <w:tc>
          <w:tcPr>
            <w:tcW w:w="6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taxes</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Additional</w:t>
            </w: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stock</w:t>
            </w:r>
          </w:p>
        </w:tc>
        <w:tc>
          <w:tcPr>
            <w:tcW w:w="108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paid-in-capital</w:t>
            </w:r>
          </w:p>
        </w:tc>
        <w:tc>
          <w:tcPr>
            <w:tcW w:w="82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24,000,000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167,743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$ 21,513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$ 189,280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8"/>
                <w:szCs w:val="18"/>
                <w:color w:val="auto"/>
              </w:rPr>
              <w:t>Sale of over-allotment common stock in initial</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public offering, net of offering costs of $505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Share based compensation expense and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24,617,143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174,671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$ 28,726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$ 203,422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7"/>
              </w:rPr>
              <w:t>Share based compensation expense and stock</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10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(3,060)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24,617,143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(3,060)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$ 37,359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$ 209,182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left="12"/>
              <w:spacing w:after="0" w:line="142" w:lineRule="exact"/>
              <w:rPr>
                <w:sz w:val="20"/>
                <w:szCs w:val="20"/>
                <w:color w:val="auto"/>
              </w:rPr>
            </w:pPr>
            <w:r>
              <w:rPr>
                <w:rFonts w:ascii="Arial" w:cs="Arial" w:eastAsia="Arial" w:hAnsi="Arial"/>
                <w:sz w:val="14"/>
                <w:szCs w:val="14"/>
                <w:b w:val="1"/>
                <w:bCs w:val="1"/>
                <w:color w:val="auto"/>
                <w:w w:val="87"/>
              </w:rPr>
              <w:t>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paid-in-capital</w:t>
            </w:r>
          </w:p>
        </w:tc>
        <w:tc>
          <w:tcPr>
            <w:tcW w:w="80" w:type="dxa"/>
            <w:vAlign w:val="bottom"/>
          </w:tcPr>
          <w:p>
            <w:pPr>
              <w:spacing w:after="0"/>
              <w:rPr>
                <w:sz w:val="12"/>
                <w:szCs w:val="12"/>
                <w:color w:val="auto"/>
              </w:rPr>
            </w:pP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24,620,079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99"/>
              </w:rPr>
              <w:t>25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(3,060)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$ 50,357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$ 222,389</w:t>
            </w:r>
          </w:p>
        </w:tc>
        <w:tc>
          <w:tcPr>
            <w:tcW w:w="0" w:type="dxa"/>
            <w:vAlign w:val="bottom"/>
          </w:tcPr>
          <w:p>
            <w:pPr>
              <w:spacing w:after="0"/>
              <w:rPr>
                <w:sz w:val="1"/>
                <w:szCs w:val="1"/>
                <w:color w:val="auto"/>
              </w:rPr>
            </w:pPr>
          </w:p>
        </w:tc>
      </w:tr>
      <w:tr>
        <w:trPr>
          <w:trHeight w:val="182"/>
        </w:trPr>
        <w:tc>
          <w:tcPr>
            <w:tcW w:w="3760" w:type="dxa"/>
            <w:vAlign w:val="bottom"/>
          </w:tcPr>
          <w:p>
            <w:pPr>
              <w:ind w:left="120"/>
              <w:spacing w:after="0" w:line="182" w:lineRule="exact"/>
              <w:rPr>
                <w:sz w:val="20"/>
                <w:szCs w:val="20"/>
                <w:color w:val="auto"/>
              </w:rPr>
            </w:pPr>
            <w:r>
              <w:rPr>
                <w:rFonts w:ascii="Arial" w:cs="Arial" w:eastAsia="Arial" w:hAnsi="Arial"/>
                <w:sz w:val="18"/>
                <w:szCs w:val="18"/>
                <w:color w:val="auto"/>
                <w:w w:val="96"/>
              </w:rPr>
              <w:t>Share based compensation expense and stock</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17,143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9,025</w:t>
            </w:r>
          </w:p>
        </w:tc>
        <w:tc>
          <w:tcPr>
            <w:tcW w:w="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24,637,222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99"/>
              </w:rPr>
              <w:t>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(3,742)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175,164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$ 59,382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$ 230,829</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6"/>
              </w:rPr>
              <w:t>Share based compensation expense and stock</w:t>
            </w: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 (as restated)</w:t>
            </w: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10,040</w:t>
            </w:r>
          </w:p>
        </w:tc>
        <w:tc>
          <w:tcPr>
            <w:tcW w:w="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24,637,222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99"/>
              </w:rPr>
              <w:t>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(4,477)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175,200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$ 69,422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$ 240,170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259"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46"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9" w:lineRule="exact"/>
        <w:rPr>
          <w:sz w:val="20"/>
          <w:szCs w:val="20"/>
          <w:color w:val="auto"/>
        </w:rPr>
      </w:pPr>
    </w:p>
    <w:p>
      <w:pPr>
        <w:ind w:left="6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60" w:right="9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six months ended June 30,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9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accompanying unaudited interim condensed financial statements as of June 30, 2020 and for the three and six months ended June 30, 2020 and 2019,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80" w:right="154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months ended June 30, 2020 are not necessarily indicative of the results to be expected for the year ending December 31, 2020, or any other period. The accompanying balance sheet as of December 31, 2019 was derived from audited financial statements included in the Company's annual report on Form 10-K for the year ended December 31, 2019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Restatement of Previously Issued Condensed Consolidated Financial Statements</w:t>
      </w:r>
    </w:p>
    <w:p>
      <w:pPr>
        <w:spacing w:after="0" w:line="202"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The Company has restated these financial statements to correct an error in accounts payable and cost of goods sold for the period period ended June 30, 2020. The Company identified an overstatement of costs errantly assigned to accounts payable for inventory received but not invoiced.</w:t>
      </w:r>
    </w:p>
    <w:p>
      <w:pPr>
        <w:spacing w:after="0" w:line="143"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decision to restate the Company’s financial statements previously reported on its Quarterly Report on Form 10-Q for the second quarter of 2020, was approved by, and with the continuing oversight of, the Company’s Audit Committee.</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effects of the restatement on the line items within the Company’s condensed consolidated balance sheet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are as follows:</w:t>
      </w:r>
    </w:p>
    <w:p>
      <w:pPr>
        <w:spacing w:after="0" w:line="189"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As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Originally</w:t>
            </w:r>
          </w:p>
        </w:tc>
        <w:tc>
          <w:tcPr>
            <w:tcW w:w="10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080" w:type="dxa"/>
            <w:vAlign w:val="bottom"/>
            <w:gridSpan w:val="4"/>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4,476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15,219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67,978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69,422</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consolidated statement of operations for the three months ended June 30, 2020 are as follows:</w:t>
      </w:r>
    </w:p>
    <w:p>
      <w:pPr>
        <w:spacing w:after="0" w:line="135"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3"/>
              </w:rPr>
              <w:t>Three Months Ended June 30, 2020</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As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Originally</w:t>
            </w: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30,557</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28,688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11,186</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13,055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8,596</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consolidated statement of operations for the six months ended June 30, 2020 are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As</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Originally</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52,416</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22,805</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1,869</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17,619</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0.73</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Although there was with no impact to net cash used in operating activities, net cash used in investing activities or net cash provided by financing activities, the effects of the restatement on the line items within the condensed consolidated statement of cash flows for the six months ended June 30, 2020 are as follows:</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0"/>
              </w:rPr>
              <w:t>Six months ended June 30, 2020</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As Originally</w:t>
            </w:r>
          </w:p>
        </w:tc>
        <w:tc>
          <w:tcPr>
            <w:tcW w:w="106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6"/>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Reported</w:t>
            </w: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17,619</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(5,266)</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impacts of the restatement have been reflected throughout the financial statements, including the applicable footnotes, as appropriate.</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income taxes, fair value of financial instruments and contingent liabilities. Actual results could differ from these estimates.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left="60" w:right="339" w:firstLine="648"/>
        <w:spacing w:after="0" w:line="296"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7"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the three months ended June 30, 2020 and 2019, sales to an independent third-party and its affiliates accounted for $14,320 or 36.6% and $8,520 or 21.4% of our product sales, respectively. For the six months ended June 30, 2020 and 2019, sales to an independent third-party and its affiliates accounted for $26,306 or 37.4% and $13,323 or 18.7% of our product sales, respectively.</w:t>
      </w:r>
    </w:p>
    <w:p>
      <w:pPr>
        <w:spacing w:after="0" w:line="133"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For the three and six months ended June 30, 2020, total cost of product sales included $7,849 and $12,756 of costs, mainly relating to up front dealer commission and reimbursed dealer expenses for consignment sales and certain other similar costs incurred for retail store and commercial sales. For the three and six months ended June 30, 2019, total cost of product sales included $7,573 and $11,900 of costs, mainly relating to up front dealer commission and reimbursed dealer expenses for consignment sales and certain other similar costs incurred for retail store and commercial sales.</w:t>
      </w:r>
    </w:p>
    <w:p>
      <w:pPr>
        <w:spacing w:after="0" w:line="10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service fees and other miscellaneous income. Consignment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and six months ended June 30, 2020 and 2019:</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3,850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6,076</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30,107</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17,924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20,662</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39,179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39,766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70,375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71,316</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12,491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10,642</w:t>
            </w:r>
          </w:p>
        </w:tc>
      </w:tr>
      <w:tr>
        <w:trPr>
          <w:trHeight w:val="209"/>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r>
      <w:tr>
        <w:trPr>
          <w:trHeight w:val="209"/>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46,006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45,761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84,280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83,715</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Other product sales revenue from ancillary products and services including parts, freight and other services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61" w:lineRule="exact"/>
        <w:rPr>
          <w:sz w:val="20"/>
          <w:szCs w:val="20"/>
          <w:color w:val="auto"/>
        </w:rPr>
      </w:pPr>
    </w:p>
    <w:p>
      <w:pPr>
        <w:jc w:val="both"/>
        <w:ind w:left="60" w:right="59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43"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43"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June 30, 2020 and December 31, 2019, the allowance for doubtful accounts totaled $374 and $457,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43"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2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 xml:space="preserve">In June 2016, the FASB issued an accounting standards update 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3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 RECEIVABLE</w:t>
      </w:r>
    </w:p>
    <w:p>
      <w:pPr>
        <w:spacing w:after="0" w:line="18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13.9% as of June 30, 2020 and 14.0% as of December 31, 2019. Consumer loans receivable have maturities that range from 3 to 30 years.</w:t>
      </w:r>
    </w:p>
    <w:p>
      <w:pPr>
        <w:spacing w:after="0" w:line="134"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196"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Company may also receive escrow payments for property taxes and insurance included in its consumer loan collections. The liabilities associated with these escrow collections totaled $7,548 and $7,530 as of June 30, 2020 and December 31, 2019, respectively, and are included in escrow liability in the balance sheets.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1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4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2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60" w:right="79" w:hanging="10"/>
        <w:spacing w:after="0" w:line="25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the borrower has lived in the house without making payments; (6) location, size, and market conditions; and (7) the experience and expertise of the particular dealer assisting in collection efforts.</w:t>
      </w:r>
    </w:p>
    <w:p>
      <w:pPr>
        <w:spacing w:after="0" w:line="130"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$1,651 and $1,846 as of June 30, 2020 and December 31, 2019, respectively, and are included in other assets in the balance sheets.</w:t>
      </w:r>
    </w:p>
    <w:p>
      <w:pPr>
        <w:spacing w:after="0" w:line="168"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2"/>
                <w:szCs w:val="12"/>
                <w:color w:val="auto"/>
              </w:rPr>
            </w:pPr>
          </w:p>
        </w:tc>
        <w:tc>
          <w:tcPr>
            <w:tcW w:w="9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6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111,118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109,005</w:t>
            </w: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(2,966)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09"/>
        </w:trPr>
        <w:tc>
          <w:tcPr>
            <w:tcW w:w="4000" w:type="dxa"/>
            <w:vAlign w:val="bottom"/>
            <w:gridSpan w:val="2"/>
          </w:tcPr>
          <w:p>
            <w:pPr>
              <w:ind w:left="240"/>
              <w:spacing w:after="0"/>
              <w:rPr>
                <w:sz w:val="20"/>
                <w:szCs w:val="20"/>
                <w:color w:val="auto"/>
              </w:rPr>
            </w:pPr>
            <w:r>
              <w:rPr>
                <w:rFonts w:ascii="Arial" w:cs="Arial" w:eastAsia="Arial" w:hAnsi="Arial"/>
                <w:sz w:val="18"/>
                <w:szCs w:val="18"/>
                <w:color w:val="auto"/>
              </w:rPr>
              <w:t>Consumer loans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107,236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105,042</w:t>
            </w:r>
          </w:p>
        </w:tc>
      </w:tr>
      <w:tr>
        <w:trPr>
          <w:trHeight w:val="20"/>
        </w:trPr>
        <w:tc>
          <w:tcPr>
            <w:tcW w:w="43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13"/>
        </w:trPr>
        <w:tc>
          <w:tcPr>
            <w:tcW w:w="6440" w:type="dxa"/>
            <w:vAlign w:val="bottom"/>
            <w:gridSpan w:val="14"/>
          </w:tcPr>
          <w:p>
            <w:pPr>
              <w:jc w:val="right"/>
              <w:ind w:right="420"/>
              <w:spacing w:after="0"/>
              <w:rPr>
                <w:sz w:val="20"/>
                <w:szCs w:val="20"/>
                <w:color w:val="auto"/>
              </w:rPr>
            </w:pPr>
            <w:r>
              <w:rPr>
                <w:rFonts w:ascii="Arial" w:cs="Arial" w:eastAsia="Arial" w:hAnsi="Arial"/>
                <w:sz w:val="18"/>
                <w:szCs w:val="18"/>
                <w:color w:val="auto"/>
                <w:w w:val="91"/>
              </w:rPr>
              <w:t>The following table presents a detail of the activity in the allowance for loan losses: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5"/>
        </w:trPr>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48"/>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r>
      <w:tr>
        <w:trPr>
          <w:trHeight w:val="210"/>
        </w:trPr>
        <w:tc>
          <w:tcPr>
            <w:tcW w:w="2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r>
      <w:tr>
        <w:trPr>
          <w:trHeight w:val="210"/>
        </w:trPr>
        <w:tc>
          <w:tcPr>
            <w:tcW w:w="4000" w:type="dxa"/>
            <w:vAlign w:val="bottom"/>
            <w:gridSpan w:val="2"/>
          </w:tcPr>
          <w:p>
            <w:pPr>
              <w:ind w:left="240"/>
              <w:spacing w:after="0"/>
              <w:rPr>
                <w:sz w:val="20"/>
                <w:szCs w:val="20"/>
                <w:color w:val="auto"/>
              </w:rPr>
            </w:pPr>
            <w:r>
              <w:rPr>
                <w:rFonts w:ascii="Arial" w:cs="Arial" w:eastAsia="Arial" w:hAnsi="Arial"/>
                <w:sz w:val="18"/>
                <w:szCs w:val="18"/>
                <w:color w:val="auto"/>
              </w:rPr>
              <w:t>Allowance for loan losses</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c>
          <w:tcPr>
            <w:tcW w:w="16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consisted of the following:</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18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gridSpan w:val="2"/>
          </w:tcPr>
          <w:p>
            <w:pPr>
              <w:jc w:val="center"/>
              <w:ind w:left="593"/>
              <w:spacing w:after="0"/>
              <w:rPr>
                <w:sz w:val="20"/>
                <w:szCs w:val="20"/>
                <w:color w:val="auto"/>
              </w:rPr>
            </w:pPr>
            <w:r>
              <w:rPr>
                <w:rFonts w:ascii="Arial" w:cs="Arial" w:eastAsia="Arial" w:hAnsi="Arial"/>
                <w:sz w:val="14"/>
                <w:szCs w:val="14"/>
                <w:b w:val="1"/>
                <w:bCs w:val="1"/>
                <w:color w:val="auto"/>
                <w:w w:val="96"/>
              </w:rPr>
              <w:t>2020</w:t>
            </w:r>
          </w:p>
        </w:tc>
        <w:tc>
          <w:tcPr>
            <w:tcW w:w="10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111,118</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109,005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900" w:type="dxa"/>
            <w:vAlign w:val="bottom"/>
          </w:tcPr>
          <w:p>
            <w:pPr>
              <w:spacing w:after="0"/>
              <w:rPr>
                <w:sz w:val="20"/>
                <w:szCs w:val="20"/>
                <w:color w:val="auto"/>
              </w:rPr>
            </w:pPr>
          </w:p>
        </w:tc>
      </w:tr>
      <w:tr>
        <w:trPr>
          <w:trHeight w:val="850"/>
        </w:trPr>
        <w:tc>
          <w:tcPr>
            <w:tcW w:w="5440" w:type="dxa"/>
            <w:vAlign w:val="bottom"/>
            <w:gridSpan w:val="2"/>
          </w:tcPr>
          <w:p>
            <w:pPr>
              <w:jc w:val="right"/>
              <w:ind w:right="79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As of June 30, 2020 and December 31, 2019, the total principal outstanding for consumer loans on nonaccrual status was $1,646 and $1,677, respectively. A detailed aging of consumer loans receivable that are past due as of June 30, 2020 and December 31, 2019 were as follows: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June 30,</w:t>
            </w: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111,118</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31</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Arial" w:cs="Arial" w:eastAsia="Arial" w:hAnsi="Arial"/>
                <w:sz w:val="18"/>
                <w:szCs w:val="18"/>
                <w:color w:val="auto"/>
                <w:w w:val="89"/>
              </w:rPr>
              <w:t>61</w:t>
            </w:r>
          </w:p>
        </w:tc>
        <w:tc>
          <w:tcPr>
            <w:tcW w:w="320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91</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Greater than 120 days past due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 (“MHP Notes”)</w:t>
      </w:r>
    </w:p>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6"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47.4% and 38.3% of the principal balance outstanding, all of which was secured, as of June 30, 2020 and December 31, 2019, respectively.</w:t>
      </w:r>
    </w:p>
    <w:p>
      <w:pPr>
        <w:spacing w:after="0" w:line="143"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June 30, 2020 and December 31, 2019 and no charge offs were recorded for MHP Notes during the three and six months ended June 30, 2020 and 2019, respectively. Allowance for loan loss is considered immaterial and accordingly no loss is recorded against the MHP Notes as of June 30, 2020 and December 31, 2019.</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1" w:lineRule="exact"/>
        <w:rPr>
          <w:sz w:val="20"/>
          <w:szCs w:val="20"/>
          <w:color w:val="auto"/>
        </w:rPr>
      </w:pPr>
    </w:p>
    <w:p>
      <w:pPr>
        <w:jc w:val="both"/>
        <w:ind w:left="60" w:right="99"/>
        <w:spacing w:after="0" w:line="323" w:lineRule="auto"/>
        <w:rPr>
          <w:sz w:val="20"/>
          <w:szCs w:val="20"/>
          <w:color w:val="auto"/>
        </w:rPr>
      </w:pPr>
      <w:r>
        <w:rPr>
          <w:rFonts w:ascii="Arial" w:cs="Arial" w:eastAsia="Arial" w:hAnsi="Arial"/>
          <w:sz w:val="16"/>
          <w:szCs w:val="16"/>
          <w:color w:val="auto"/>
        </w:rPr>
        <w:t>6.25% to 12.00%. The Company reserves for estimated losses on the other notes based on current economic conditions that may affect the borrower’s ability to pay, the borrower’s financial strength, and historical loss experience.</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60" w:type="dxa"/>
            <w:vAlign w:val="bottom"/>
            <w:vMerge w:val="restart"/>
          </w:tcPr>
          <w:p>
            <w:pPr>
              <w:jc w:val="right"/>
              <w:ind w:right="14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INVENTORIES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Work in progress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20" w:type="dxa"/>
            <w:vAlign w:val="bottom"/>
            <w:gridSpan w:val="2"/>
          </w:tcPr>
          <w:p>
            <w:pPr>
              <w:ind w:left="640"/>
              <w:spacing w:after="0"/>
              <w:rPr>
                <w:sz w:val="20"/>
                <w:szCs w:val="20"/>
                <w:color w:val="auto"/>
              </w:rPr>
            </w:pPr>
            <w:r>
              <w:rPr>
                <w:rFonts w:ascii="Arial" w:cs="Arial" w:eastAsia="Arial" w:hAnsi="Arial"/>
                <w:sz w:val="18"/>
                <w:szCs w:val="18"/>
                <w:color w:val="auto"/>
              </w:rPr>
              <w:t>Property, plant and equipment consisted of the following:</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 property, plant and equipment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21,320</w:t>
            </w:r>
          </w:p>
        </w:tc>
        <w:tc>
          <w:tcPr>
            <w:tcW w:w="16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21,038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Depreciation expense was $252 with $98 included as a component of cost of product sales for the three months ended June 30, 2020 and $253 with $91 included as a component of cost of product sales for the three months ended June 30, 2019. Depreciation expense was $501 with $203 included as a component of cost of product sales for the six months ended June 30, 2020 and $494 with $181 included as a component of cost of product sales for the six months ended June 30,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June 30,</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201"/>
        </w:trPr>
        <w:tc>
          <w:tcPr>
            <w:tcW w:w="6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property</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Prepaid rent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0"/>
        </w:trPr>
        <w:tc>
          <w:tcPr>
            <w:tcW w:w="64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expense for the leased property was $38 and $71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LIABILITIES – AS RESTATED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142"/>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Warranty liability</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2,893</w:t>
            </w: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Litigation reserve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Federal and state taxes payable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&amp; other accrued liabilities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98"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 as of December 31, 2019.</w:t>
      </w:r>
    </w:p>
    <w:p>
      <w:pPr>
        <w:spacing w:after="0" w:line="14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June 30, 2020 was 2.18%.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$32,465 as of June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24"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For the three months ended June 30, 2020 and 2019, interest expense under the Capital One Revolvers was $226 and $66, respectively, and for the six months ended June 30, 2020 and 2019, interest expense under the Capital One Revolvers was $545 and $139, respectively. The outstanding balance as of June 30, 2020 and December 31, 2019 was $37,535 and $28,860, respectively. The Company was in compliance with all financial covenants as of June 30, 2020, including that it maintain a tangible net worth of at least $120,000 and that it maintain a ratio of debt to EBITDA of 4 to 1, or less.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interest rates in effect as of March 31, 2020 and December 31, 2019 were 4.17% and 4.19%, respectively. On May 12, 2017, the Company entered into an agreement to increase the line of credit to $20,000. On October 15, 2018, Revolver 2 was amended to extend the maturity date from April 4, 2019 to April 4, 2021. The amount of available credit under Revolver 2 was $12,028 at March 31, 2020. The Company was in compliance with all required covenants as of March 31, 2020. For the six months ended June 30, 2020 and 2019, interest expense was $17 and $86, respectively. The outstanding balance as of March 31, 2020 and December 31, 2019 was $2,001. The Company was in compliance with the other financial covenants that it maintain a tangible net worth of at least $80,000. In April 2020, this note was paid in full and the facility was terminated.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PPP Loan</w:t>
      </w:r>
    </w:p>
    <w:p>
      <w:pPr>
        <w:spacing w:after="0" w:line="202"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On April 10, 2020, the Company entered into a loan with Peoples Bank as the lender in an aggregate 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Payable</w:t>
      </w:r>
    </w:p>
    <w:p>
      <w:pPr>
        <w:spacing w:after="0" w:line="18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an interest rate of 4.25% and monthly payments of $30 with a final payment due at maturity. The note is secured by certain real property of the Company. Interest expense was $38 and $76 for the three and six months ended June 30, 2019. In October 2019, this note was paid in full.</w:t>
      </w:r>
    </w:p>
    <w:p>
      <w:pPr>
        <w:spacing w:after="0" w:line="15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$0 and $1 for the three and six months ended June 30, 2019. In January 2019, this note was paid in full.</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left="60" w:right="31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6.00% per annum on outstanding balances, which are due each December 1st through maturity on December 1, 2021, at which time all unpaid principal and interest are due. The PILOT agreement is collateralized by the assets of the Project. As of June 30, 2020, the Company had not drawn on this credit facility.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June 30, 2020, the Company had 9.8 million shares available for grant under the Compensation Plan.</w:t>
      </w:r>
    </w:p>
    <w:p>
      <w:pPr>
        <w:spacing w:after="0" w:line="16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managment.</w:t>
      </w:r>
    </w:p>
    <w:p>
      <w:pPr>
        <w:spacing w:after="0" w:line="117"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become fully vested on December 13, 2019.</w:t>
      </w:r>
    </w:p>
    <w:p>
      <w:pPr>
        <w:spacing w:after="0" w:line="83"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managment.</w:t>
      </w:r>
    </w:p>
    <w:p>
      <w:pPr>
        <w:spacing w:after="0" w:line="144"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1,903 restricted shares of its common stock to the independent directors on the Company’s Board of Directors. The shares were granted on March 27, 2020 and become fully vested on December 13, 2020.</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2"/>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date Fair</w:t>
            </w:r>
          </w:p>
        </w:tc>
      </w:tr>
      <w:tr>
        <w:trPr>
          <w:trHeight w:val="213"/>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Canceled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13.12</w:t>
            </w: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June 30, 2020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As of June 30, 2020, approximately 45,000 RSUs remained unvested. Unrecognized compensation expense related to these RSUs at June 30, 2020 was $550 and is expected to be recognized over 4.52 years.</w:t>
      </w:r>
    </w:p>
    <w:p>
      <w:pPr>
        <w:spacing w:after="0" w:line="11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a senior manager.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8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Remaining</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7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Number</w:t>
            </w: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Exercise</w:t>
            </w: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Contractual</w:t>
            </w:r>
          </w:p>
        </w:tc>
        <w:tc>
          <w:tcPr>
            <w:tcW w:w="7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47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of Units</w:t>
            </w:r>
          </w:p>
        </w:tc>
        <w:tc>
          <w:tcPr>
            <w:tcW w:w="12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8"/>
                <w:szCs w:val="18"/>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Granted</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2"/>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Forfeited</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June 30,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6"/>
                <w:szCs w:val="16"/>
                <w:color w:val="auto"/>
              </w:rPr>
              <w:t>Exercisable, June 30,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6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 – AS RESTATED</w:t>
      </w:r>
    </w:p>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provision for income tax expense for the six months ended June 30, 2020 and 2019 was $5.6 million and $4.8 million, respectively. The effective tax rate for the six months ended June 30, 2020 was 22.7% and differs from the federal statutory rate of 21% primarily due to state income taxes. The effective tax rate for the six months ended June 30, 2019 was 23.2% and differs from the federal statutory rate of 21% due to state income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June 30, 2020, the Company accrued a $179 liability for incurred but not reported claims.</w:t>
      </w:r>
    </w:p>
    <w:p>
      <w:pPr>
        <w:spacing w:after="0" w:line="16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$404 and $260 at June 30, 2020 and December 31, 2019, respectively, without reduction for the resale value of the homes. The Company considers its obligations on current contracts to be immaterial and accordingly have not recorded any reserve for repurchase commitment as of June 30, 2020 or December 31, 2019.</w:t>
      </w:r>
    </w:p>
    <w:p>
      <w:pPr>
        <w:spacing w:after="0" w:line="138"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offer the Company a right of first refusal that affords the Company the option to purchase the leased premises under certain terms in the event the landlord attempts to sell the leased premises to a third party. Rent expense was $144 and $133 for the three months ended June 30, 2020, and 2019, respectively, and $288 and $264 for the six months ended June 30, 2020, and 2019, respectively. The Company also subleases properties to third parties, ranging from 3-year to 11-year terms with various renewal options. Rental income from the subleased property was approximately $89 and $97</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for the three months ended June 30, 2020 and 2019, respectively, and $182 and $186 for the six months ended June 30, 2020 and 2019, respectively.</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commitments under all non-cancelable operating leases for each of the next five years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are as follows: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34" w:lineRule="exact"/>
        <w:rPr>
          <w:sz w:val="20"/>
          <w:szCs w:val="20"/>
          <w:color w:val="auto"/>
        </w:rPr>
      </w:pPr>
    </w:p>
    <w:p>
      <w:pPr>
        <w:ind w:left="60" w:right="2019" w:hanging="10"/>
        <w:spacing w:after="0" w:line="464" w:lineRule="auto"/>
        <w:tabs>
          <w:tab w:leader="none" w:pos="33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left="60" w:right="99" w:firstLine="648"/>
        <w:spacing w:after="0" w:line="288" w:lineRule="auto"/>
        <w:rPr>
          <w:sz w:val="20"/>
          <w:szCs w:val="20"/>
          <w:color w:val="auto"/>
        </w:rPr>
      </w:pPr>
      <w:r>
        <w:rPr>
          <w:rFonts w:ascii="Arial" w:cs="Arial" w:eastAsia="Arial" w:hAnsi="Arial"/>
          <w:sz w:val="16"/>
          <w:szCs w:val="16"/>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and is the only one outstanding during 2020. The fair values of the interest rate swap agreement was an asset included in prepaid expenses and other current assets and was $3 at December 31, 2019. Included in the statements of operations for the six months ended June 30, 2020 and 2019 were losses of $15 and $46, respectively, which are the result of the changes in the fair values of the interest rate swap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 xml:space="preserve">The Company accounts for its investments and derivative instruments in accordance with ASC 820-10,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which among other things provides the framework for measuring fair value. That framework provides a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hierarchy that prioritizes the inputs to valuation techniques used to measure fair value. The hierarchy gives the highest priority to unadjusted quoted prices in active markets for identical assets or liabilities (Level I</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 xml:space="preserve">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30"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250" w:lineRule="auto"/>
        <w:tabs>
          <w:tab w:leader="none" w:pos="1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5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30"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 of the interest rate swap was an asset valued at $3 at December 31, 2019.</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43"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$123,000 compared to the book value of $107,236 as of June 30, 2020, and a fair value of approximately $119,000 compared to the book value of $105,042 as of December 31, 2019. This is a Level III valuation technique.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EARNINGS PER SHARE – AS RESTATED</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0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6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7"/>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(as restated)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(in 000's)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w:t>
            </w:r>
          </w:p>
        </w:tc>
      </w:tr>
      <w:tr>
        <w:trPr>
          <w:trHeight w:val="209"/>
        </w:trPr>
        <w:tc>
          <w:tcPr>
            <w:tcW w:w="292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2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Basic weighted-average common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24,201,220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24,369,890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24,260,274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24,442,921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grants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15,046</w:t>
            </w:r>
          </w:p>
        </w:tc>
      </w:tr>
      <w:tr>
        <w:trPr>
          <w:trHeight w:val="182"/>
        </w:trPr>
        <w:tc>
          <w:tcPr>
            <w:tcW w:w="2920" w:type="dxa"/>
            <w:vAlign w:val="bottom"/>
          </w:tcPr>
          <w:p>
            <w:pPr>
              <w:ind w:left="100"/>
              <w:spacing w:after="0" w:line="182" w:lineRule="exact"/>
              <w:rPr>
                <w:sz w:val="20"/>
                <w:szCs w:val="20"/>
                <w:color w:val="auto"/>
              </w:rPr>
            </w:pPr>
            <w:r>
              <w:rPr>
                <w:rFonts w:ascii="Arial" w:cs="Arial" w:eastAsia="Arial" w:hAnsi="Arial"/>
                <w:sz w:val="18"/>
                <w:szCs w:val="18"/>
                <w:color w:val="auto"/>
              </w:rPr>
              <w:t>Diluted weighted-average common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292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24,201,823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24,369,890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24,260,938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24,457,967</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Legacy Housing Corporation</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202"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The diluted earnings per share calculation excludes 79,459 and 164,487 potential shares for the three months ended June 30, 2020 and 2019, respectively, and excludes 90,783 and 149,441 potential shares for the six months ended June 30, 2020 and 2019, respectively because the effect of including theses potential shares would be antidilutive.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Bell Mobile Homes, a retailer owned by one of the Company’s significant owners, purchases manufactured homes from the Company. Accounts receivable balances due from Bell Mobile Homes were $208 and $549 as of June 30, 2020 and December 31, 2019, respectively. Accounts payable balances due to Bell Mobile Homes for maintenance and related services were $0 and $74 as of June 30, 2020 and December 31, 2019, respectively. Home sales to Bell Mobile Homes were $533 and $1,432 for the three months ended June 30, 2020 and 2019, respectively and $1,416 and $2,290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10-Q/A.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10-Q/A and in our Registration Statement on Form S-1, particularly under the heading “Risk Factors.”</w:t>
      </w:r>
    </w:p>
    <w:p>
      <w:pPr>
        <w:spacing w:after="0" w:line="191" w:lineRule="exact"/>
        <w:rPr>
          <w:sz w:val="20"/>
          <w:szCs w:val="20"/>
          <w:color w:val="auto"/>
        </w:rPr>
      </w:pPr>
    </w:p>
    <w:p>
      <w:pPr>
        <w:jc w:val="both"/>
        <w:ind w:left="60" w:right="219" w:firstLine="713"/>
        <w:spacing w:after="0" w:line="279" w:lineRule="auto"/>
        <w:rPr>
          <w:sz w:val="20"/>
          <w:szCs w:val="20"/>
          <w:color w:val="auto"/>
        </w:rPr>
      </w:pPr>
      <w:r>
        <w:rPr>
          <w:rFonts w:ascii="Arial" w:cs="Arial" w:eastAsia="Arial" w:hAnsi="Arial"/>
          <w:sz w:val="17"/>
          <w:szCs w:val="17"/>
          <w:i w:val="1"/>
          <w:iCs w:val="1"/>
          <w:color w:val="auto"/>
        </w:rPr>
        <w:t>The following information has been adjusted to reflect the restatement of our condensed financial statements as described in the “Explanatory Note” at the beginning of this amended Quarterly Report on Form 10-Q/A and in Note 1, “Restatement of Previously Issued Condensed Consolidated Financial Statements”, in Notes to the Condensed Financial Statements (Unaudited) of this amended Quarterly Report on Form 10-Q/A.</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Legacy Housing Corporation builds, sells and finances manufactured homes and “tiny houses” that are distributed through a network of independent retailers and company-owned stores and are sold directly to manufactured housing communities. We are the fourth largest producer of manufactured homes in the United States as ranked by number of homes manufactured based on information available from the Manufactured Housing Institute and IBTS for the fourth quarter of 2019.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7"/>
          <w:szCs w:val="17"/>
          <w:color w:val="auto"/>
        </w:rPr>
        <w:t>/</w:t>
      </w:r>
      <w:r>
        <w:rPr>
          <w:rFonts w:ascii="Arial" w:cs="Arial" w:eastAsia="Arial" w:hAnsi="Arial"/>
          <w:sz w:val="23"/>
          <w:szCs w:val="23"/>
          <w:color w:val="auto"/>
          <w:vertAlign w:val="subscript"/>
        </w:rPr>
        <w:t>2</w:t>
      </w:r>
      <w:r>
        <w:rPr>
          <w:rFonts w:ascii="Arial" w:cs="Arial" w:eastAsia="Arial" w:hAnsi="Arial"/>
          <w:sz w:val="17"/>
          <w:szCs w:val="17"/>
          <w:color w:val="auto"/>
        </w:rPr>
        <w:t xml:space="preserve"> bathrooms. Our homes range in price, at retail, from approximately $22,000 to $140,000. For the three and six months ended June 30, 2020, we sold 1,056 and 1,905 home sections, respectively (which are entire homes or single floors that are combined to create complete homes). For the three and six months ended June 30, 2019, we sold 1,028 and 1,946 home sections, respectively.</w:t>
      </w:r>
    </w:p>
    <w:p>
      <w:pPr>
        <w:spacing w:after="0" w:line="15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24" w:lineRule="exact"/>
        <w:rPr>
          <w:sz w:val="20"/>
          <w:szCs w:val="20"/>
          <w:color w:val="auto"/>
        </w:rPr>
      </w:pPr>
    </w:p>
    <w:p>
      <w:pPr>
        <w:ind w:left="60" w:right="119" w:firstLine="713"/>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95"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84 independent retail locations, 13 company-owned retail locations and through direct sales to owners of manufactured home communities. Our 13 company-owned retail locations, including 11 Heritage Housing stores and two Tiny House Outlet stores exclusively sell our homes. For the six months ended June 30, 2020, approximately 46% of our manufactured homes were sold in Texas, followed by 9% in Michigan, 8% in Georgia, 7% in North Carolina, and 6% in Kentucky. For the six months ended June 30, 2019, approximately 52% of our manufactured homes were sold in Texas, followed by 8% in Georgia, 7% in Florida, 6% in Kansas and 5% in South Carolina. We plan to deepen our distribution channel by using cash from operations and borrowings from our lines of credit to expand our company-owned retail locations in new and existing markets.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43" w:lineRule="exact"/>
        <w:rPr>
          <w:sz w:val="20"/>
          <w:szCs w:val="20"/>
          <w:color w:val="auto"/>
        </w:rPr>
      </w:pPr>
    </w:p>
    <w:p>
      <w:pPr>
        <w:ind w:left="1020" w:right="119" w:hanging="322"/>
        <w:spacing w:after="0" w:line="273"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will reassess those plans once we have a clearer understanding of the COVID-19 pandemic’s impact on the retail business.</w:t>
      </w:r>
    </w:p>
    <w:p>
      <w:pPr>
        <w:spacing w:after="0" w:line="137" w:lineRule="exact"/>
        <w:rPr>
          <w:rFonts w:ascii="Arial" w:cs="Arial" w:eastAsia="Arial" w:hAnsi="Arial"/>
          <w:sz w:val="17"/>
          <w:szCs w:val="17"/>
          <w:color w:val="auto"/>
        </w:rPr>
      </w:pPr>
    </w:p>
    <w:p>
      <w:pPr>
        <w:ind w:left="1020" w:right="99" w:hanging="322"/>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purchased several properties in our market area for the purpose of developing manufactured housing communities and subdivisions. As of June 30, 2020, these properties include the following:</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40" w:type="dxa"/>
            <w:vAlign w:val="bottom"/>
            <w:gridSpan w:val="2"/>
          </w:tcPr>
          <w:p>
            <w:pPr>
              <w:ind w:left="2220"/>
              <w:spacing w:after="0"/>
              <w:rPr>
                <w:sz w:val="20"/>
                <w:szCs w:val="20"/>
                <w:color w:val="auto"/>
              </w:rPr>
            </w:pPr>
            <w:r>
              <w:rPr>
                <w:rFonts w:ascii="Arial" w:cs="Arial" w:eastAsia="Arial" w:hAnsi="Arial"/>
                <w:sz w:val="18"/>
                <w:szCs w:val="18"/>
                <w:color w:val="auto"/>
              </w:rPr>
              <w:t>Location</w:t>
            </w:r>
          </w:p>
        </w:tc>
        <w:tc>
          <w:tcPr>
            <w:tcW w:w="1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60" w:type="dxa"/>
            <w:vAlign w:val="bottom"/>
            <w:gridSpan w:val="2"/>
          </w:tcPr>
          <w:p>
            <w:pPr>
              <w:spacing w:after="0"/>
              <w:rPr>
                <w:sz w:val="20"/>
                <w:szCs w:val="20"/>
                <w:color w:val="auto"/>
              </w:rPr>
            </w:pPr>
            <w:r>
              <w:rPr>
                <w:rFonts w:ascii="Arial" w:cs="Arial" w:eastAsia="Arial" w:hAnsi="Arial"/>
                <w:sz w:val="18"/>
                <w:szCs w:val="18"/>
                <w:color w:val="auto"/>
                <w:w w:val="95"/>
              </w:rPr>
              <w:t>Date of Acquisition</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Cost</w:t>
            </w:r>
          </w:p>
        </w:tc>
      </w:tr>
      <w:tr>
        <w:trPr>
          <w:trHeight w:val="210"/>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4,400,000</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140" w:type="dxa"/>
            <w:vAlign w:val="bottom"/>
            <w:gridSpan w:val="2"/>
          </w:tcPr>
          <w:p>
            <w:pPr>
              <w:spacing w:after="0"/>
              <w:rPr>
                <w:sz w:val="20"/>
                <w:szCs w:val="20"/>
                <w:color w:val="auto"/>
              </w:rPr>
            </w:pPr>
            <w:r>
              <w:rPr>
                <w:rFonts w:ascii="Arial" w:cs="Arial" w:eastAsia="Arial" w:hAnsi="Arial"/>
                <w:sz w:val="18"/>
                <w:szCs w:val="18"/>
                <w:color w:val="auto"/>
              </w:rPr>
              <w:t>100 Acres</w:t>
            </w:r>
          </w:p>
        </w:tc>
        <w:tc>
          <w:tcPr>
            <w:tcW w:w="146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1,300,000</w:t>
            </w: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 Acres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Various 2018-2019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2,431,000</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140" w:type="dxa"/>
            <w:vAlign w:val="bottom"/>
            <w:gridSpan w:val="2"/>
          </w:tcPr>
          <w:p>
            <w:pPr>
              <w:spacing w:after="0"/>
              <w:rPr>
                <w:sz w:val="20"/>
                <w:szCs w:val="20"/>
                <w:color w:val="auto"/>
              </w:rPr>
            </w:pPr>
            <w:r>
              <w:rPr>
                <w:rFonts w:ascii="Arial" w:cs="Arial" w:eastAsia="Arial" w:hAnsi="Arial"/>
                <w:sz w:val="18"/>
                <w:szCs w:val="18"/>
                <w:color w:val="auto"/>
              </w:rPr>
              <w:t>91.5 Acres</w:t>
            </w:r>
          </w:p>
        </w:tc>
        <w:tc>
          <w:tcPr>
            <w:tcW w:w="146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445,000</w:t>
            </w: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Acres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422,000</w:t>
            </w:r>
          </w:p>
        </w:tc>
      </w:tr>
      <w:tr>
        <w:trPr>
          <w:trHeight w:val="224"/>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8,998,000</w:t>
            </w:r>
          </w:p>
        </w:tc>
      </w:tr>
    </w:tbl>
    <w:p>
      <w:pPr>
        <w:spacing w:after="0" w:line="187" w:lineRule="exact"/>
        <w:rPr>
          <w:sz w:val="20"/>
          <w:szCs w:val="20"/>
          <w:color w:val="auto"/>
        </w:rPr>
      </w:pPr>
    </w:p>
    <w:p>
      <w:pPr>
        <w:ind w:left="1020" w:right="79" w:hanging="322"/>
        <w:spacing w:after="0" w:line="275"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49" w:lineRule="exact"/>
        <w:rPr>
          <w:rFonts w:ascii="Arial" w:cs="Arial" w:eastAsia="Arial" w:hAnsi="Arial"/>
          <w:sz w:val="17"/>
          <w:szCs w:val="17"/>
          <w:color w:val="auto"/>
        </w:rPr>
      </w:pPr>
    </w:p>
    <w:p>
      <w:pPr>
        <w:ind w:left="1020" w:right="559" w:hanging="322"/>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20" w:right="79"/>
        <w:spacing w:after="0" w:line="271" w:lineRule="auto"/>
        <w:rPr>
          <w:sz w:val="20"/>
          <w:szCs w:val="20"/>
          <w:color w:val="auto"/>
        </w:rPr>
      </w:pPr>
      <w:r>
        <w:rPr>
          <w:rFonts w:ascii="Arial" w:cs="Arial" w:eastAsia="Arial" w:hAnsi="Arial"/>
          <w:sz w:val="17"/>
          <w:szCs w:val="17"/>
          <w:color w:val="auto"/>
        </w:rPr>
        <w:t>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38" w:lineRule="exact"/>
        <w:rPr>
          <w:sz w:val="20"/>
          <w:szCs w:val="20"/>
          <w:color w:val="auto"/>
        </w:rPr>
      </w:pPr>
    </w:p>
    <w:p>
      <w:pPr>
        <w:ind w:left="1020" w:right="459" w:hanging="322"/>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80" w:right="379" w:hanging="334"/>
        <w:spacing w:after="0" w:line="289" w:lineRule="auto"/>
        <w:tabs>
          <w:tab w:leader="none" w:pos="168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80" w:right="139" w:hanging="334"/>
        <w:spacing w:after="0" w:line="254" w:lineRule="auto"/>
        <w:tabs>
          <w:tab w:leader="none" w:pos="16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jc w:val="both"/>
        <w:ind w:left="1680" w:right="239" w:hanging="334"/>
        <w:spacing w:after="0" w:line="275" w:lineRule="auto"/>
        <w:tabs>
          <w:tab w:leader="none" w:pos="168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80" w:right="599" w:hanging="334"/>
        <w:spacing w:after="0" w:line="323" w:lineRule="auto"/>
        <w:tabs>
          <w:tab w:leader="none" w:pos="1680" w:val="left"/>
        </w:tabs>
        <w:numPr>
          <w:ilvl w:val="0"/>
          <w:numId w:val="10"/>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80" w:right="579" w:hanging="334"/>
        <w:spacing w:after="0" w:line="259" w:lineRule="auto"/>
        <w:tabs>
          <w:tab w:leader="none" w:pos="16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80" w:right="539" w:hanging="334"/>
        <w:spacing w:after="0" w:line="254" w:lineRule="auto"/>
        <w:tabs>
          <w:tab w:leader="none" w:pos="16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1020" w:right="179"/>
        <w:spacing w:after="0" w:line="257" w:lineRule="auto"/>
        <w:rPr>
          <w:sz w:val="20"/>
          <w:szCs w:val="20"/>
          <w:color w:val="auto"/>
        </w:rPr>
      </w:pPr>
      <w:r>
        <w:rPr>
          <w:rFonts w:ascii="Arial" w:cs="Arial" w:eastAsia="Arial" w:hAnsi="Arial"/>
          <w:sz w:val="18"/>
          <w:szCs w:val="18"/>
          <w:color w:val="auto"/>
        </w:rPr>
        <w:t>Management has taken a number of actions in recent months, including stimulating demand by offering discounts and modified purchase terms, reducing production labor, suspending overtime, and reducing rates of pay for non-production workers. Additionally, the Company negotiated a new credit agreement with its primary bank that expanded and extended our credit facility. The new credit agreement closed on March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June 30, 2020 and 2019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14"/>
              <w:spacing w:after="0" w:line="142" w:lineRule="exact"/>
              <w:rPr>
                <w:sz w:val="20"/>
                <w:szCs w:val="20"/>
                <w:color w:val="auto"/>
              </w:rPr>
            </w:pPr>
            <w:r>
              <w:rPr>
                <w:rFonts w:ascii="Arial" w:cs="Arial" w:eastAsia="Arial" w:hAnsi="Arial"/>
                <w:sz w:val="14"/>
                <w:szCs w:val="14"/>
                <w:b w:val="1"/>
                <w:bCs w:val="1"/>
                <w:color w:val="auto"/>
                <w:w w:val="86"/>
              </w:rPr>
              <w:t>(as restated)</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Consumer and MHP loans interest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46,006</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Cost of product sales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Dealer incentive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Miscellaneous,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settlement,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decreased $0.6 million, or 1.5%, during the three months ended June 30, 2020 as compared to the same period in 2019. This change was driven by an increase in commercial sales offset by a decline in consignment sales, direct sales, retail store sales and other product sales. Commercial sales increased $3.5 million to $21.1 million in 2020 from $17.6 million in 2019. This increase was offset by a net $1.5 million decrease in consignment sales to $9.1 million in 2020 from $10.6 million in 2019, a $1.7 million decrease in direct sales to $3.9 million in 2020 from $5.5 million in 2019 and a $0.6 million decrease in our company-owned retail stores sales to $4.3 million in 2020 from $4.9 million in 2019. Other product sales decreased $0.2 million to $0.8 million in 2020 from $1.0 million in 2019 and is primarily due to a decrease in parts sales and miscellaneous sales income.</w:t>
      </w:r>
    </w:p>
    <w:p>
      <w:pPr>
        <w:spacing w:after="0" w:line="140"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2020 and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39,179</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For the three months ended June 30, 2020, our net revenue per product sold decreased slightly because of changes in our product sales mix. We had declines in direct sales, consignment sales and company-owned retail stores partially offset by increases in sales to manufactured home communities. Sales through our company-owned retail stores and sales to manufactured home communities have higher margins than our direct sales and consignment sales.</w:t>
      </w:r>
    </w:p>
    <w:p>
      <w:pPr>
        <w:spacing w:after="0" w:line="117"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Consumer and MHP loans interest income grew $1.0 million, or 18.7%, during the three months ended June 30, 2020 as compared to the same period in 2019 and is related to our increase in outstanding MHP Note portfolio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consumer loan portfolio. Between June 30, 2019 and June 30, 2020 our MHP Note portfolio increased by $48.1 million and the consumer loan portfolio increased by $6.2 million.</w:t>
      </w:r>
    </w:p>
    <w:p>
      <w:pPr>
        <w:spacing w:after="0" w:line="130"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Other revenue primarily consists of service fees and consignment fees. Other revenue decreased $0.1 million or 13.9% during the three months ended June 30, 2020 as compared to the same period in 2019 and is primarily due to a $0.2 million decrease in other income offset by a $0.1 million increase in service fees revenue.</w:t>
      </w:r>
    </w:p>
    <w:p>
      <w:pPr>
        <w:spacing w:after="0" w:line="1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cost of product sales increased $0.8 million, or 2.9%, during the three months ended June 30, 2020 as compared to the same period in 2019. The increase in costs is primarily related to the increasing number of home units sold and increases in the cost of materials and labor in 2020.</w:t>
      </w:r>
    </w:p>
    <w:p>
      <w:pPr>
        <w:spacing w:after="0" w:line="157" w:lineRule="exact"/>
        <w:rPr>
          <w:sz w:val="20"/>
          <w:szCs w:val="20"/>
          <w:color w:val="auto"/>
        </w:rPr>
      </w:pPr>
    </w:p>
    <w:p>
      <w:pPr>
        <w:ind w:left="60" w:right="159" w:firstLine="713"/>
        <w:spacing w:after="0" w:line="272" w:lineRule="auto"/>
        <w:rPr>
          <w:sz w:val="20"/>
          <w:szCs w:val="20"/>
          <w:color w:val="auto"/>
        </w:rPr>
      </w:pPr>
      <w:r>
        <w:rPr>
          <w:rFonts w:ascii="Arial" w:cs="Arial" w:eastAsia="Arial" w:hAnsi="Arial"/>
          <w:sz w:val="17"/>
          <w:szCs w:val="17"/>
          <w:color w:val="auto"/>
        </w:rPr>
        <w:t>Selling, general and administrative expenses decreased $2.1 million, or 33.9%, during the three months ended June 30, 2020 as compared to the same period in 2019. This decrease was primarily due to $0.7 million of retail store expenses recorded as SG&amp;A in the second quarter of 2019 that were subsequently recorded in cost of sales later in 2019, a $0.9 million decrease in warranty costs, a $0.3 million decrease in salaries and incentive costs, a $0.3 decrease in loan loss reserve and a $0.1 million decrease in advertising and promotions. These decreases were partially offset by $0.2 million increase in delivery and other miscellaneous costs. In addition, dealer incentive expense increased $0.1 million in 2020 as compared to 2019.</w:t>
      </w:r>
    </w:p>
    <w:p>
      <w:pPr>
        <w:spacing w:after="0" w:line="137" w:lineRule="exact"/>
        <w:rPr>
          <w:sz w:val="20"/>
          <w:szCs w:val="20"/>
          <w:color w:val="auto"/>
        </w:rPr>
      </w:pPr>
    </w:p>
    <w:p>
      <w:pPr>
        <w:ind w:left="60" w:right="299" w:firstLine="713"/>
        <w:spacing w:after="0" w:line="263" w:lineRule="auto"/>
        <w:rPr>
          <w:sz w:val="20"/>
          <w:szCs w:val="20"/>
          <w:color w:val="auto"/>
        </w:rPr>
      </w:pPr>
      <w:r>
        <w:rPr>
          <w:rFonts w:ascii="Arial" w:cs="Arial" w:eastAsia="Arial" w:hAnsi="Arial"/>
          <w:sz w:val="18"/>
          <w:szCs w:val="18"/>
          <w:color w:val="auto"/>
        </w:rPr>
        <w:t>Other income (expense), net increased $0.1 million, or 84.0%, during the three months ended June 30, 2020 as compared to the same period in 2019. This increase was primarily due to an increase of $0.2 million in non-operating interest income offset by a $0.1 million increase in interest expense.</w:t>
      </w:r>
    </w:p>
    <w:p>
      <w:pPr>
        <w:spacing w:after="0" w:line="143"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Income tax expense during the three months ended June 30, 2020 was $3.0 million compared to $2.8 million for the same period in 2019. The effective tax rate for the three months ended June 30, 2020 was 23.1% and differs from the federal statutory rate of 21% primarily due to state income taxes. The effective tax rate for the three months ended June 30, 2019 was 24.4% and differs from the federal statutory rate of 21% primarily due to state income taxes.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Six Months ended June 30, 2020 and 2019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(as restated)</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Consumer and MHP loans interest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revenue</w:t>
            </w:r>
          </w:p>
        </w:tc>
        <w:tc>
          <w:tcPr>
            <w:tcW w:w="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84,280</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83,715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Cost of product sales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Dealer incentive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Miscellaneous,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settlement,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19,063</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020" w:type="dxa"/>
            <w:vAlign w:val="bottom"/>
            <w:gridSpan w:val="2"/>
          </w:tcPr>
          <w:p>
            <w:pPr>
              <w:jc w:val="right"/>
              <w:ind w:right="87"/>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Product sales decreased $0.9 million, or 1.3%, during the six months ended June 30, 2020 as compared to the same period in 2019. This change was driven by an increase in commercial sales offset by a decline in consignment sales, direct sales, retail store sales and other product sales. Commercial sales increased $6.7 million to $36.8 million in 2020 from $30.1 million in 2019. This increase was offset by a net $2.7 million decrease in consignment sales to $17.9 million in 2020 from $20.7 million in 2019, a $3.9 million decrease in direct sales to $6.1 million in 2020 from $10.0 million in 2019 and a $0.7 million decrease in our company-owned retail stores sales to $7.5 million in 2020 from $8.3 million in 2019. Other product sales decreased $.03 million to $2.0 million in 2020 from $2.3 million in 2019 and is primarily due to a decrease in parts sales and miscellaneous sales income.</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revenue attributable to our factory-built housing consisted of the following during the six months of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400"/>
              <w:spacing w:after="0" w:line="149" w:lineRule="exact"/>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70,375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71,316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For the six months ended June 30, 2020, our net revenue per product sold decreased slightly because of changes in our product sales mix. We had declines in direct sales, consignment sales and company-owned retail stores partially offset by increases in sales to manufactured home communities. Sales through our company-owned retail stores and sales to manufactured home communities have higher margins than our direct sales and consignment sales.</w:t>
      </w:r>
    </w:p>
    <w:p>
      <w:pPr>
        <w:spacing w:after="0" w:line="117"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Consumer and MHP loans interest income grew $1.8 million, or 17.4%, during the six months ended June 30, 2020 as compared to the same period in 2019 and is related to our increase in outstanding MHP Note portfolio and consumer loan portfolio. Between June 30, 2020 and June 30, 2019 our MHP Note portfolio increased by $48.1 million and the consumer loan portfolio increased by $6.2 million.</w:t>
      </w:r>
    </w:p>
    <w:p>
      <w:pPr>
        <w:spacing w:after="0" w:line="14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Other revenue primarily consists of service fees and consignment fees. Other revenue decreased $0.3 million or 19.5% during the six months ended June 30, 2020 as compared to the same period in 2019 due to a $0.2 million decrease in other income and a $0.1 decrease in consignment fees.</w:t>
      </w:r>
    </w:p>
    <w:p>
      <w:pPr>
        <w:spacing w:after="0" w:line="15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cost of product sales increased $0.8 million, or 1.6%, during the six months ended June 30, 2020 as compared to the same period in 2019. The increase in costs is primarily related to the increasing number of home units sold and increases in the cost of materials and labor in 2020.</w:t>
      </w:r>
    </w:p>
    <w:p>
      <w:pPr>
        <w:spacing w:after="0" w:line="143" w:lineRule="exact"/>
        <w:rPr>
          <w:sz w:val="20"/>
          <w:szCs w:val="20"/>
          <w:color w:val="auto"/>
        </w:rPr>
      </w:pPr>
    </w:p>
    <w:p>
      <w:pPr>
        <w:ind w:left="60" w:right="119" w:firstLine="713"/>
        <w:spacing w:after="0" w:line="291" w:lineRule="auto"/>
        <w:rPr>
          <w:sz w:val="20"/>
          <w:szCs w:val="20"/>
          <w:color w:val="auto"/>
        </w:rPr>
      </w:pPr>
      <w:r>
        <w:rPr>
          <w:rFonts w:ascii="Arial" w:cs="Arial" w:eastAsia="Arial" w:hAnsi="Arial"/>
          <w:sz w:val="16"/>
          <w:szCs w:val="16"/>
          <w:color w:val="auto"/>
        </w:rPr>
        <w:t>Selling, general and administrative expenses decreased $3.0 million, or 23.4%, during the six months ended June 30, 2020 as compared to the same period in 2019. This decrease was primarily due to $1.2 million of retail store expenses recorded as SG&amp;A in the first quarter of 2019 that were subsequently recorded in cost of sales later in 2019, a $0.7 million decrease in warranty costs, a $0.4 million decrease in advertising and promotions, a $0.3 decrease in loan loss reserve, a $0.2 million decrease in consulting and professional fees and a $0.2 million expense in the first quarter of 2019 for settlement of a lawsuit. These decreases were partially offset by $0.1 million increase in salaries and incentive costs. In addition, dealer incentive expense decreased $0.1 million, or 15.4% in 2020 as compared to 2019.</w:t>
      </w:r>
    </w:p>
    <w:p>
      <w:pPr>
        <w:spacing w:after="0" w:line="126" w:lineRule="exact"/>
        <w:rPr>
          <w:sz w:val="20"/>
          <w:szCs w:val="20"/>
          <w:color w:val="auto"/>
        </w:rPr>
      </w:pPr>
    </w:p>
    <w:p>
      <w:pPr>
        <w:ind w:left="60" w:right="139" w:firstLine="713"/>
        <w:spacing w:after="0" w:line="259" w:lineRule="auto"/>
        <w:rPr>
          <w:sz w:val="20"/>
          <w:szCs w:val="20"/>
          <w:color w:val="auto"/>
        </w:rPr>
      </w:pPr>
      <w:r>
        <w:rPr>
          <w:rFonts w:ascii="Arial" w:cs="Arial" w:eastAsia="Arial" w:hAnsi="Arial"/>
          <w:sz w:val="18"/>
          <w:szCs w:val="18"/>
          <w:color w:val="auto"/>
        </w:rPr>
        <w:t>Other income (expense), net increased $1.2 million, or 535.4%, during the six months ended June 30, 2020 as compared to the same period in 2019. This increase was primarily due to a $1.1 million gain due to the settlement of a lawsuit with a previous vendor for the Company and an increase of $0.4 million in non-operating interest income offset by a $0.2 million increase in interest expense.</w:t>
      </w:r>
    </w:p>
    <w:p>
      <w:pPr>
        <w:spacing w:after="0" w:line="160"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Income tax expense during the six months ended June 30, 2020 was $5.6 million compared to $4.8 million for the same period in 2019. The effective tax rate for the six months ended June 30, 2020 was 22.7% and differs from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federal statutory rate of 21% primarily due to state income taxes. The effective tax rate for the six months ended June 30, 2019 was 23.2% and differs from the federal statutory rate of 21% primarily due to state income taxes.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June 30, 2020, and availability on our lines of credit will be sufficient to fund our operations and provide for growth for the next 12 to 18 months and into the foreseeable future. As of June 30, 2020, we had approximately $1.0 million in cash and cash equivalents, compared to $1.7 million as of December 31, 2019. We negotiated a new credit agreement with our primary bank that expanded and extended our credit facility. The new credit agreement closed on March 30, 2020.</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49"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Six Months Ended</w:t>
      </w:r>
    </w:p>
    <w:p>
      <w:pPr>
        <w:ind w:left="7280"/>
        <w:spacing w:after="0" w:line="226" w:lineRule="auto"/>
        <w:rPr>
          <w:sz w:val="20"/>
          <w:szCs w:val="20"/>
          <w:color w:val="auto"/>
        </w:rPr>
      </w:pPr>
      <w:r>
        <w:rPr>
          <w:rFonts w:ascii="Arial" w:cs="Arial" w:eastAsia="Arial" w:hAnsi="Arial"/>
          <w:sz w:val="14"/>
          <w:szCs w:val="14"/>
          <w:b w:val="1"/>
          <w:bCs w:val="1"/>
          <w:color w:val="auto"/>
        </w:rPr>
        <w:t>June 30,</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(as restated)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3,341</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June 30, 2020 to June 30, 2019</w:t>
      </w:r>
    </w:p>
    <w:p>
      <w:pPr>
        <w:spacing w:after="0" w:line="20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provided by operating activities decreased $8.6 million during the six months ended June 30, 2020, compared to the comparable period in 2019, primarily as a result of increased volume of loan originations supporting sales to MHPs net of principal collections, decreased payables and increased accounts receivable. The decrease in operating cash flows described above was partially offset by cash generated by operating income before non-cash adjustments, reduced growth in consumer loan originations net of principal collections, increased accrued expenses and reduced prepaid expenses.</w:t>
      </w:r>
    </w:p>
    <w:p>
      <w:pPr>
        <w:spacing w:after="0" w:line="15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Net cash used in investing activities of $0.4 million in 2020 was primarily attributable to $0.8 million used for the acquisition of property plant and equipment, $0.2 million used to purchase consumer loans and $0.3 million used for loans to third parties for the development of manufactured housing parks. These were offset by collections of $0.1 million of loans we made to third parties for the development of manufactured housing parks and collections of $0.7 million from our purchased consumer loans.</w:t>
      </w:r>
    </w:p>
    <w:p>
      <w:pPr>
        <w:spacing w:after="0" w:line="147"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Net cash provided by financing activities of $5.0 million in 2020 was primarily attributable to net proceeds of $6.4 million on our lines of credit offset by $1.4 million for purchase of treasury stock.</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At December 31, 2019, we had a revolving line of credit (“Revolver 1”) with Capital One,</w:t>
      </w:r>
      <w:r>
        <w:rPr>
          <w:rFonts w:ascii="Arial" w:cs="Arial" w:eastAsia="Arial" w:hAnsi="Arial"/>
          <w:sz w:val="17"/>
          <w:szCs w:val="17"/>
          <w:b w:val="1"/>
          <w:bCs w:val="1"/>
          <w:color w:val="auto"/>
        </w:rPr>
        <w:t xml:space="preserve"> </w:t>
      </w:r>
      <w:r>
        <w:rPr>
          <w:rFonts w:ascii="Arial" w:cs="Arial" w:eastAsia="Arial" w:hAnsi="Arial"/>
          <w:sz w:val="17"/>
          <w:szCs w:val="17"/>
          <w:color w:val="auto"/>
        </w:rPr>
        <w:t>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and for the year ended December 31, 2019, Revolver 1 accrued interest at one-month LIBOR plus 2.40%. The interest rate in effect as of December 31, 2019 was 4.09%. Amounts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available under Revolver 1 were subject to a formula based on eligible consumer loans and MHP Notes and were secured by all accounts receivable and the consumer loans receivable and MHP Notes. The amount of available credit under Revolver 1 was $16,140,000 as of December 31, 2019.</w:t>
      </w:r>
    </w:p>
    <w:p>
      <w:pPr>
        <w:spacing w:after="0" w:line="143"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June 30, 2020 was 2.18%.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$32,465,000 as of June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2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For the six months ended June 30, 2020 and 2019, interest expense under the Capital One Revolvers was $563,000 and $139,000, respectively. The outstanding balance as of June 30, 2020 and December 31, 2019 was $37,535,000 and $28,860,000, respectively. We were in compliance with all financial covenants as of June 30, 2020, including that we maintain a tangible net worth of at least $120,000,000 and that we maintain a ratio of debt to EBITDA of 4-to-1, or less.</w:t>
      </w:r>
    </w:p>
    <w:p>
      <w:pPr>
        <w:spacing w:after="0" w:line="15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was 4.17% and 4.19%,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and $11,262,000 at March 31, 2020 and December 31, 2019, respectively. For the six months ended June 30, 2020 and 2019, interest expense was $17,000 and $86,000, respectively. The outstanding balance as of March 31, 2020 and December 31, 2019 was $2,001,000. We were in compliance with all financial covenants as of March 31, 2020, including that we maintain a tangible net worth of at least $80,000,000. In April 2020, this note was paid in full and the facility was terminated.</w:t>
      </w:r>
    </w:p>
    <w:p>
      <w:pPr>
        <w:spacing w:after="0" w:line="127" w:lineRule="exact"/>
        <w:rPr>
          <w:sz w:val="20"/>
          <w:szCs w:val="20"/>
          <w:color w:val="auto"/>
        </w:rPr>
      </w:pPr>
    </w:p>
    <w:p>
      <w:pPr>
        <w:ind w:left="60" w:right="79" w:firstLine="638"/>
        <w:spacing w:after="0" w:line="294" w:lineRule="auto"/>
        <w:tabs>
          <w:tab w:leader="none" w:pos="108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On April 10, 2020, we Company entered into a loan with Peoples Bank as the lender in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19" w:lineRule="exact"/>
        <w:rPr>
          <w:sz w:val="20"/>
          <w:szCs w:val="20"/>
          <w:color w:val="auto"/>
        </w:rPr>
      </w:pPr>
    </w:p>
    <w:p>
      <w:pPr>
        <w:ind w:left="60" w:right="99" w:firstLine="648"/>
        <w:spacing w:after="0" w:line="256" w:lineRule="auto"/>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We have a promissory note with Woodhaven Bank. The amount due under the promissory note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interest at an annual rate of 3.85% through February 2, 2017 and then at the prime interest rate plus 0.60% through maturity on April 7, 2018. The loan was subsequently renewed through April 7, 2033. The promissory note calls for an interest rate of 4.25% and monthly payments of $30,000 with a final payment due at maturity. The note is secured by certain of our real property. Interest expense was $76,000 for the six months ended June 30, 2019. In October 2019, this note was paid in full.</w:t>
      </w:r>
    </w:p>
    <w:p>
      <w:pPr>
        <w:spacing w:after="0" w:line="164" w:lineRule="exact"/>
        <w:rPr>
          <w:sz w:val="20"/>
          <w:szCs w:val="20"/>
          <w:color w:val="auto"/>
        </w:rPr>
      </w:pPr>
    </w:p>
    <w:p>
      <w:pPr>
        <w:ind w:left="60" w:right="79" w:firstLine="713"/>
        <w:spacing w:after="0" w:line="301" w:lineRule="auto"/>
        <w:rPr>
          <w:sz w:val="20"/>
          <w:szCs w:val="20"/>
          <w:color w:val="auto"/>
        </w:rPr>
      </w:pPr>
      <w:r>
        <w:rPr>
          <w:rFonts w:ascii="Arial" w:cs="Arial" w:eastAsia="Arial" w:hAnsi="Arial"/>
          <w:sz w:val="16"/>
          <w:szCs w:val="16"/>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for the six months ended June 30, 2019. In January 2019, this note was paid in full.</w:t>
      </w:r>
    </w:p>
    <w:p>
      <w:pPr>
        <w:spacing w:after="0" w:line="167" w:lineRule="exact"/>
        <w:rPr>
          <w:sz w:val="20"/>
          <w:szCs w:val="20"/>
          <w:color w:val="auto"/>
        </w:rPr>
      </w:pPr>
    </w:p>
    <w:p>
      <w:pPr>
        <w:ind w:left="60" w:right="359" w:firstLine="648"/>
        <w:spacing w:after="0" w:line="314" w:lineRule="auto"/>
        <w:rPr>
          <w:sz w:val="20"/>
          <w:szCs w:val="20"/>
          <w:color w:val="auto"/>
        </w:rPr>
      </w:pPr>
      <w:r>
        <w:rPr>
          <w:rFonts w:ascii="Arial" w:cs="Arial" w:eastAsia="Arial" w:hAnsi="Arial"/>
          <w:sz w:val="16"/>
          <w:szCs w:val="16"/>
          <w:b w:val="1"/>
          <w:bCs w:val="1"/>
          <w:color w:val="auto"/>
        </w:rPr>
        <w:t xml:space="preserve">PILOT Agreement. </w:t>
      </w:r>
      <w:r>
        <w:rPr>
          <w:rFonts w:ascii="Arial" w:cs="Arial" w:eastAsia="Arial" w:hAnsi="Arial"/>
          <w:sz w:val="16"/>
          <w:szCs w:val="16"/>
          <w:color w:val="auto"/>
        </w:rPr>
        <w:t>In December 2016, we entered into a Payment in Lieu of Taxes (“PILOT”)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offered in Georgia by local community development programs to encourage industry development. The net effect of the PILOT agreement is to provide us with incentives through the abatement of local, city and county property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June 30, 2020, we had not drawn down on this credit facility.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June 30,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r>
      <w:tr>
        <w:trPr>
          <w:trHeight w:val="290"/>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24"/>
                <w:szCs w:val="2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2021 - 2022</w:t>
            </w:r>
          </w:p>
        </w:tc>
        <w:tc>
          <w:tcPr>
            <w:tcW w:w="16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2023 - 2024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After 2024</w:t>
            </w:r>
          </w:p>
        </w:tc>
      </w:tr>
      <w:tr>
        <w:trPr>
          <w:trHeight w:val="209"/>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37,535,000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37,535,000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2,780,000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296,000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940,000</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736,000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808,000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60" w:right="99" w:firstLine="713"/>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$404,000 and $260,000 as of June 30, 2020 and December 31, 2019,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June 30,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2019. Other than recent accounting pronouncement adoptions discussed in Note 1 of our condensed financial statements, we had no significant changes in those critical accounting estimates since our last annual report.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June 30, 2020 Condensed Financial Statements, included in Part I, Item 1, Financial Statements (Unaudited), of this Quarterly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Accounting Officer, of the effectiveness of the design and operation of the Company’s disclosure controls and procedures (as defined in Rule 13a-15(e) of the Exchange Act). Based on this evaluation, the Chief Executive Officer and the Chief Accounting Officer each concluded, as of the end of the period, our disclosure controls and procedures were not effective as of June 30, 2020 due to material weaknesses in internal control over financial reporting that were disclosed in our Annual Report on Form 10-K for the fiscal year ended December 31, 2019,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31, 2020, we identified material weaknesses in our internal control over financial reporting during the preparation of our financial statements for the year ended December 31, 2019.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June 30, 2020 are summarized as follows:</w:t>
      </w:r>
    </w:p>
    <w:p>
      <w:pPr>
        <w:spacing w:after="0" w:line="185" w:lineRule="exact"/>
        <w:rPr>
          <w:sz w:val="20"/>
          <w:szCs w:val="20"/>
          <w:color w:val="auto"/>
        </w:rPr>
      </w:pPr>
    </w:p>
    <w:p>
      <w:pPr>
        <w:ind w:left="1020" w:right="259" w:hanging="322"/>
        <w:spacing w:after="0" w:line="31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determined that we did not have sufficient accounting processes and procedures in place, particularly in the areas of allowance for loan loss; finished goods inventory costing; revenue recognition; income taxes; processing of payroll, accounts payable, and treasury transactions; and accruals for period end cut-off.</w:t>
      </w:r>
    </w:p>
    <w:p>
      <w:pPr>
        <w:spacing w:after="0" w:line="108" w:lineRule="exact"/>
        <w:rPr>
          <w:rFonts w:ascii="Arial" w:cs="Arial" w:eastAsia="Arial" w:hAnsi="Arial"/>
          <w:sz w:val="16"/>
          <w:szCs w:val="16"/>
          <w:color w:val="auto"/>
        </w:rPr>
      </w:pPr>
    </w:p>
    <w:p>
      <w:pPr>
        <w:ind w:left="1020" w:right="51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determined that we did not have sufficient experienced personnel to support preparation of financial statements for compliance with U.S. GAAP and SEC.</w:t>
      </w:r>
    </w:p>
    <w:p>
      <w:pPr>
        <w:spacing w:after="0" w:line="143" w:lineRule="exact"/>
        <w:rPr>
          <w:rFonts w:ascii="Arial" w:cs="Arial" w:eastAsia="Arial" w:hAnsi="Arial"/>
          <w:sz w:val="18"/>
          <w:szCs w:val="18"/>
          <w:color w:val="auto"/>
        </w:rPr>
      </w:pPr>
    </w:p>
    <w:p>
      <w:pPr>
        <w:ind w:left="1020" w:right="279" w:hanging="322"/>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02"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2019,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first quarter of fiscal 2020 that materially affected, or are reasonably likely to materially affect, our internal control over financial reporting.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See Note 12 - Commitments and Contingencies in our June 30, 2020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31.1 *</w:t>
      </w:r>
      <w:r>
        <w:rPr>
          <w:sz w:val="20"/>
          <w:szCs w:val="20"/>
          <w:color w:val="auto"/>
        </w:rPr>
        <w:tab/>
      </w:r>
      <w:r>
        <w:rPr>
          <w:rFonts w:ascii="Arial" w:cs="Arial" w:eastAsia="Arial" w:hAnsi="Arial"/>
          <w:sz w:val="16"/>
          <w:szCs w:val="16"/>
          <w:color w:val="auto"/>
        </w:rPr>
        <w:t>-</w:t>
      </w:r>
      <w:hyperlink w:anchor="page37">
        <w:r>
          <w:rPr>
            <w:rFonts w:ascii="Arial" w:cs="Arial" w:eastAsia="Arial" w:hAnsi="Arial"/>
            <w:sz w:val="16"/>
            <w:szCs w:val="16"/>
            <w:u w:val="single" w:color="auto"/>
            <w:color w:val="0000EE"/>
          </w:rPr>
          <w:t>Rule 13a—14(a) / 15d—14(a) Certifications — Chief Executive Officer.</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31.2 *</w:t>
      </w:r>
      <w:r>
        <w:rPr>
          <w:sz w:val="20"/>
          <w:szCs w:val="20"/>
          <w:color w:val="auto"/>
        </w:rPr>
        <w:tab/>
      </w:r>
      <w:r>
        <w:rPr>
          <w:rFonts w:ascii="Arial" w:cs="Arial" w:eastAsia="Arial" w:hAnsi="Arial"/>
          <w:sz w:val="16"/>
          <w:szCs w:val="16"/>
          <w:color w:val="auto"/>
        </w:rPr>
        <w:t>-</w:t>
      </w:r>
      <w:hyperlink w:anchor="page38">
        <w:r>
          <w:rPr>
            <w:rFonts w:ascii="Arial" w:cs="Arial" w:eastAsia="Arial" w:hAnsi="Arial"/>
            <w:sz w:val="16"/>
            <w:szCs w:val="16"/>
            <w:u w:val="single" w:color="auto"/>
            <w:color w:val="0000EE"/>
          </w:rPr>
          <w:t>Rule 13a—14(a) / 15d—14(a) Certifications — Chief Accounting Officer.</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32.1 *</w:t>
      </w:r>
      <w:r>
        <w:rPr>
          <w:sz w:val="20"/>
          <w:szCs w:val="20"/>
          <w:color w:val="auto"/>
        </w:rPr>
        <w:tab/>
      </w:r>
      <w:r>
        <w:rPr>
          <w:rFonts w:ascii="Arial" w:cs="Arial" w:eastAsia="Arial" w:hAnsi="Arial"/>
          <w:sz w:val="16"/>
          <w:szCs w:val="16"/>
          <w:color w:val="auto"/>
        </w:rPr>
        <w:t>-</w:t>
      </w:r>
      <w:hyperlink w:anchor="page39">
        <w:r>
          <w:rPr>
            <w:rFonts w:ascii="Arial" w:cs="Arial" w:eastAsia="Arial" w:hAnsi="Arial"/>
            <w:sz w:val="16"/>
            <w:szCs w:val="16"/>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32.2 *</w:t>
      </w:r>
      <w:r>
        <w:rPr>
          <w:sz w:val="20"/>
          <w:szCs w:val="20"/>
          <w:color w:val="auto"/>
        </w:rPr>
        <w:tab/>
      </w:r>
      <w:r>
        <w:rPr>
          <w:rFonts w:ascii="Arial" w:cs="Arial" w:eastAsia="Arial" w:hAnsi="Arial"/>
          <w:sz w:val="16"/>
          <w:szCs w:val="16"/>
          <w:color w:val="auto"/>
        </w:rPr>
        <w:t>-</w:t>
      </w:r>
      <w:hyperlink w:anchor="page40">
        <w:r>
          <w:rPr>
            <w:rFonts w:ascii="Arial" w:cs="Arial" w:eastAsia="Arial" w:hAnsi="Arial"/>
            <w:sz w:val="16"/>
            <w:szCs w:val="16"/>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sz w:val="20"/>
          <w:szCs w:val="20"/>
          <w:color w:val="auto"/>
        </w:rPr>
      </w:pPr>
      <w:r>
        <w:rPr>
          <w:rFonts w:ascii="Arial" w:cs="Arial" w:eastAsia="Arial" w:hAnsi="Arial"/>
          <w:sz w:val="18"/>
          <w:szCs w:val="18"/>
          <w:color w:val="auto"/>
        </w:rPr>
        <w:t>EXHIBIT 101.INS *</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101.SCH *  -XBRL Taxonomy Extension Schema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101.CAL *  -XBRL Taxonomy Extension Calculation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101.DEF *  -XBRL Taxonomy Extension Definition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101.LAB * -XBRL Taxonomy Extension Label Linkbase Document.</w:t>
      </w:r>
    </w:p>
    <w:p>
      <w:pPr>
        <w:spacing w:after="0" w:line="225" w:lineRule="exact"/>
        <w:rPr>
          <w:sz w:val="20"/>
          <w:szCs w:val="20"/>
          <w:color w:val="auto"/>
        </w:rPr>
      </w:pPr>
    </w:p>
    <w:p>
      <w:pPr>
        <w:ind w:left="60"/>
        <w:spacing w:after="0"/>
        <w:tabs>
          <w:tab w:leader="none" w:pos="1760" w:val="left"/>
        </w:tabs>
        <w:rPr>
          <w:sz w:val="20"/>
          <w:szCs w:val="20"/>
          <w:color w:val="auto"/>
        </w:rPr>
      </w:pPr>
      <w:r>
        <w:rPr>
          <w:rFonts w:ascii="Arial" w:cs="Arial" w:eastAsia="Arial" w:hAnsi="Arial"/>
          <w:sz w:val="18"/>
          <w:szCs w:val="18"/>
          <w:color w:val="auto"/>
        </w:rPr>
        <w:t>EXHIBIT 101.PRE *</w:t>
      </w:r>
      <w:r>
        <w:rPr>
          <w:sz w:val="20"/>
          <w:szCs w:val="20"/>
          <w:color w:val="auto"/>
        </w:rPr>
        <w:tab/>
      </w:r>
      <w:r>
        <w:rPr>
          <w:rFonts w:ascii="Arial" w:cs="Arial" w:eastAsia="Arial" w:hAnsi="Arial"/>
          <w:sz w:val="16"/>
          <w:szCs w:val="16"/>
          <w:color w:val="auto"/>
        </w:rPr>
        <w:t>-XBRL Taxonomy Extension Presentation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80" w:type="dxa"/>
            <w:vAlign w:val="bottom"/>
            <w:gridSpan w:val="3"/>
          </w:tcPr>
          <w:p>
            <w:pPr>
              <w:ind w:left="134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140" w:type="dxa"/>
            <w:vAlign w:val="bottom"/>
          </w:tcPr>
          <w:p>
            <w:pPr>
              <w:ind w:left="20"/>
              <w:spacing w:after="0"/>
              <w:rPr>
                <w:sz w:val="20"/>
                <w:szCs w:val="20"/>
                <w:color w:val="auto"/>
              </w:rPr>
            </w:pPr>
            <w:r>
              <w:rPr>
                <w:rFonts w:ascii="Arial" w:cs="Arial" w:eastAsia="Arial" w:hAnsi="Arial"/>
                <w:sz w:val="18"/>
                <w:szCs w:val="18"/>
                <w:color w:val="auto"/>
              </w:rPr>
              <w:t>Dated: November 6, 2020</w:t>
            </w:r>
          </w:p>
        </w:tc>
        <w:tc>
          <w:tcPr>
            <w:tcW w:w="5780" w:type="dxa"/>
            <w:vAlign w:val="bottom"/>
            <w:gridSpan w:val="3"/>
          </w:tcPr>
          <w:p>
            <w:pPr>
              <w:ind w:left="1340"/>
              <w:spacing w:after="0"/>
              <w:rPr>
                <w:sz w:val="20"/>
                <w:szCs w:val="20"/>
                <w:color w:val="auto"/>
              </w:rPr>
            </w:pPr>
            <w:r>
              <w:rPr>
                <w:rFonts w:ascii="Arial" w:cs="Arial" w:eastAsia="Arial" w:hAnsi="Arial"/>
                <w:sz w:val="18"/>
                <w:szCs w:val="18"/>
                <w:color w:val="auto"/>
              </w:rPr>
              <w:t>By:  /s/ Thomas Kerkaert</w:t>
            </w:r>
          </w:p>
        </w:tc>
      </w:tr>
      <w:tr>
        <w:trPr>
          <w:trHeight w:val="195"/>
        </w:trPr>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Kerkaert</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r>
      <w:tr>
        <w:trPr>
          <w:trHeight w:val="864"/>
        </w:trPr>
        <w:tc>
          <w:tcPr>
            <w:tcW w:w="3140" w:type="dxa"/>
            <w:vAlign w:val="bottom"/>
          </w:tcPr>
          <w:p>
            <w:pPr>
              <w:spacing w:after="0"/>
              <w:rPr>
                <w:sz w:val="24"/>
                <w:szCs w:val="24"/>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6,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Kerkaert,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6,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10-Q/A for the quarter ended June 30, 2020, as filed with the Securities and Exchange Commission on the date hereof (the “Report”), I, Kenneth E. Shipley,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6,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10-Q/A for the quarter ended June 30, 2020, as filed with the Securities and Exchange Commission on the date hereof (the “Report”), I, Thomas Kerkaert,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6,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3"/>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o"/>
      <w:numFmt w:val="bullet"/>
      <w:start w:val="1"/>
    </w:lvl>
  </w:abstractNum>
  <w:abstractNum w:abstractNumId="10">
    <w:nsid w:val="109CF92E"/>
    <w:multiLevelType w:val="hybridMultilevel"/>
    <w:lvl w:ilvl="0">
      <w:lvlJc w:val="left"/>
      <w:lvlText w:val="%1"/>
      <w:numFmt w:val="upperLetter"/>
      <w:start w:val="68"/>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2020-11-06T16:04:15Z</dcterms:created>
  <dcterms:modified xsi:type="dcterms:W3CDTF">2020-11-06T16:04:15Z</dcterms:modified>
</cp:coreProperties>
</file>