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0"/>
          <w:szCs w:val="20"/>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3"/>
          <w:szCs w:val="23"/>
          <w:b w:val="1"/>
          <w:bCs w:val="1"/>
          <w:color w:val="auto"/>
        </w:rPr>
        <w:t>CURRENT REPORT</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Date of Report (Date of Earliest Event Reported): October 28, 2026</w:t>
      </w:r>
    </w:p>
    <w:p>
      <w:pPr>
        <w:spacing w:after="0" w:line="2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LEGACY HOUSING CORPORATION</w:t>
      </w:r>
    </w:p>
    <w:p>
      <w:pPr>
        <w:spacing w:after="0" w:line="38" w:lineRule="exact"/>
        <w:rPr>
          <w:sz w:val="24"/>
          <w:szCs w:val="24"/>
          <w:color w:val="auto"/>
        </w:rPr>
      </w:pPr>
    </w:p>
    <w:tbl>
      <w:tblPr>
        <w:tblLayout w:type="fixed"/>
        <w:tblInd w:w="60" w:type="dxa"/>
        <w:tblCellMar>
          <w:top w:w="0" w:type="dxa"/>
          <w:left w:w="0" w:type="dxa"/>
          <w:bottom w:w="0" w:type="dxa"/>
          <w:right w:w="0" w:type="dxa"/>
        </w:tblCellMar>
      </w:tblPr>
      <w:tr>
        <w:trPr>
          <w:trHeight w:val="200"/>
        </w:trPr>
        <w:tc>
          <w:tcPr>
            <w:tcW w:w="6620" w:type="dxa"/>
            <w:vAlign w:val="bottom"/>
            <w:tcBorders>
              <w:top w:val="single" w:sz="8" w:color="auto"/>
            </w:tcBorders>
            <w:gridSpan w:val="2"/>
          </w:tcPr>
          <w:p>
            <w:pPr>
              <w:ind w:left="2400"/>
              <w:spacing w:after="0" w:line="200" w:lineRule="exact"/>
              <w:rPr>
                <w:sz w:val="20"/>
                <w:szCs w:val="20"/>
                <w:color w:val="auto"/>
              </w:rPr>
            </w:pPr>
            <w:r>
              <w:rPr>
                <w:rFonts w:ascii="Times New Roman" w:cs="Times New Roman" w:eastAsia="Times New Roman" w:hAnsi="Times New Roman"/>
                <w:sz w:val="20"/>
                <w:szCs w:val="20"/>
                <w:color w:val="auto"/>
              </w:rPr>
              <w:t>(Exact name of registrant as specified in its charter)</w:t>
            </w:r>
          </w:p>
        </w:tc>
        <w:tc>
          <w:tcPr>
            <w:tcW w:w="2280" w:type="dxa"/>
            <w:vAlign w:val="bottom"/>
            <w:tcBorders>
              <w:top w:val="single" w:sz="8" w:color="auto"/>
            </w:tcBorders>
          </w:tcPr>
          <w:p>
            <w:pPr>
              <w:spacing w:after="0"/>
              <w:rPr>
                <w:sz w:val="17"/>
                <w:szCs w:val="17"/>
                <w:color w:val="auto"/>
              </w:rPr>
            </w:pPr>
          </w:p>
        </w:tc>
      </w:tr>
      <w:tr>
        <w:trPr>
          <w:trHeight w:val="229"/>
        </w:trPr>
        <w:tc>
          <w:tcPr>
            <w:tcW w:w="4080" w:type="dxa"/>
            <w:vAlign w:val="bottom"/>
          </w:tcPr>
          <w:p>
            <w:pPr>
              <w:ind w:left="3680"/>
              <w:spacing w:after="0"/>
              <w:rPr>
                <w:sz w:val="20"/>
                <w:szCs w:val="20"/>
                <w:color w:val="auto"/>
              </w:rPr>
            </w:pPr>
            <w:r>
              <w:rPr>
                <w:rFonts w:ascii="Times New Roman" w:cs="Times New Roman" w:eastAsia="Times New Roman" w:hAnsi="Times New Roman"/>
                <w:sz w:val="20"/>
                <w:szCs w:val="20"/>
                <w:color w:val="auto"/>
              </w:rPr>
              <w:t>​​​</w:t>
            </w:r>
          </w:p>
        </w:tc>
        <w:tc>
          <w:tcPr>
            <w:tcW w:w="2540" w:type="dxa"/>
            <w:vAlign w:val="bottom"/>
          </w:tcPr>
          <w:p>
            <w:pPr>
              <w:ind w:left="1880"/>
              <w:spacing w:after="0"/>
              <w:rPr>
                <w:sz w:val="20"/>
                <w:szCs w:val="20"/>
                <w:color w:val="auto"/>
              </w:rPr>
            </w:pPr>
            <w:r>
              <w:rPr>
                <w:rFonts w:ascii="Times New Roman" w:cs="Times New Roman" w:eastAsia="Times New Roman" w:hAnsi="Times New Roman"/>
                <w:sz w:val="20"/>
                <w:szCs w:val="20"/>
                <w:color w:val="auto"/>
              </w:rPr>
              <w:t>​​​</w:t>
            </w:r>
          </w:p>
        </w:tc>
        <w:tc>
          <w:tcPr>
            <w:tcW w:w="2280" w:type="dxa"/>
            <w:vAlign w:val="bottom"/>
          </w:tcPr>
          <w:p>
            <w:pPr>
              <w:spacing w:after="0"/>
              <w:rPr>
                <w:sz w:val="19"/>
                <w:szCs w:val="19"/>
                <w:color w:val="auto"/>
              </w:rPr>
            </w:pPr>
          </w:p>
        </w:tc>
      </w:tr>
      <w:tr>
        <w:trPr>
          <w:trHeight w:val="252"/>
        </w:trPr>
        <w:tc>
          <w:tcPr>
            <w:tcW w:w="4080" w:type="dxa"/>
            <w:vAlign w:val="bottom"/>
            <w:tcBorders>
              <w:bottom w:val="single" w:sz="8" w:color="auto"/>
            </w:tcBorders>
          </w:tcPr>
          <w:p>
            <w:pPr>
              <w:jc w:val="center"/>
              <w:ind w:right="401"/>
              <w:spacing w:after="0"/>
              <w:rPr>
                <w:sz w:val="20"/>
                <w:szCs w:val="20"/>
                <w:color w:val="auto"/>
              </w:rPr>
            </w:pPr>
            <w:r>
              <w:rPr>
                <w:rFonts w:ascii="Times New Roman" w:cs="Times New Roman" w:eastAsia="Times New Roman" w:hAnsi="Times New Roman"/>
                <w:sz w:val="20"/>
                <w:szCs w:val="20"/>
                <w:color w:val="auto"/>
                <w:w w:val="96"/>
              </w:rPr>
              <w:t>Texas</w:t>
            </w:r>
          </w:p>
        </w:tc>
        <w:tc>
          <w:tcPr>
            <w:tcW w:w="2540" w:type="dxa"/>
            <w:vAlign w:val="bottom"/>
            <w:tcBorders>
              <w:bottom w:val="single" w:sz="8" w:color="auto"/>
            </w:tcBorders>
          </w:tcPr>
          <w:p>
            <w:pPr>
              <w:jc w:val="center"/>
              <w:ind w:right="901"/>
              <w:spacing w:after="0"/>
              <w:rPr>
                <w:sz w:val="20"/>
                <w:szCs w:val="20"/>
                <w:color w:val="auto"/>
              </w:rPr>
            </w:pPr>
            <w:r>
              <w:rPr>
                <w:rFonts w:ascii="Times New Roman" w:cs="Times New Roman" w:eastAsia="Times New Roman" w:hAnsi="Times New Roman"/>
                <w:sz w:val="20"/>
                <w:szCs w:val="20"/>
                <w:color w:val="auto"/>
                <w:w w:val="99"/>
              </w:rPr>
              <w:t>001-38761</w:t>
            </w:r>
          </w:p>
        </w:tc>
        <w:tc>
          <w:tcPr>
            <w:tcW w:w="2280" w:type="dxa"/>
            <w:vAlign w:val="bottom"/>
            <w:tcBorders>
              <w:bottom w:val="single" w:sz="8" w:color="auto"/>
            </w:tcBorders>
          </w:tcPr>
          <w:p>
            <w:pPr>
              <w:jc w:val="center"/>
              <w:ind w:right="421"/>
              <w:spacing w:after="0"/>
              <w:rPr>
                <w:sz w:val="20"/>
                <w:szCs w:val="20"/>
                <w:color w:val="auto"/>
              </w:rPr>
            </w:pPr>
            <w:r>
              <w:rPr>
                <w:rFonts w:ascii="Times New Roman" w:cs="Times New Roman" w:eastAsia="Times New Roman" w:hAnsi="Times New Roman"/>
                <w:sz w:val="20"/>
                <w:szCs w:val="20"/>
                <w:color w:val="auto"/>
                <w:w w:val="99"/>
              </w:rPr>
              <w:t>20-2897516</w:t>
            </w:r>
          </w:p>
        </w:tc>
      </w:tr>
      <w:tr>
        <w:trPr>
          <w:trHeight w:val="200"/>
        </w:trPr>
        <w:tc>
          <w:tcPr>
            <w:tcW w:w="4080" w:type="dxa"/>
            <w:vAlign w:val="bottom"/>
          </w:tcPr>
          <w:p>
            <w:pPr>
              <w:jc w:val="center"/>
              <w:ind w:right="461"/>
              <w:spacing w:after="0" w:line="200" w:lineRule="exact"/>
              <w:rPr>
                <w:sz w:val="20"/>
                <w:szCs w:val="20"/>
                <w:color w:val="auto"/>
              </w:rPr>
            </w:pPr>
            <w:r>
              <w:rPr>
                <w:rFonts w:ascii="Times New Roman" w:cs="Times New Roman" w:eastAsia="Times New Roman" w:hAnsi="Times New Roman"/>
                <w:sz w:val="20"/>
                <w:szCs w:val="20"/>
                <w:color w:val="auto"/>
                <w:w w:val="98"/>
              </w:rPr>
              <w:t>(State or Other Jurisdiction of</w:t>
            </w:r>
          </w:p>
        </w:tc>
        <w:tc>
          <w:tcPr>
            <w:tcW w:w="2540" w:type="dxa"/>
            <w:vAlign w:val="bottom"/>
          </w:tcPr>
          <w:p>
            <w:pPr>
              <w:jc w:val="center"/>
              <w:ind w:right="901"/>
              <w:spacing w:after="0" w:line="200" w:lineRule="exact"/>
              <w:rPr>
                <w:sz w:val="20"/>
                <w:szCs w:val="20"/>
                <w:color w:val="auto"/>
              </w:rPr>
            </w:pPr>
            <w:r>
              <w:rPr>
                <w:rFonts w:ascii="Times New Roman" w:cs="Times New Roman" w:eastAsia="Times New Roman" w:hAnsi="Times New Roman"/>
                <w:sz w:val="20"/>
                <w:szCs w:val="20"/>
                <w:color w:val="auto"/>
                <w:w w:val="98"/>
              </w:rPr>
              <w:t>(Commission</w:t>
            </w:r>
          </w:p>
        </w:tc>
        <w:tc>
          <w:tcPr>
            <w:tcW w:w="2280" w:type="dxa"/>
            <w:vAlign w:val="bottom"/>
          </w:tcPr>
          <w:p>
            <w:pPr>
              <w:jc w:val="center"/>
              <w:ind w:right="421"/>
              <w:spacing w:after="0" w:line="200" w:lineRule="exact"/>
              <w:rPr>
                <w:sz w:val="20"/>
                <w:szCs w:val="20"/>
                <w:color w:val="auto"/>
              </w:rPr>
            </w:pPr>
            <w:r>
              <w:rPr>
                <w:rFonts w:ascii="Times New Roman" w:cs="Times New Roman" w:eastAsia="Times New Roman" w:hAnsi="Times New Roman"/>
                <w:sz w:val="20"/>
                <w:szCs w:val="20"/>
                <w:color w:val="auto"/>
                <w:w w:val="98"/>
              </w:rPr>
              <w:t>(IRS Employer</w:t>
            </w:r>
          </w:p>
        </w:tc>
      </w:tr>
      <w:tr>
        <w:trPr>
          <w:trHeight w:val="258"/>
        </w:trPr>
        <w:tc>
          <w:tcPr>
            <w:tcW w:w="4080" w:type="dxa"/>
            <w:vAlign w:val="bottom"/>
          </w:tcPr>
          <w:p>
            <w:pPr>
              <w:jc w:val="center"/>
              <w:ind w:right="401"/>
              <w:spacing w:after="0"/>
              <w:rPr>
                <w:sz w:val="20"/>
                <w:szCs w:val="20"/>
                <w:color w:val="auto"/>
              </w:rPr>
            </w:pPr>
            <w:r>
              <w:rPr>
                <w:rFonts w:ascii="Times New Roman" w:cs="Times New Roman" w:eastAsia="Times New Roman" w:hAnsi="Times New Roman"/>
                <w:sz w:val="20"/>
                <w:szCs w:val="20"/>
                <w:color w:val="auto"/>
                <w:w w:val="98"/>
              </w:rPr>
              <w:t>Incorporation)</w:t>
            </w:r>
          </w:p>
        </w:tc>
        <w:tc>
          <w:tcPr>
            <w:tcW w:w="2540" w:type="dxa"/>
            <w:vAlign w:val="bottom"/>
          </w:tcPr>
          <w:p>
            <w:pPr>
              <w:jc w:val="center"/>
              <w:ind w:right="901"/>
              <w:spacing w:after="0"/>
              <w:rPr>
                <w:sz w:val="20"/>
                <w:szCs w:val="20"/>
                <w:color w:val="auto"/>
              </w:rPr>
            </w:pPr>
            <w:r>
              <w:rPr>
                <w:rFonts w:ascii="Times New Roman" w:cs="Times New Roman" w:eastAsia="Times New Roman" w:hAnsi="Times New Roman"/>
                <w:sz w:val="20"/>
                <w:szCs w:val="20"/>
                <w:color w:val="auto"/>
                <w:w w:val="97"/>
              </w:rPr>
              <w:t>File Number)</w:t>
            </w:r>
          </w:p>
        </w:tc>
        <w:tc>
          <w:tcPr>
            <w:tcW w:w="2280" w:type="dxa"/>
            <w:vAlign w:val="bottom"/>
          </w:tcPr>
          <w:p>
            <w:pPr>
              <w:jc w:val="center"/>
              <w:ind w:right="421"/>
              <w:spacing w:after="0"/>
              <w:rPr>
                <w:sz w:val="20"/>
                <w:szCs w:val="20"/>
                <w:color w:val="auto"/>
              </w:rPr>
            </w:pPr>
            <w:r>
              <w:rPr>
                <w:rFonts w:ascii="Times New Roman" w:cs="Times New Roman" w:eastAsia="Times New Roman" w:hAnsi="Times New Roman"/>
                <w:sz w:val="20"/>
                <w:szCs w:val="20"/>
                <w:color w:val="auto"/>
                <w:w w:val="99"/>
              </w:rPr>
              <w:t>Identification No.)</w:t>
            </w:r>
          </w:p>
        </w:tc>
      </w:tr>
    </w:tbl>
    <w:p>
      <w:pPr>
        <w:spacing w:after="0" w:line="187" w:lineRule="exact"/>
        <w:rPr>
          <w:sz w:val="24"/>
          <w:szCs w:val="24"/>
          <w:color w:val="auto"/>
        </w:rPr>
      </w:pPr>
    </w:p>
    <w:p>
      <w:pPr>
        <w:ind w:left="2460"/>
        <w:spacing w:after="0"/>
        <w:rPr>
          <w:sz w:val="20"/>
          <w:szCs w:val="20"/>
          <w:color w:val="auto"/>
        </w:rPr>
      </w:pPr>
      <w:r>
        <w:rPr>
          <w:rFonts w:ascii="Times New Roman" w:cs="Times New Roman" w:eastAsia="Times New Roman" w:hAnsi="Times New Roman"/>
          <w:sz w:val="20"/>
          <w:szCs w:val="20"/>
          <w:color w:val="auto"/>
        </w:rPr>
        <w:t>1600 Airport Freeway, #100, Bedford, Texas 76022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13970</wp:posOffset>
            </wp:positionV>
            <wp:extent cx="56489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48960" cy="8255"/>
                    </a:xfrm>
                    <a:prstGeom prst="rect">
                      <a:avLst/>
                    </a:prstGeom>
                    <a:noFill/>
                  </pic:spPr>
                </pic:pic>
              </a:graphicData>
            </a:graphic>
          </wp:anchor>
        </w:drawing>
      </w:r>
    </w:p>
    <w:p>
      <w:pPr>
        <w:spacing w:after="0" w:line="8" w:lineRule="exact"/>
        <w:rPr>
          <w:sz w:val="24"/>
          <w:szCs w:val="24"/>
          <w:color w:val="auto"/>
        </w:rPr>
      </w:pPr>
    </w:p>
    <w:p>
      <w:pPr>
        <w:ind w:left="2420"/>
        <w:spacing w:after="0"/>
        <w:rPr>
          <w:sz w:val="20"/>
          <w:szCs w:val="20"/>
          <w:color w:val="auto"/>
        </w:rPr>
      </w:pPr>
      <w:r>
        <w:rPr>
          <w:rFonts w:ascii="Times New Roman" w:cs="Times New Roman" w:eastAsia="Times New Roman" w:hAnsi="Times New Roman"/>
          <w:sz w:val="20"/>
          <w:szCs w:val="20"/>
          <w:color w:val="auto"/>
        </w:rPr>
        <w:t>(Address of Principal Executive Offices) (Zip Code)</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Registrant’s Telephone Number, Including Area Code: (817) 799-4900</w:t>
      </w:r>
    </w:p>
    <w:p>
      <w:pPr>
        <w:spacing w:after="0" w:line="216" w:lineRule="exact"/>
        <w:rPr>
          <w:sz w:val="24"/>
          <w:szCs w:val="24"/>
          <w:color w:val="auto"/>
        </w:rPr>
      </w:pPr>
    </w:p>
    <w:p>
      <w:pPr>
        <w:jc w:val="both"/>
        <w:ind w:left="60" w:right="839"/>
        <w:spacing w:after="0" w:line="295" w:lineRule="auto"/>
        <w:rPr>
          <w:sz w:val="20"/>
          <w:szCs w:val="20"/>
          <w:color w:val="auto"/>
        </w:rPr>
      </w:pPr>
      <w:r>
        <w:rPr>
          <w:rFonts w:ascii="Times New Roman" w:cs="Times New Roman" w:eastAsia="Times New Roman" w:hAnsi="Times New Roman"/>
          <w:sz w:val="19"/>
          <w:szCs w:val="19"/>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9"/>
          <w:szCs w:val="19"/>
          <w:i w:val="1"/>
          <w:iCs w:val="1"/>
          <w:color w:val="auto"/>
        </w:rPr>
        <w:t>see</w:t>
      </w:r>
      <w:r>
        <w:rPr>
          <w:rFonts w:ascii="Times New Roman" w:cs="Times New Roman" w:eastAsia="Times New Roman" w:hAnsi="Times New Roman"/>
          <w:sz w:val="19"/>
          <w:szCs w:val="19"/>
          <w:color w:val="auto"/>
        </w:rPr>
        <w:t xml:space="preserve"> General Instruction A.2. below):</w:t>
      </w:r>
    </w:p>
    <w:p>
      <w:pPr>
        <w:spacing w:after="0" w:line="151" w:lineRule="exact"/>
        <w:rPr>
          <w:sz w:val="24"/>
          <w:szCs w:val="24"/>
          <w:color w:val="auto"/>
        </w:rPr>
      </w:pPr>
    </w:p>
    <w:p>
      <w:pPr>
        <w:ind w:left="280" w:hanging="230"/>
        <w:spacing w:after="0"/>
        <w:tabs>
          <w:tab w:leader="none" w:pos="2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Written communications pursuant to Rule 425 under the Securities Act (17 CFR 230.425)</w:t>
      </w:r>
    </w:p>
    <w:p>
      <w:pPr>
        <w:spacing w:after="0" w:line="229" w:lineRule="exact"/>
        <w:rPr>
          <w:rFonts w:ascii="MS PGothic" w:cs="MS PGothic" w:eastAsia="MS PGothic" w:hAnsi="MS PGothic"/>
          <w:sz w:val="20"/>
          <w:szCs w:val="20"/>
          <w:color w:val="auto"/>
        </w:rPr>
      </w:pPr>
    </w:p>
    <w:p>
      <w:pPr>
        <w:ind w:left="280" w:hanging="230"/>
        <w:spacing w:after="0"/>
        <w:tabs>
          <w:tab w:leader="none" w:pos="28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Soliciting material pursuant to Rule 14a-12 under the Exchange Act (17 CFR 240.14a-12)</w:t>
      </w:r>
    </w:p>
    <w:p>
      <w:pPr>
        <w:spacing w:after="0" w:line="229" w:lineRule="exact"/>
        <w:rPr>
          <w:rFonts w:ascii="MS PGothic" w:cs="MS PGothic" w:eastAsia="MS PGothic" w:hAnsi="MS PGothic"/>
          <w:sz w:val="20"/>
          <w:szCs w:val="20"/>
          <w:color w:val="auto"/>
        </w:rPr>
      </w:pPr>
    </w:p>
    <w:p>
      <w:pPr>
        <w:ind w:left="60" w:right="259" w:hanging="10"/>
        <w:spacing w:after="0" w:line="269" w:lineRule="auto"/>
        <w:tabs>
          <w:tab w:leader="none" w:pos="28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14d-2(b) under the Exchange Act (17 CFR 240.14d-2(b))</w:t>
      </w:r>
    </w:p>
    <w:p>
      <w:pPr>
        <w:spacing w:after="0" w:line="172" w:lineRule="exact"/>
        <w:rPr>
          <w:rFonts w:ascii="MS PGothic" w:cs="MS PGothic" w:eastAsia="MS PGothic" w:hAnsi="MS PGothic"/>
          <w:sz w:val="20"/>
          <w:szCs w:val="20"/>
          <w:color w:val="auto"/>
        </w:rPr>
      </w:pPr>
    </w:p>
    <w:p>
      <w:pPr>
        <w:ind w:left="60" w:right="279" w:hanging="10"/>
        <w:spacing w:after="0" w:line="269" w:lineRule="auto"/>
        <w:tabs>
          <w:tab w:leader="none" w:pos="285"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20"/>
          <w:szCs w:val="20"/>
          <w:color w:val="auto"/>
        </w:rPr>
        <w:t>Pre-commencement communications pursuant to Rule 13e-4(c) under the Exchange Act (17 CFR 240.13e-4(c))</w:t>
      </w:r>
    </w:p>
    <w:p>
      <w:pPr>
        <w:spacing w:after="0" w:line="159" w:lineRule="exact"/>
        <w:rPr>
          <w:sz w:val="24"/>
          <w:szCs w:val="24"/>
          <w:color w:val="auto"/>
        </w:rPr>
      </w:pPr>
    </w:p>
    <w:p>
      <w:pPr>
        <w:ind w:left="60"/>
        <w:spacing w:after="0"/>
        <w:rPr>
          <w:sz w:val="20"/>
          <w:szCs w:val="20"/>
          <w:color w:val="auto"/>
        </w:rPr>
      </w:pPr>
      <w:r>
        <w:rPr>
          <w:rFonts w:ascii="Times New Roman" w:cs="Times New Roman" w:eastAsia="Times New Roman" w:hAnsi="Times New Roman"/>
          <w:sz w:val="20"/>
          <w:szCs w:val="20"/>
          <w:color w:val="auto"/>
        </w:rPr>
        <w:t>Securities registered pursuant to Section 12(b) of the Act:</w:t>
      </w:r>
    </w:p>
    <w:p>
      <w:pPr>
        <w:spacing w:after="0" w:line="230" w:lineRule="exact"/>
        <w:rPr>
          <w:sz w:val="24"/>
          <w:szCs w:val="24"/>
          <w:color w:val="auto"/>
        </w:rPr>
      </w:pPr>
    </w:p>
    <w:tbl>
      <w:tblPr>
        <w:tblLayout w:type="fixed"/>
        <w:tblInd w:w="60" w:type="dxa"/>
        <w:tblCellMar>
          <w:top w:w="0" w:type="dxa"/>
          <w:left w:w="0" w:type="dxa"/>
          <w:bottom w:w="0" w:type="dxa"/>
          <w:right w:w="0" w:type="dxa"/>
        </w:tblCellMar>
      </w:tblPr>
      <w:tr>
        <w:trPr>
          <w:trHeight w:val="216"/>
        </w:trPr>
        <w:tc>
          <w:tcPr>
            <w:tcW w:w="2660" w:type="dxa"/>
            <w:vAlign w:val="bottom"/>
          </w:tcPr>
          <w:p>
            <w:pPr>
              <w:spacing w:after="0"/>
              <w:rPr>
                <w:sz w:val="18"/>
                <w:szCs w:val="18"/>
                <w:color w:val="auto"/>
              </w:rPr>
            </w:pP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jc w:val="center"/>
              <w:ind w:right="230"/>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w:t>
            </w:r>
          </w:p>
        </w:tc>
      </w:tr>
      <w:tr>
        <w:trPr>
          <w:trHeight w:val="238"/>
        </w:trPr>
        <w:tc>
          <w:tcPr>
            <w:tcW w:w="26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480" w:type="dxa"/>
            <w:vAlign w:val="bottom"/>
            <w:gridSpan w:val="2"/>
          </w:tcPr>
          <w:p>
            <w:pPr>
              <w:ind w:left="100"/>
              <w:spacing w:after="0"/>
              <w:rPr>
                <w:sz w:val="20"/>
                <w:szCs w:val="20"/>
                <w:color w:val="auto"/>
              </w:rPr>
            </w:pPr>
            <w:r>
              <w:rPr>
                <w:rFonts w:ascii="Times New Roman" w:cs="Times New Roman" w:eastAsia="Times New Roman" w:hAnsi="Times New Roman"/>
                <w:sz w:val="18"/>
                <w:szCs w:val="18"/>
                <w:b w:val="1"/>
                <w:bCs w:val="1"/>
                <w:color w:val="auto"/>
              </w:rPr>
              <w:t>​</w:t>
            </w:r>
          </w:p>
        </w:tc>
        <w:tc>
          <w:tcPr>
            <w:tcW w:w="2080" w:type="dxa"/>
            <w:vAlign w:val="bottom"/>
          </w:tcPr>
          <w:p>
            <w:pPr>
              <w:spacing w:after="0"/>
              <w:rPr>
                <w:sz w:val="20"/>
                <w:szCs w:val="20"/>
                <w:color w:val="auto"/>
              </w:rPr>
            </w:pPr>
          </w:p>
        </w:tc>
        <w:tc>
          <w:tcPr>
            <w:tcW w:w="36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 Name of each exchange on which registered:</w:t>
            </w:r>
          </w:p>
        </w:tc>
      </w:tr>
      <w:tr>
        <w:trPr>
          <w:trHeight w:val="228"/>
        </w:trPr>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Common Stock ($0.001 par value)</w:t>
            </w:r>
          </w:p>
        </w:tc>
        <w:tc>
          <w:tcPr>
            <w:tcW w:w="18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2080" w:type="dxa"/>
            <w:vAlign w:val="bottom"/>
            <w:tcBorders>
              <w:top w:val="single" w:sz="8" w:color="auto"/>
            </w:tcBorders>
          </w:tcPr>
          <w:p>
            <w:pPr>
              <w:jc w:val="center"/>
              <w:ind w:right="230"/>
              <w:spacing w:after="0"/>
              <w:rPr>
                <w:sz w:val="20"/>
                <w:szCs w:val="20"/>
                <w:color w:val="auto"/>
              </w:rPr>
            </w:pPr>
            <w:r>
              <w:rPr>
                <w:rFonts w:ascii="Times New Roman" w:cs="Times New Roman" w:eastAsia="Times New Roman" w:hAnsi="Times New Roman"/>
                <w:sz w:val="18"/>
                <w:szCs w:val="18"/>
                <w:color w:val="auto"/>
                <w:w w:val="99"/>
              </w:rPr>
              <w:t>LEGH</w:t>
            </w:r>
          </w:p>
        </w:tc>
        <w:tc>
          <w:tcPr>
            <w:tcW w:w="180" w:type="dxa"/>
            <w:vAlign w:val="bottom"/>
          </w:tcPr>
          <w:p>
            <w:pPr>
              <w:spacing w:after="0"/>
              <w:rPr>
                <w:sz w:val="19"/>
                <w:szCs w:val="19"/>
                <w:color w:val="auto"/>
              </w:rPr>
            </w:pPr>
          </w:p>
        </w:tc>
        <w:tc>
          <w:tcPr>
            <w:tcW w:w="3500" w:type="dxa"/>
            <w:vAlign w:val="bottom"/>
            <w:tcBorders>
              <w:top w:val="single" w:sz="8" w:color="auto"/>
            </w:tcBorders>
          </w:tcPr>
          <w:p>
            <w:pPr>
              <w:ind w:left="680"/>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175" w:lineRule="exact"/>
        <w:rPr>
          <w:sz w:val="24"/>
          <w:szCs w:val="24"/>
          <w:color w:val="auto"/>
        </w:rPr>
      </w:pPr>
    </w:p>
    <w:p>
      <w:pPr>
        <w:ind w:left="60" w:right="419"/>
        <w:spacing w:after="0" w:line="254" w:lineRule="auto"/>
        <w:rPr>
          <w:sz w:val="20"/>
          <w:szCs w:val="20"/>
          <w:color w:val="auto"/>
        </w:rPr>
      </w:pPr>
      <w:r>
        <w:rPr>
          <w:rFonts w:ascii="Times New Roman" w:cs="Times New Roman" w:eastAsia="Times New Roman" w:hAnsi="Times New Roman"/>
          <w:sz w:val="20"/>
          <w:szCs w:val="20"/>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2" w:lineRule="exact"/>
        <w:rPr>
          <w:sz w:val="24"/>
          <w:szCs w:val="24"/>
          <w:color w:val="auto"/>
        </w:rPr>
      </w:pPr>
    </w:p>
    <w:p>
      <w:pPr>
        <w:ind w:left="6580"/>
        <w:spacing w:after="0" w:line="219" w:lineRule="exact"/>
        <w:rPr>
          <w:sz w:val="20"/>
          <w:szCs w:val="20"/>
          <w:color w:val="auto"/>
        </w:rPr>
      </w:pPr>
      <w:r>
        <w:rPr>
          <w:rFonts w:ascii="Times New Roman" w:cs="Times New Roman" w:eastAsia="Times New Roman" w:hAnsi="Times New Roman"/>
          <w:sz w:val="19"/>
          <w:szCs w:val="19"/>
          <w:color w:val="auto"/>
        </w:rPr>
        <w:t xml:space="preserve">Emerging growth company </w:t>
      </w:r>
      <w:r>
        <w:rPr>
          <w:rFonts w:ascii="MS PGothic" w:cs="MS PGothic" w:eastAsia="MS PGothic" w:hAnsi="MS PGothic"/>
          <w:sz w:val="19"/>
          <w:szCs w:val="19"/>
          <w:color w:val="auto"/>
        </w:rPr>
        <w:t>☐</w:t>
      </w:r>
    </w:p>
    <w:p>
      <w:pPr>
        <w:spacing w:after="0" w:line="272" w:lineRule="exact"/>
        <w:rPr>
          <w:sz w:val="24"/>
          <w:szCs w:val="24"/>
          <w:color w:val="auto"/>
        </w:rPr>
      </w:pPr>
    </w:p>
    <w:p>
      <w:pPr>
        <w:jc w:val="both"/>
        <w:ind w:left="60" w:right="399"/>
        <w:spacing w:after="0" w:line="253" w:lineRule="exact"/>
        <w:rPr>
          <w:sz w:val="20"/>
          <w:szCs w:val="20"/>
          <w:color w:val="auto"/>
        </w:rPr>
      </w:pPr>
      <w:r>
        <w:rPr>
          <w:rFonts w:ascii="Times New Roman" w:cs="Times New Roman" w:eastAsia="Times New Roman" w:hAnsi="Times New Roman"/>
          <w:sz w:val="20"/>
          <w:szCs w:val="20"/>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0"/>
          <w:szCs w:val="20"/>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398145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20955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78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 ON FORM 8-K</w:t>
      </w:r>
    </w:p>
    <w:p>
      <w:pPr>
        <w:spacing w:after="0" w:line="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Legacy Housing Corporation (the “Company”)</w:t>
      </w: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October 28, 2026</w:t>
      </w:r>
    </w:p>
    <w:p>
      <w:pPr>
        <w:spacing w:after="0" w:line="1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0"/>
          <w:szCs w:val="20"/>
          <w:b w:val="1"/>
          <w:bCs w:val="1"/>
          <w:color w:val="auto"/>
        </w:rPr>
        <w:t>Item 5.07. Submission of Matters to a Vote of Security Holders</w:t>
      </w:r>
    </w:p>
    <w:p>
      <w:pPr>
        <w:spacing w:after="0" w:line="233" w:lineRule="exact"/>
        <w:rPr>
          <w:sz w:val="20"/>
          <w:szCs w:val="20"/>
          <w:color w:val="auto"/>
        </w:rPr>
      </w:pPr>
    </w:p>
    <w:p>
      <w:pPr>
        <w:jc w:val="both"/>
        <w:ind w:left="60" w:right="59"/>
        <w:spacing w:after="0" w:line="246" w:lineRule="auto"/>
        <w:rPr>
          <w:sz w:val="20"/>
          <w:szCs w:val="20"/>
          <w:color w:val="auto"/>
        </w:rPr>
      </w:pPr>
      <w:r>
        <w:rPr>
          <w:rFonts w:ascii="Times New Roman" w:cs="Times New Roman" w:eastAsia="Times New Roman" w:hAnsi="Times New Roman"/>
          <w:sz w:val="20"/>
          <w:szCs w:val="20"/>
          <w:color w:val="auto"/>
        </w:rPr>
        <w:t>The Company held its Annual Meeting of Stockholders (the “Annual Meeting”) on October 28, 2026. The Company had 23,783,038 shares of common stock outstanding on September 8, 2026, the record date for the Annual Meeting. At the Annual Meeting, holders of 17,010,896 shares of the Company’s common stock were present virtually or represented by proxy. The Annual Meeting was held virtually, solely by means of remote communication.</w:t>
      </w:r>
    </w:p>
    <w:p>
      <w:pPr>
        <w:spacing w:after="0" w:line="185" w:lineRule="exact"/>
        <w:rPr>
          <w:sz w:val="20"/>
          <w:szCs w:val="20"/>
          <w:color w:val="auto"/>
        </w:rPr>
      </w:pPr>
    </w:p>
    <w:p>
      <w:pPr>
        <w:jc w:val="both"/>
        <w:ind w:left="60" w:right="59"/>
        <w:spacing w:after="0" w:line="269" w:lineRule="auto"/>
        <w:rPr>
          <w:sz w:val="20"/>
          <w:szCs w:val="20"/>
          <w:color w:val="auto"/>
        </w:rPr>
      </w:pPr>
      <w:r>
        <w:rPr>
          <w:rFonts w:ascii="Times New Roman" w:cs="Times New Roman" w:eastAsia="Times New Roman" w:hAnsi="Times New Roman"/>
          <w:sz w:val="20"/>
          <w:szCs w:val="20"/>
          <w:color w:val="auto"/>
        </w:rPr>
        <w:t>The final, certified voting results for each proposal presented at the Annual Meeting are set out below. Each of these proposals is described in detail in the Company’s Proxy Statement.</w:t>
      </w:r>
    </w:p>
    <w:p>
      <w:pPr>
        <w:spacing w:after="0" w:line="155" w:lineRule="exact"/>
        <w:rPr>
          <w:sz w:val="20"/>
          <w:szCs w:val="20"/>
          <w:color w:val="auto"/>
        </w:rPr>
      </w:pPr>
    </w:p>
    <w:p>
      <w:pPr>
        <w:jc w:val="both"/>
        <w:ind w:left="60" w:right="5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Proposal 1</w:t>
      </w:r>
      <w:r>
        <w:rPr>
          <w:rFonts w:ascii="Times New Roman" w:cs="Times New Roman" w:eastAsia="Times New Roman" w:hAnsi="Times New Roman"/>
          <w:sz w:val="20"/>
          <w:szCs w:val="20"/>
          <w:color w:val="auto"/>
        </w:rPr>
        <w:t>: The Company’s stockholders elected the four nominees listed in its Proxy Statement to serve on its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Board of Directors for a term of one year or until their successors are elected and qualified.</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37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460" w:type="dxa"/>
            <w:vAlign w:val="bottom"/>
          </w:tcPr>
          <w:p>
            <w:pPr>
              <w:jc w:val="right"/>
              <w:ind w:right="181"/>
              <w:spacing w:after="0"/>
              <w:rPr>
                <w:sz w:val="20"/>
                <w:szCs w:val="20"/>
                <w:color w:val="auto"/>
              </w:rPr>
            </w:pPr>
            <w:r>
              <w:rPr>
                <w:rFonts w:ascii="Times New Roman" w:cs="Times New Roman" w:eastAsia="Times New Roman" w:hAnsi="Times New Roman"/>
                <w:sz w:val="20"/>
                <w:szCs w:val="20"/>
                <w:b w:val="1"/>
                <w:bCs w:val="1"/>
                <w:color w:val="auto"/>
              </w:rPr>
              <w:t>Broker</w:t>
            </w:r>
          </w:p>
        </w:tc>
      </w:tr>
      <w:tr>
        <w:trPr>
          <w:trHeight w:val="274"/>
        </w:trPr>
        <w:tc>
          <w:tcPr>
            <w:tcW w:w="3700" w:type="dxa"/>
            <w:vAlign w:val="bottom"/>
            <w:tcBorders>
              <w:bottom w:val="single" w:sz="8" w:color="auto"/>
            </w:tcBorders>
          </w:tcPr>
          <w:p>
            <w:pPr>
              <w:ind w:left="3520"/>
              <w:spacing w:after="0"/>
              <w:rPr>
                <w:sz w:val="20"/>
                <w:szCs w:val="20"/>
                <w:color w:val="auto"/>
              </w:rPr>
            </w:pPr>
            <w:r>
              <w:rPr>
                <w:rFonts w:ascii="Times New Roman" w:cs="Times New Roman" w:eastAsia="Times New Roman" w:hAnsi="Times New Roman"/>
                <w:sz w:val="20"/>
                <w:szCs w:val="20"/>
                <w:b w:val="1"/>
                <w:bCs w:val="1"/>
                <w:color w:val="auto"/>
              </w:rPr>
              <w:t>​​​</w:t>
            </w:r>
          </w:p>
        </w:tc>
        <w:tc>
          <w:tcPr>
            <w:tcW w:w="108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20"/>
                <w:szCs w:val="20"/>
                <w:b w:val="1"/>
                <w:bCs w:val="1"/>
                <w:color w:val="auto"/>
              </w:rPr>
              <w:t>For</w:t>
            </w:r>
          </w:p>
        </w:tc>
        <w:tc>
          <w:tcPr>
            <w:tcW w:w="1320" w:type="dxa"/>
            <w:vAlign w:val="bottom"/>
            <w:tcBorders>
              <w:bottom w:val="single" w:sz="8" w:color="auto"/>
            </w:tcBorders>
          </w:tcPr>
          <w:p>
            <w:pPr>
              <w:jc w:val="right"/>
              <w:ind w:right="101"/>
              <w:spacing w:after="0"/>
              <w:rPr>
                <w:sz w:val="20"/>
                <w:szCs w:val="20"/>
                <w:color w:val="auto"/>
              </w:rPr>
            </w:pPr>
            <w:r>
              <w:rPr>
                <w:rFonts w:ascii="Times New Roman" w:cs="Times New Roman" w:eastAsia="Times New Roman" w:hAnsi="Times New Roman"/>
                <w:sz w:val="20"/>
                <w:szCs w:val="20"/>
                <w:b w:val="1"/>
                <w:bCs w:val="1"/>
                <w:color w:val="auto"/>
              </w:rPr>
              <w:t>​​​  Against</w:t>
            </w:r>
          </w:p>
        </w:tc>
        <w:tc>
          <w:tcPr>
            <w:tcW w:w="1340" w:type="dxa"/>
            <w:vAlign w:val="bottom"/>
            <w:tcBorders>
              <w:bottom w:val="single" w:sz="8" w:color="auto"/>
            </w:tcBorders>
          </w:tcPr>
          <w:p>
            <w:pPr>
              <w:jc w:val="right"/>
              <w:ind w:right="81"/>
              <w:spacing w:after="0"/>
              <w:rPr>
                <w:sz w:val="20"/>
                <w:szCs w:val="20"/>
                <w:color w:val="auto"/>
              </w:rPr>
            </w:pPr>
            <w:r>
              <w:rPr>
                <w:rFonts w:ascii="Times New Roman" w:cs="Times New Roman" w:eastAsia="Times New Roman" w:hAnsi="Times New Roman"/>
                <w:sz w:val="20"/>
                <w:szCs w:val="20"/>
                <w:b w:val="1"/>
                <w:bCs w:val="1"/>
                <w:color w:val="auto"/>
              </w:rPr>
              <w:t>​​​  Abstain</w:t>
            </w:r>
          </w:p>
        </w:tc>
        <w:tc>
          <w:tcPr>
            <w:tcW w:w="1460" w:type="dxa"/>
            <w:vAlign w:val="bottom"/>
            <w:tcBorders>
              <w:bottom w:val="single" w:sz="8" w:color="auto"/>
            </w:tcBorders>
          </w:tcPr>
          <w:p>
            <w:pPr>
              <w:jc w:val="right"/>
              <w:ind w:right="61"/>
              <w:spacing w:after="0"/>
              <w:rPr>
                <w:sz w:val="20"/>
                <w:szCs w:val="20"/>
                <w:color w:val="auto"/>
              </w:rPr>
            </w:pPr>
            <w:r>
              <w:rPr>
                <w:rFonts w:ascii="Times New Roman" w:cs="Times New Roman" w:eastAsia="Times New Roman" w:hAnsi="Times New Roman"/>
                <w:sz w:val="20"/>
                <w:szCs w:val="20"/>
                <w:b w:val="1"/>
                <w:bCs w:val="1"/>
                <w:color w:val="auto"/>
              </w:rPr>
              <w:t>​​​ Non-Votes</w:t>
            </w:r>
          </w:p>
        </w:tc>
      </w:tr>
      <w:tr>
        <w:trPr>
          <w:trHeight w:val="26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Kenneth E. Shipley</w:t>
            </w:r>
          </w:p>
        </w:tc>
        <w:tc>
          <w:tcPr>
            <w:tcW w:w="1080" w:type="dxa"/>
            <w:vAlign w:val="bottom"/>
          </w:tcPr>
          <w:p>
            <w:pPr>
              <w:jc w:val="right"/>
              <w:ind w:right="21"/>
              <w:spacing w:after="0"/>
              <w:rPr>
                <w:sz w:val="20"/>
                <w:szCs w:val="20"/>
                <w:color w:val="auto"/>
              </w:rPr>
            </w:pPr>
            <w:r>
              <w:rPr>
                <w:rFonts w:ascii="Times New Roman" w:cs="Times New Roman" w:eastAsia="Times New Roman" w:hAnsi="Times New Roman"/>
                <w:sz w:val="20"/>
                <w:szCs w:val="20"/>
                <w:color w:val="auto"/>
              </w:rPr>
              <w:t>16,336,381</w:t>
            </w:r>
          </w:p>
        </w:tc>
        <w:tc>
          <w:tcPr>
            <w:tcW w:w="1320" w:type="dxa"/>
            <w:vAlign w:val="bottom"/>
          </w:tcPr>
          <w:p>
            <w:pPr>
              <w:jc w:val="right"/>
              <w:ind w:right="101"/>
              <w:spacing w:after="0"/>
              <w:rPr>
                <w:sz w:val="20"/>
                <w:szCs w:val="20"/>
                <w:color w:val="auto"/>
              </w:rPr>
            </w:pPr>
            <w:r>
              <w:rPr>
                <w:rFonts w:ascii="Times New Roman" w:cs="Times New Roman" w:eastAsia="Times New Roman" w:hAnsi="Times New Roman"/>
                <w:sz w:val="20"/>
                <w:szCs w:val="20"/>
                <w:color w:val="auto"/>
              </w:rPr>
              <w:t>125,232</w:t>
            </w:r>
          </w:p>
        </w:tc>
        <w:tc>
          <w:tcPr>
            <w:tcW w:w="1340" w:type="dxa"/>
            <w:vAlign w:val="bottom"/>
          </w:tcPr>
          <w:p>
            <w:pPr>
              <w:jc w:val="right"/>
              <w:ind w:right="361"/>
              <w:spacing w:after="0"/>
              <w:rPr>
                <w:sz w:val="20"/>
                <w:szCs w:val="20"/>
                <w:color w:val="auto"/>
              </w:rPr>
            </w:pPr>
            <w:r>
              <w:rPr>
                <w:rFonts w:ascii="Times New Roman" w:cs="Times New Roman" w:eastAsia="Times New Roman" w:hAnsi="Times New Roman"/>
                <w:sz w:val="20"/>
                <w:szCs w:val="20"/>
                <w:color w:val="auto"/>
              </w:rPr>
              <w:t>4</w:t>
            </w:r>
          </w:p>
        </w:tc>
        <w:tc>
          <w:tcPr>
            <w:tcW w:w="1460" w:type="dxa"/>
            <w:vAlign w:val="bottom"/>
          </w:tcPr>
          <w:p>
            <w:pPr>
              <w:jc w:val="right"/>
              <w:ind w:right="161"/>
              <w:spacing w:after="0"/>
              <w:rPr>
                <w:sz w:val="20"/>
                <w:szCs w:val="20"/>
                <w:color w:val="auto"/>
              </w:rPr>
            </w:pPr>
            <w:r>
              <w:rPr>
                <w:rFonts w:ascii="Times New Roman" w:cs="Times New Roman" w:eastAsia="Times New Roman" w:hAnsi="Times New Roman"/>
                <w:sz w:val="20"/>
                <w:szCs w:val="20"/>
                <w:color w:val="auto"/>
              </w:rPr>
              <w:t>549,279</w:t>
            </w:r>
          </w:p>
        </w:tc>
      </w:tr>
      <w:tr>
        <w:trPr>
          <w:trHeight w:val="27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Brian J. Ferguson</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11,163,286</w:t>
            </w:r>
          </w:p>
        </w:tc>
        <w:tc>
          <w:tcPr>
            <w:tcW w:w="132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5,261,049</w:t>
            </w:r>
          </w:p>
        </w:tc>
        <w:tc>
          <w:tcPr>
            <w:tcW w:w="134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8"/>
              </w:rPr>
              <w:t>37,282</w:t>
            </w: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549,279</w:t>
            </w:r>
          </w:p>
        </w:tc>
      </w:tr>
      <w:tr>
        <w:trPr>
          <w:trHeight w:val="27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Skyler M. Howton</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15,609,239</w:t>
            </w:r>
          </w:p>
        </w:tc>
        <w:tc>
          <w:tcPr>
            <w:tcW w:w="132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8"/>
              </w:rPr>
              <w:t>850,747</w:t>
            </w:r>
          </w:p>
        </w:tc>
        <w:tc>
          <w:tcPr>
            <w:tcW w:w="134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rPr>
              <w:t>1,631</w:t>
            </w: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549,279</w:t>
            </w:r>
          </w:p>
        </w:tc>
      </w:tr>
      <w:tr>
        <w:trPr>
          <w:trHeight w:val="270"/>
        </w:trPr>
        <w:tc>
          <w:tcPr>
            <w:tcW w:w="3700" w:type="dxa"/>
            <w:vAlign w:val="bottom"/>
          </w:tcPr>
          <w:p>
            <w:pPr>
              <w:spacing w:after="0"/>
              <w:rPr>
                <w:sz w:val="20"/>
                <w:szCs w:val="20"/>
                <w:color w:val="auto"/>
              </w:rPr>
            </w:pPr>
            <w:r>
              <w:rPr>
                <w:rFonts w:ascii="Times New Roman" w:cs="Times New Roman" w:eastAsia="Times New Roman" w:hAnsi="Times New Roman"/>
                <w:sz w:val="20"/>
                <w:szCs w:val="20"/>
                <w:color w:val="auto"/>
              </w:rPr>
              <w:t>Jeffrey K. Stouder</w:t>
            </w:r>
          </w:p>
        </w:tc>
        <w:tc>
          <w:tcPr>
            <w:tcW w:w="1080" w:type="dxa"/>
            <w:vAlign w:val="bottom"/>
          </w:tcPr>
          <w:p>
            <w:pPr>
              <w:jc w:val="right"/>
              <w:ind w:right="61"/>
              <w:spacing w:after="0"/>
              <w:rPr>
                <w:sz w:val="20"/>
                <w:szCs w:val="20"/>
                <w:color w:val="auto"/>
              </w:rPr>
            </w:pPr>
            <w:r>
              <w:rPr>
                <w:rFonts w:ascii="Times New Roman" w:cs="Times New Roman" w:eastAsia="Times New Roman" w:hAnsi="Times New Roman"/>
                <w:sz w:val="20"/>
                <w:szCs w:val="20"/>
                <w:color w:val="auto"/>
                <w:w w:val="99"/>
              </w:rPr>
              <w:t>11,497,289</w:t>
            </w:r>
          </w:p>
        </w:tc>
        <w:tc>
          <w:tcPr>
            <w:tcW w:w="1320" w:type="dxa"/>
            <w:vAlign w:val="bottom"/>
          </w:tcPr>
          <w:p>
            <w:pPr>
              <w:jc w:val="center"/>
              <w:ind w:left="101"/>
              <w:spacing w:after="0"/>
              <w:rPr>
                <w:sz w:val="20"/>
                <w:szCs w:val="20"/>
                <w:color w:val="auto"/>
              </w:rPr>
            </w:pPr>
            <w:r>
              <w:rPr>
                <w:rFonts w:ascii="Times New Roman" w:cs="Times New Roman" w:eastAsia="Times New Roman" w:hAnsi="Times New Roman"/>
                <w:sz w:val="20"/>
                <w:szCs w:val="20"/>
                <w:color w:val="auto"/>
                <w:w w:val="99"/>
              </w:rPr>
              <w:t>4,927,046</w:t>
            </w:r>
          </w:p>
        </w:tc>
        <w:tc>
          <w:tcPr>
            <w:tcW w:w="1340" w:type="dxa"/>
            <w:vAlign w:val="bottom"/>
          </w:tcPr>
          <w:p>
            <w:pPr>
              <w:jc w:val="center"/>
              <w:ind w:left="181"/>
              <w:spacing w:after="0"/>
              <w:rPr>
                <w:sz w:val="20"/>
                <w:szCs w:val="20"/>
                <w:color w:val="auto"/>
              </w:rPr>
            </w:pPr>
            <w:r>
              <w:rPr>
                <w:rFonts w:ascii="Times New Roman" w:cs="Times New Roman" w:eastAsia="Times New Roman" w:hAnsi="Times New Roman"/>
                <w:sz w:val="20"/>
                <w:szCs w:val="20"/>
                <w:color w:val="auto"/>
                <w:w w:val="98"/>
              </w:rPr>
              <w:t>37,282</w:t>
            </w:r>
          </w:p>
        </w:tc>
        <w:tc>
          <w:tcPr>
            <w:tcW w:w="1460" w:type="dxa"/>
            <w:vAlign w:val="bottom"/>
          </w:tcPr>
          <w:p>
            <w:pPr>
              <w:jc w:val="right"/>
              <w:ind w:right="201"/>
              <w:spacing w:after="0"/>
              <w:rPr>
                <w:sz w:val="20"/>
                <w:szCs w:val="20"/>
                <w:color w:val="auto"/>
              </w:rPr>
            </w:pPr>
            <w:r>
              <w:rPr>
                <w:rFonts w:ascii="Times New Roman" w:cs="Times New Roman" w:eastAsia="Times New Roman" w:hAnsi="Times New Roman"/>
                <w:sz w:val="20"/>
                <w:szCs w:val="20"/>
                <w:color w:val="auto"/>
              </w:rPr>
              <w:t>549,279</w:t>
            </w:r>
          </w:p>
        </w:tc>
      </w:tr>
    </w:tbl>
    <w:p>
      <w:pPr>
        <w:spacing w:after="0" w:line="210" w:lineRule="exact"/>
        <w:rPr>
          <w:sz w:val="20"/>
          <w:szCs w:val="20"/>
          <w:color w:val="auto"/>
        </w:rPr>
      </w:pPr>
    </w:p>
    <w:p>
      <w:pPr>
        <w:ind w:left="60" w:right="79"/>
        <w:spacing w:after="0" w:line="273" w:lineRule="auto"/>
        <w:rPr>
          <w:sz w:val="20"/>
          <w:szCs w:val="20"/>
          <w:color w:val="auto"/>
        </w:rPr>
      </w:pPr>
      <w:r>
        <w:rPr>
          <w:rFonts w:ascii="Times New Roman" w:cs="Times New Roman" w:eastAsia="Times New Roman" w:hAnsi="Times New Roman"/>
          <w:sz w:val="20"/>
          <w:szCs w:val="20"/>
          <w:b w:val="1"/>
          <w:bCs w:val="1"/>
          <w:i w:val="1"/>
          <w:iCs w:val="1"/>
          <w:color w:val="auto"/>
        </w:rPr>
        <w:t>Proposal 2</w:t>
      </w:r>
      <w:r>
        <w:rPr>
          <w:rFonts w:ascii="Times New Roman" w:cs="Times New Roman" w:eastAsia="Times New Roman" w:hAnsi="Times New Roman"/>
          <w:sz w:val="20"/>
          <w:szCs w:val="20"/>
          <w:color w:val="auto"/>
        </w:rPr>
        <w:t>: The Company’s stockholders ratified the appointment of Frazier &amp; Deeter, LLC as the Company’s</w:t>
      </w:r>
      <w:r>
        <w:rPr>
          <w:rFonts w:ascii="Times New Roman" w:cs="Times New Roman" w:eastAsia="Times New Roman" w:hAnsi="Times New Roman"/>
          <w:sz w:val="20"/>
          <w:szCs w:val="20"/>
          <w:b w:val="1"/>
          <w:bCs w:val="1"/>
          <w:i w:val="1"/>
          <w:iCs w:val="1"/>
          <w:color w:val="auto"/>
        </w:rPr>
        <w:t xml:space="preserve"> </w:t>
      </w:r>
      <w:r>
        <w:rPr>
          <w:rFonts w:ascii="Times New Roman" w:cs="Times New Roman" w:eastAsia="Times New Roman" w:hAnsi="Times New Roman"/>
          <w:sz w:val="20"/>
          <w:szCs w:val="20"/>
          <w:color w:val="auto"/>
        </w:rPr>
        <w:t>independent registered public accounting firm for the year ending December 31, 2026.</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262"/>
        </w:trPr>
        <w:tc>
          <w:tcPr>
            <w:tcW w:w="20" w:type="dxa"/>
            <w:vAlign w:val="bottom"/>
          </w:tcPr>
          <w:p>
            <w:pPr>
              <w:spacing w:after="0"/>
              <w:rPr>
                <w:sz w:val="22"/>
                <w:szCs w:val="22"/>
                <w:color w:val="auto"/>
              </w:rPr>
            </w:pPr>
          </w:p>
        </w:tc>
        <w:tc>
          <w:tcPr>
            <w:tcW w:w="24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1540" w:type="dxa"/>
            <w:vAlign w:val="bottom"/>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8"/>
              </w:rPr>
              <w:t>Broker</w:t>
            </w:r>
          </w:p>
        </w:tc>
      </w:tr>
      <w:tr>
        <w:trPr>
          <w:trHeight w:val="274"/>
        </w:trPr>
        <w:tc>
          <w:tcPr>
            <w:tcW w:w="20" w:type="dxa"/>
            <w:vAlign w:val="bottom"/>
          </w:tcPr>
          <w:p>
            <w:pPr>
              <w:spacing w:after="0"/>
              <w:rPr>
                <w:sz w:val="23"/>
                <w:szCs w:val="23"/>
                <w:color w:val="auto"/>
              </w:rPr>
            </w:pPr>
          </w:p>
        </w:tc>
        <w:tc>
          <w:tcPr>
            <w:tcW w:w="2420" w:type="dxa"/>
            <w:vAlign w:val="bottom"/>
            <w:tcBorders>
              <w:bottom w:val="single" w:sz="8" w:color="auto"/>
            </w:tcBorders>
          </w:tcPr>
          <w:p>
            <w:pPr>
              <w:jc w:val="center"/>
              <w:ind w:left="341"/>
              <w:spacing w:after="0"/>
              <w:rPr>
                <w:sz w:val="20"/>
                <w:szCs w:val="20"/>
                <w:color w:val="auto"/>
              </w:rPr>
            </w:pPr>
            <w:r>
              <w:rPr>
                <w:rFonts w:ascii="Times New Roman" w:cs="Times New Roman" w:eastAsia="Times New Roman" w:hAnsi="Times New Roman"/>
                <w:sz w:val="20"/>
                <w:szCs w:val="20"/>
                <w:b w:val="1"/>
                <w:bCs w:val="1"/>
                <w:color w:val="auto"/>
                <w:w w:val="96"/>
              </w:rPr>
              <w:t>For</w:t>
            </w:r>
          </w:p>
        </w:tc>
        <w:tc>
          <w:tcPr>
            <w:tcW w:w="980" w:type="dxa"/>
            <w:vAlign w:val="bottom"/>
            <w:tcBorders>
              <w:bottom w:val="single" w:sz="8" w:color="auto"/>
            </w:tcBorders>
          </w:tcPr>
          <w:p>
            <w:pPr>
              <w:ind w:left="54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bottom w:val="single" w:sz="8" w:color="auto"/>
            </w:tcBorders>
          </w:tcPr>
          <w:p>
            <w:pPr>
              <w:jc w:val="right"/>
              <w:ind w:right="221"/>
              <w:spacing w:after="0"/>
              <w:rPr>
                <w:sz w:val="20"/>
                <w:szCs w:val="20"/>
                <w:color w:val="auto"/>
              </w:rPr>
            </w:pPr>
            <w:r>
              <w:rPr>
                <w:rFonts w:ascii="Times New Roman" w:cs="Times New Roman" w:eastAsia="Times New Roman" w:hAnsi="Times New Roman"/>
                <w:sz w:val="20"/>
                <w:szCs w:val="20"/>
                <w:b w:val="1"/>
                <w:bCs w:val="1"/>
                <w:color w:val="auto"/>
              </w:rPr>
              <w:t>Against</w:t>
            </w:r>
          </w:p>
        </w:tc>
        <w:tc>
          <w:tcPr>
            <w:tcW w:w="74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20"/>
                <w:szCs w:val="20"/>
                <w:b w:val="1"/>
                <w:bCs w:val="1"/>
                <w:color w:val="auto"/>
              </w:rPr>
              <w:t>​​​</w:t>
            </w:r>
          </w:p>
        </w:tc>
        <w:tc>
          <w:tcPr>
            <w:tcW w:w="1260" w:type="dxa"/>
            <w:vAlign w:val="bottom"/>
            <w:tcBorders>
              <w:bottom w:val="single" w:sz="8" w:color="auto"/>
            </w:tcBorders>
          </w:tcPr>
          <w:p>
            <w:pPr>
              <w:jc w:val="right"/>
              <w:ind w:right="201"/>
              <w:spacing w:after="0"/>
              <w:rPr>
                <w:sz w:val="20"/>
                <w:szCs w:val="20"/>
                <w:color w:val="auto"/>
              </w:rPr>
            </w:pPr>
            <w:r>
              <w:rPr>
                <w:rFonts w:ascii="Times New Roman" w:cs="Times New Roman" w:eastAsia="Times New Roman" w:hAnsi="Times New Roman"/>
                <w:sz w:val="20"/>
                <w:szCs w:val="20"/>
                <w:b w:val="1"/>
                <w:bCs w:val="1"/>
                <w:color w:val="auto"/>
              </w:rPr>
              <w:t>Abstain</w:t>
            </w:r>
          </w:p>
        </w:tc>
        <w:tc>
          <w:tcPr>
            <w:tcW w:w="7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20"/>
                <w:szCs w:val="20"/>
                <w:b w:val="1"/>
                <w:bCs w:val="1"/>
                <w:color w:val="auto"/>
              </w:rPr>
              <w:t>​​​</w:t>
            </w:r>
          </w:p>
        </w:tc>
        <w:tc>
          <w:tcPr>
            <w:tcW w:w="1540" w:type="dxa"/>
            <w:vAlign w:val="bottom"/>
            <w:tcBorders>
              <w:bottom w:val="single" w:sz="8" w:color="auto"/>
            </w:tcBorders>
          </w:tcPr>
          <w:p>
            <w:pPr>
              <w:jc w:val="center"/>
              <w:ind w:right="81"/>
              <w:spacing w:after="0"/>
              <w:rPr>
                <w:sz w:val="20"/>
                <w:szCs w:val="20"/>
                <w:color w:val="auto"/>
              </w:rPr>
            </w:pPr>
            <w:r>
              <w:rPr>
                <w:rFonts w:ascii="Times New Roman" w:cs="Times New Roman" w:eastAsia="Times New Roman" w:hAnsi="Times New Roman"/>
                <w:sz w:val="20"/>
                <w:szCs w:val="20"/>
                <w:b w:val="1"/>
                <w:bCs w:val="1"/>
                <w:color w:val="auto"/>
                <w:w w:val="97"/>
              </w:rPr>
              <w:t>Non-Votes</w:t>
            </w:r>
          </w:p>
        </w:tc>
      </w:tr>
      <w:tr>
        <w:trPr>
          <w:trHeight w:val="260"/>
        </w:trPr>
        <w:tc>
          <w:tcPr>
            <w:tcW w:w="2440" w:type="dxa"/>
            <w:vAlign w:val="bottom"/>
            <w:gridSpan w:val="2"/>
          </w:tcPr>
          <w:p>
            <w:pPr>
              <w:jc w:val="right"/>
              <w:ind w:right="441"/>
              <w:spacing w:after="0"/>
              <w:rPr>
                <w:sz w:val="20"/>
                <w:szCs w:val="20"/>
                <w:color w:val="auto"/>
              </w:rPr>
            </w:pPr>
            <w:r>
              <w:rPr>
                <w:rFonts w:ascii="Times New Roman" w:cs="Times New Roman" w:eastAsia="Times New Roman" w:hAnsi="Times New Roman"/>
                <w:sz w:val="20"/>
                <w:szCs w:val="20"/>
                <w:color w:val="auto"/>
              </w:rPr>
              <w:t>16,940,401</w:t>
            </w:r>
          </w:p>
        </w:tc>
        <w:tc>
          <w:tcPr>
            <w:tcW w:w="980" w:type="dxa"/>
            <w:vAlign w:val="bottom"/>
          </w:tcPr>
          <w:p>
            <w:pPr>
              <w:spacing w:after="0"/>
              <w:rPr>
                <w:sz w:val="22"/>
                <w:szCs w:val="22"/>
                <w:color w:val="auto"/>
              </w:rPr>
            </w:pPr>
          </w:p>
        </w:tc>
        <w:tc>
          <w:tcPr>
            <w:tcW w:w="1260" w:type="dxa"/>
            <w:vAlign w:val="bottom"/>
          </w:tcPr>
          <w:p>
            <w:pPr>
              <w:jc w:val="right"/>
              <w:ind w:right="301"/>
              <w:spacing w:after="0"/>
              <w:rPr>
                <w:sz w:val="20"/>
                <w:szCs w:val="20"/>
                <w:color w:val="auto"/>
              </w:rPr>
            </w:pPr>
            <w:r>
              <w:rPr>
                <w:rFonts w:ascii="Times New Roman" w:cs="Times New Roman" w:eastAsia="Times New Roman" w:hAnsi="Times New Roman"/>
                <w:sz w:val="20"/>
                <w:szCs w:val="20"/>
                <w:color w:val="auto"/>
              </w:rPr>
              <w:t>70,299</w:t>
            </w:r>
          </w:p>
        </w:tc>
        <w:tc>
          <w:tcPr>
            <w:tcW w:w="740" w:type="dxa"/>
            <w:vAlign w:val="bottom"/>
          </w:tcPr>
          <w:p>
            <w:pPr>
              <w:spacing w:after="0"/>
              <w:rPr>
                <w:sz w:val="22"/>
                <w:szCs w:val="22"/>
                <w:color w:val="auto"/>
              </w:rPr>
            </w:pPr>
          </w:p>
        </w:tc>
        <w:tc>
          <w:tcPr>
            <w:tcW w:w="1260" w:type="dxa"/>
            <w:vAlign w:val="bottom"/>
          </w:tcPr>
          <w:p>
            <w:pPr>
              <w:jc w:val="right"/>
              <w:ind w:right="421"/>
              <w:spacing w:after="0"/>
              <w:rPr>
                <w:sz w:val="20"/>
                <w:szCs w:val="20"/>
                <w:color w:val="auto"/>
              </w:rPr>
            </w:pPr>
            <w:r>
              <w:rPr>
                <w:rFonts w:ascii="Times New Roman" w:cs="Times New Roman" w:eastAsia="Times New Roman" w:hAnsi="Times New Roman"/>
                <w:sz w:val="20"/>
                <w:szCs w:val="20"/>
                <w:color w:val="auto"/>
              </w:rPr>
              <w:t>196</w:t>
            </w:r>
          </w:p>
        </w:tc>
        <w:tc>
          <w:tcPr>
            <w:tcW w:w="700" w:type="dxa"/>
            <w:vAlign w:val="bottom"/>
          </w:tcPr>
          <w:p>
            <w:pPr>
              <w:spacing w:after="0"/>
              <w:rPr>
                <w:sz w:val="22"/>
                <w:szCs w:val="22"/>
                <w:color w:val="auto"/>
              </w:rPr>
            </w:pPr>
          </w:p>
        </w:tc>
        <w:tc>
          <w:tcPr>
            <w:tcW w:w="1540" w:type="dxa"/>
            <w:vAlign w:val="bottom"/>
          </w:tcPr>
          <w:p>
            <w:pPr>
              <w:jc w:val="right"/>
              <w:ind w:right="741"/>
              <w:spacing w:after="0"/>
              <w:rPr>
                <w:sz w:val="20"/>
                <w:szCs w:val="20"/>
                <w:color w:val="auto"/>
              </w:rPr>
            </w:pPr>
            <w:r>
              <w:rPr>
                <w:rFonts w:ascii="Times New Roman" w:cs="Times New Roman" w:eastAsia="Times New Roman" w:hAnsi="Times New Roman"/>
                <w:sz w:val="20"/>
                <w:szCs w:val="20"/>
                <w:color w:val="auto"/>
              </w:rPr>
              <w:t>0</w:t>
            </w:r>
          </w:p>
        </w:tc>
      </w:tr>
      <w:tr>
        <w:trPr>
          <w:trHeight w:val="1027"/>
        </w:trPr>
        <w:tc>
          <w:tcPr>
            <w:tcW w:w="2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4"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20"/>
          <w:szCs w:val="20"/>
          <w:b w:val="1"/>
          <w:bCs w:val="1"/>
          <w:color w:val="auto"/>
        </w:rPr>
        <w:t>SIGNATURES</w:t>
      </w:r>
    </w:p>
    <w:p>
      <w:pPr>
        <w:spacing w:after="0" w:line="232" w:lineRule="exact"/>
        <w:rPr>
          <w:sz w:val="20"/>
          <w:szCs w:val="20"/>
          <w:color w:val="auto"/>
        </w:rPr>
      </w:pPr>
    </w:p>
    <w:p>
      <w:pPr>
        <w:ind w:left="60" w:right="59"/>
        <w:spacing w:after="0" w:line="269" w:lineRule="auto"/>
        <w:rPr>
          <w:sz w:val="20"/>
          <w:szCs w:val="20"/>
          <w:color w:val="auto"/>
        </w:rPr>
      </w:pPr>
      <w:r>
        <w:rPr>
          <w:rFonts w:ascii="Times New Roman" w:cs="Times New Roman" w:eastAsia="Times New Roman" w:hAnsi="Times New Roman"/>
          <w:sz w:val="20"/>
          <w:szCs w:val="20"/>
          <w:color w:val="auto"/>
        </w:rPr>
        <w:t>Pursuant to the requirements of the Securities Exchange Act of 1934, the registrant has duly caused this report to be signed on its behalf by the undersigned hereunto duly authorized.</w:t>
      </w:r>
    </w:p>
    <w:p>
      <w:pPr>
        <w:spacing w:after="0" w:line="16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b w:val="1"/>
          <w:bCs w:val="1"/>
          <w:color w:val="auto"/>
        </w:rPr>
        <w:t>LEGACY HOUSING CORPORATION</w:t>
      </w:r>
    </w:p>
    <w:p>
      <w:pPr>
        <w:spacing w:after="0" w:line="233" w:lineRule="exact"/>
        <w:rPr>
          <w:sz w:val="20"/>
          <w:szCs w:val="20"/>
          <w:color w:val="auto"/>
        </w:rPr>
      </w:pPr>
    </w:p>
    <w:p>
      <w:pPr>
        <w:ind w:left="60"/>
        <w:spacing w:after="0"/>
        <w:tabs>
          <w:tab w:leader="none" w:pos="4480" w:val="left"/>
          <w:tab w:leader="none" w:pos="5020" w:val="left"/>
        </w:tabs>
        <w:rPr>
          <w:sz w:val="20"/>
          <w:szCs w:val="20"/>
          <w:color w:val="auto"/>
        </w:rPr>
      </w:pPr>
      <w:r>
        <w:rPr>
          <w:rFonts w:ascii="Times New Roman" w:cs="Times New Roman" w:eastAsia="Times New Roman" w:hAnsi="Times New Roman"/>
          <w:sz w:val="20"/>
          <w:szCs w:val="20"/>
          <w:color w:val="auto"/>
        </w:rPr>
        <w:t>Date: October 30, 2026</w:t>
      </w:r>
      <w:r>
        <w:rPr>
          <w:sz w:val="20"/>
          <w:szCs w:val="20"/>
          <w:color w:val="auto"/>
        </w:rPr>
        <w:tab/>
      </w:r>
      <w:r>
        <w:rPr>
          <w:rFonts w:ascii="Times New Roman" w:cs="Times New Roman" w:eastAsia="Times New Roman" w:hAnsi="Times New Roman"/>
          <w:sz w:val="20"/>
          <w:szCs w:val="20"/>
          <w:color w:val="auto"/>
        </w:rPr>
        <w:t>By:</w:t>
      </w:r>
      <w:r>
        <w:rPr>
          <w:sz w:val="20"/>
          <w:szCs w:val="20"/>
          <w:color w:val="auto"/>
        </w:rPr>
        <w:tab/>
      </w:r>
      <w:r>
        <w:rPr>
          <w:rFonts w:ascii="Times New Roman" w:cs="Times New Roman" w:eastAsia="Times New Roman" w:hAnsi="Times New Roman"/>
          <w:sz w:val="19"/>
          <w:szCs w:val="19"/>
          <w:color w:val="auto"/>
        </w:rPr>
        <w:t>/s/ Jon Langbert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3202940</wp:posOffset>
            </wp:positionH>
            <wp:positionV relativeFrom="paragraph">
              <wp:posOffset>13970</wp:posOffset>
            </wp:positionV>
            <wp:extent cx="248602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8"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Name:Jon Langbert</w:t>
      </w:r>
    </w:p>
    <w:p>
      <w:pPr>
        <w:spacing w:after="0" w:line="6"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20"/>
          <w:szCs w:val="20"/>
          <w:color w:val="auto"/>
        </w:rPr>
        <w:t>Title: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480060</wp:posOffset>
            </wp:positionV>
            <wp:extent cx="565785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1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2026-10-30T16:54:35Z</dcterms:created>
  <dcterms:modified xsi:type="dcterms:W3CDTF">2026-10-30T16:54:35Z</dcterms:modified>
</cp:coreProperties>
</file>