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92075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60325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71120</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8" w:lineRule="exact"/>
        <w:rPr>
          <w:sz w:val="24"/>
          <w:szCs w:val="24"/>
          <w:color w:val="auto"/>
        </w:rPr>
      </w:pPr>
    </w:p>
    <w:p>
      <w:pPr>
        <w:ind w:left="460" w:right="200" w:hanging="450"/>
        <w:spacing w:after="0" w:line="265"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2023</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460" w:right="180" w:hanging="450"/>
        <w:spacing w:after="0" w:line="265"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3" w:lineRule="exact"/>
        <w:rPr>
          <w:sz w:val="24"/>
          <w:szCs w:val="24"/>
          <w:color w:val="auto"/>
        </w:rPr>
      </w:pPr>
    </w:p>
    <w:p>
      <w:pPr>
        <w:ind w:left="3780"/>
        <w:spacing w:after="0"/>
        <w:tabs>
          <w:tab w:leader="none" w:pos="63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80645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Legacy Housing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60325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p>
      <w:pPr>
        <w:spacing w:after="0" w:line="298"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Texas</w:t>
      </w:r>
    </w:p>
    <w:p>
      <w:pPr>
        <w:spacing w:after="0" w:line="26" w:lineRule="exact"/>
        <w:rPr>
          <w:sz w:val="24"/>
          <w:szCs w:val="24"/>
          <w:color w:val="auto"/>
        </w:rPr>
      </w:pPr>
    </w:p>
    <w:p>
      <w:pPr>
        <w:ind w:left="166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20-2897516</w:t>
      </w:r>
    </w:p>
    <w:p>
      <w:pPr>
        <w:spacing w:after="0" w:line="26"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1920"/>
        <w:spacing w:after="0"/>
        <w:rPr>
          <w:sz w:val="20"/>
          <w:szCs w:val="20"/>
          <w:color w:val="auto"/>
        </w:rPr>
      </w:pPr>
      <w:r>
        <w:rPr>
          <w:rFonts w:ascii="Arial" w:cs="Arial" w:eastAsia="Arial" w:hAnsi="Arial"/>
          <w:sz w:val="15"/>
          <w:szCs w:val="15"/>
          <w:color w:val="auto"/>
        </w:rPr>
        <w:t>Identification No.)</w:t>
      </w:r>
    </w:p>
    <w:p>
      <w:pPr>
        <w:spacing w:after="0" w:line="144" w:lineRule="exact"/>
        <w:rPr>
          <w:sz w:val="24"/>
          <w:szCs w:val="24"/>
          <w:color w:val="auto"/>
        </w:rPr>
      </w:pPr>
    </w:p>
    <w:p>
      <w:pPr>
        <w:sectPr>
          <w:pgSz w:w="11900" w:h="16838" w:orient="portrait"/>
          <w:cols w:equalWidth="0" w:num="2">
            <w:col w:w="6380" w:space="720"/>
            <w:col w:w="3140"/>
          </w:cols>
          <w:pgMar w:left="820" w:top="665" w:right="8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1600 Airport Freeway, #100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Bedford, Texas 76022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sectPr>
          <w:pgSz w:w="11900" w:h="16838" w:orient="portrait"/>
          <w:cols w:equalWidth="0" w:num="1">
            <w:col w:w="10240"/>
          </w:cols>
          <w:pgMar w:left="820" w:top="665" w:right="839" w:bottom="1440" w:gutter="0" w:footer="0" w:header="0"/>
          <w:type w:val="continuous"/>
        </w:sectPr>
      </w:pP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(817) 799-4900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135890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73" w:lineRule="exact"/>
        <w:rPr>
          <w:sz w:val="24"/>
          <w:szCs w:val="24"/>
          <w:color w:val="auto"/>
        </w:rPr>
      </w:pPr>
    </w:p>
    <w:p>
      <w:pPr>
        <w:ind w:left="20" w:right="36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ind w:left="20" w:right="440"/>
        <w:spacing w:after="0" w:line="21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left="20" w:right="520"/>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type w:val="continuous"/>
        </w:sectPr>
      </w:pPr>
    </w:p>
    <w:p>
      <w:pPr>
        <w:spacing w:after="0" w:line="1" w:lineRule="exact"/>
        <w:rPr>
          <w:sz w:val="24"/>
          <w:szCs w:val="24"/>
          <w:color w:val="auto"/>
        </w:rPr>
      </w:pPr>
    </w:p>
    <w:p>
      <w:pPr>
        <w:ind w:left="1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560" w:space="720"/>
            <w:col w:w="2960"/>
          </w:cols>
          <w:pgMar w:left="820" w:top="665" w:right="839" w:bottom="1440" w:gutter="0" w:footer="0" w:header="0"/>
          <w:type w:val="continuous"/>
        </w:sectPr>
      </w:pPr>
    </w:p>
    <w:p>
      <w:pPr>
        <w:spacing w:after="0" w:line="44" w:lineRule="exact"/>
        <w:rPr>
          <w:sz w:val="24"/>
          <w:szCs w:val="24"/>
          <w:color w:val="auto"/>
        </w:rPr>
      </w:pPr>
    </w:p>
    <w:p>
      <w:pPr>
        <w:ind w:left="17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9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200" w:space="720"/>
            <w:col w:w="3320"/>
          </w:cols>
          <w:pgMar w:left="820" w:top="665" w:right="839" w:bottom="1440" w:gutter="0" w:footer="0" w:header="0"/>
          <w:type w:val="continuous"/>
        </w:sectPr>
      </w:pPr>
    </w:p>
    <w:p>
      <w:pPr>
        <w:spacing w:after="0" w:line="3" w:lineRule="exact"/>
        <w:rPr>
          <w:sz w:val="24"/>
          <w:szCs w:val="24"/>
          <w:color w:val="auto"/>
        </w:rPr>
      </w:pPr>
    </w:p>
    <w:p>
      <w:pPr>
        <w:ind w:left="20" w:right="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1"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97"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200" w:type="dxa"/>
            <w:vAlign w:val="bottom"/>
          </w:tcPr>
          <w:p>
            <w:pPr>
              <w:spacing w:after="0"/>
              <w:rPr>
                <w:sz w:val="14"/>
                <w:szCs w:val="14"/>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400" w:type="dxa"/>
            <w:vAlign w:val="bottom"/>
          </w:tcPr>
          <w:p>
            <w:pPr>
              <w:jc w:val="center"/>
              <w:spacing w:after="0"/>
              <w:rPr>
                <w:sz w:val="20"/>
                <w:szCs w:val="20"/>
                <w:color w:val="auto"/>
              </w:rPr>
            </w:pPr>
            <w:r>
              <w:rPr>
                <w:rFonts w:ascii="Arial" w:cs="Arial" w:eastAsia="Arial" w:hAnsi="Arial"/>
                <w:sz w:val="14"/>
                <w:szCs w:val="14"/>
                <w:color w:val="auto"/>
                <w:w w:val="93"/>
              </w:rPr>
              <w:t>Common Stock ($0.001 par value)</w:t>
            </w:r>
          </w:p>
        </w:tc>
        <w:tc>
          <w:tcPr>
            <w:tcW w:w="180" w:type="dxa"/>
            <w:vAlign w:val="bottom"/>
          </w:tcPr>
          <w:p>
            <w:pPr>
              <w:spacing w:after="0"/>
              <w:rPr>
                <w:sz w:val="15"/>
                <w:szCs w:val="15"/>
                <w:color w:val="auto"/>
              </w:rPr>
            </w:pPr>
          </w:p>
        </w:tc>
        <w:tc>
          <w:tcPr>
            <w:tcW w:w="3080" w:type="dxa"/>
            <w:vAlign w:val="bottom"/>
          </w:tcPr>
          <w:p>
            <w:pPr>
              <w:jc w:val="center"/>
              <w:spacing w:after="0"/>
              <w:rPr>
                <w:sz w:val="20"/>
                <w:szCs w:val="20"/>
                <w:color w:val="auto"/>
              </w:rPr>
            </w:pPr>
            <w:r>
              <w:rPr>
                <w:rFonts w:ascii="Arial" w:cs="Arial" w:eastAsia="Arial" w:hAnsi="Arial"/>
                <w:sz w:val="14"/>
                <w:szCs w:val="14"/>
                <w:color w:val="auto"/>
                <w:w w:val="99"/>
              </w:rPr>
              <w:t>LEGH</w:t>
            </w:r>
          </w:p>
        </w:tc>
        <w:tc>
          <w:tcPr>
            <w:tcW w:w="20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2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There were 24,378,201 shares of Common Stock ($0.001 par value) outstanding as of May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566420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95250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7440" w:type="dxa"/>
            <w:vAlign w:val="bottom"/>
            <w:gridSpan w:val="15"/>
          </w:tcPr>
          <w:p>
            <w:pPr>
              <w:ind w:left="20"/>
              <w:spacing w:after="0"/>
              <w:rPr>
                <w:sz w:val="20"/>
                <w:szCs w:val="20"/>
                <w:color w:val="auto"/>
              </w:rPr>
            </w:pPr>
            <w:r>
              <w:rPr>
                <w:rFonts w:ascii="Arial" w:cs="Arial" w:eastAsia="Arial" w:hAnsi="Arial"/>
                <w:sz w:val="18"/>
                <w:szCs w:val="18"/>
                <w:color w:val="0000EE"/>
              </w:rPr>
              <w:t>Table of Contents</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63"/>
        </w:trPr>
        <w:tc>
          <w:tcPr>
            <w:tcW w:w="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gridSpan w:val="5"/>
          </w:tcPr>
          <w:p>
            <w:pPr>
              <w:jc w:val="center"/>
              <w:ind w:right="1260"/>
              <w:spacing w:after="0"/>
              <w:rPr>
                <w:sz w:val="20"/>
                <w:szCs w:val="20"/>
                <w:color w:val="auto"/>
              </w:rPr>
            </w:pPr>
            <w:r>
              <w:rPr>
                <w:rFonts w:ascii="Arial" w:cs="Arial" w:eastAsia="Arial" w:hAnsi="Arial"/>
                <w:sz w:val="18"/>
                <w:szCs w:val="18"/>
                <w:b w:val="1"/>
                <w:bCs w:val="1"/>
                <w:color w:val="auto"/>
              </w:rPr>
              <w:t>LEGACY HOUSING CORPORATION</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40" w:type="dxa"/>
            <w:vAlign w:val="bottom"/>
            <w:gridSpan w:val="2"/>
          </w:tcPr>
          <w:p>
            <w:pPr>
              <w:jc w:val="center"/>
              <w:ind w:right="192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9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Page</w:t>
            </w:r>
          </w:p>
        </w:tc>
      </w:tr>
      <w:tr>
        <w:trPr>
          <w:trHeight w:val="20"/>
        </w:trPr>
        <w:tc>
          <w:tcPr>
            <w:tcW w:w="2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440" w:type="dxa"/>
            <w:vAlign w:val="bottom"/>
            <w:gridSpan w:val="15"/>
          </w:tcPr>
          <w:p>
            <w:pPr>
              <w:ind w:left="20"/>
              <w:spacing w:after="0" w:line="196" w:lineRule="exact"/>
              <w:rPr>
                <w:sz w:val="20"/>
                <w:szCs w:val="20"/>
                <w:color w:val="auto"/>
              </w:rPr>
            </w:pPr>
            <w:r>
              <w:rPr>
                <w:rFonts w:ascii="Arial" w:cs="Arial" w:eastAsia="Arial" w:hAnsi="Arial"/>
                <w:sz w:val="18"/>
                <w:szCs w:val="18"/>
                <w:color w:val="0000EE"/>
              </w:rPr>
              <w:t>PART I - FINANCIAL INFORMATION</w:t>
            </w:r>
          </w:p>
        </w:tc>
        <w:tc>
          <w:tcPr>
            <w:tcW w:w="106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3"/>
          </w:tcPr>
          <w:p>
            <w:pPr>
              <w:spacing w:after="0"/>
              <w:rPr>
                <w:sz w:val="20"/>
                <w:szCs w:val="20"/>
                <w:color w:val="auto"/>
              </w:rPr>
            </w:pPr>
            <w:r>
              <w:rPr>
                <w:rFonts w:ascii="Arial" w:cs="Arial" w:eastAsia="Arial" w:hAnsi="Arial"/>
                <w:sz w:val="18"/>
                <w:szCs w:val="18"/>
                <w:color w:val="0000EE"/>
              </w:rPr>
              <w:t>Item 1.   Financial Statements (Unaudited)</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3"/>
          </w:tcPr>
          <w:p>
            <w:pPr>
              <w:spacing w:after="0"/>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3"/>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3"/>
          </w:tcPr>
          <w:p>
            <w:pPr>
              <w:spacing w:after="0"/>
              <w:rPr>
                <w:sz w:val="20"/>
                <w:szCs w:val="20"/>
                <w:color w:val="auto"/>
              </w:rPr>
            </w:pPr>
            <w:r>
              <w:rPr>
                <w:rFonts w:ascii="Arial" w:cs="Arial" w:eastAsia="Arial" w:hAnsi="Arial"/>
                <w:sz w:val="18"/>
                <w:szCs w:val="18"/>
                <w:color w:val="0000EE"/>
              </w:rPr>
              <w:t>Item 4.   Controls and Procedures</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6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7440" w:type="dxa"/>
            <w:vAlign w:val="bottom"/>
            <w:gridSpan w:val="15"/>
          </w:tcPr>
          <w:p>
            <w:pPr>
              <w:ind w:left="20"/>
              <w:spacing w:after="0"/>
              <w:rPr>
                <w:sz w:val="20"/>
                <w:szCs w:val="20"/>
                <w:color w:val="auto"/>
              </w:rPr>
            </w:pPr>
            <w:r>
              <w:rPr>
                <w:rFonts w:ascii="Arial" w:cs="Arial" w:eastAsia="Arial" w:hAnsi="Arial"/>
                <w:sz w:val="18"/>
                <w:szCs w:val="18"/>
                <w:color w:val="0000EE"/>
              </w:rPr>
              <w:t>PART II - OTHER INFORMATION</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87"/>
              </w:rPr>
              <w:t>Item 1.</w:t>
            </w:r>
          </w:p>
        </w:tc>
        <w:tc>
          <w:tcPr>
            <w:tcW w:w="24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Legal Proceedings</w:t>
            </w:r>
          </w:p>
        </w:tc>
        <w:tc>
          <w:tcPr>
            <w:tcW w:w="4800" w:type="dxa"/>
            <w:vAlign w:val="bottom"/>
            <w:gridSpan w:val="6"/>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3"/>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3"/>
          </w:tcPr>
          <w:p>
            <w:pPr>
              <w:spacing w:after="0"/>
              <w:rPr>
                <w:sz w:val="20"/>
                <w:szCs w:val="20"/>
                <w:color w:val="auto"/>
              </w:rPr>
            </w:pPr>
            <w:r>
              <w:rPr>
                <w:rFonts w:ascii="Arial" w:cs="Arial" w:eastAsia="Arial" w:hAnsi="Arial"/>
                <w:sz w:val="18"/>
                <w:szCs w:val="18"/>
                <w:color w:val="0000EE"/>
              </w:rPr>
              <w:t>Item 3.   Defaults Upon Senior Securities</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Item 4.</w:t>
            </w:r>
          </w:p>
        </w:tc>
        <w:tc>
          <w:tcPr>
            <w:tcW w:w="24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0"/>
              </w:rPr>
              <w:t>Mine Safety Disclosures</w:t>
            </w:r>
          </w:p>
        </w:tc>
        <w:tc>
          <w:tcPr>
            <w:tcW w:w="560" w:type="dxa"/>
            <w:vAlign w:val="bottom"/>
            <w:tcBorders>
              <w:top w:val="single" w:sz="8" w:color="0000EE"/>
            </w:tcBorders>
            <w:gridSpan w:val="2"/>
          </w:tcPr>
          <w:p>
            <w:pPr>
              <w:spacing w:after="0"/>
              <w:rPr>
                <w:sz w:val="24"/>
                <w:szCs w:val="24"/>
                <w:color w:val="auto"/>
              </w:rPr>
            </w:pPr>
          </w:p>
        </w:tc>
        <w:tc>
          <w:tcPr>
            <w:tcW w:w="4120" w:type="dxa"/>
            <w:vAlign w:val="bottom"/>
            <w:gridSpan w:val="3"/>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0000EE"/>
                <w:w w:val="87"/>
              </w:rPr>
              <w:t>Item 5.</w:t>
            </w:r>
          </w:p>
        </w:tc>
        <w:tc>
          <w:tcPr>
            <w:tcW w:w="240" w:type="dxa"/>
            <w:vAlign w:val="bottom"/>
          </w:tcPr>
          <w:p>
            <w:pPr>
              <w:spacing w:after="0"/>
              <w:rPr>
                <w:sz w:val="24"/>
                <w:szCs w:val="24"/>
                <w:color w:val="auto"/>
              </w:rPr>
            </w:pPr>
          </w:p>
        </w:tc>
        <w:tc>
          <w:tcPr>
            <w:tcW w:w="6440" w:type="dxa"/>
            <w:vAlign w:val="bottom"/>
            <w:gridSpan w:val="11"/>
          </w:tcPr>
          <w:p>
            <w:pPr>
              <w:spacing w:after="0"/>
              <w:rPr>
                <w:sz w:val="20"/>
                <w:szCs w:val="20"/>
                <w:color w:val="auto"/>
              </w:rPr>
            </w:pPr>
            <w:r>
              <w:rPr>
                <w:rFonts w:ascii="Arial" w:cs="Arial" w:eastAsia="Arial" w:hAnsi="Arial"/>
                <w:sz w:val="18"/>
                <w:szCs w:val="18"/>
                <w:color w:val="0000EE"/>
              </w:rPr>
              <w:t>Other Information</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Item 6.</w:t>
            </w:r>
          </w:p>
        </w:tc>
        <w:tc>
          <w:tcPr>
            <w:tcW w:w="240" w:type="dxa"/>
            <w:vAlign w:val="bottom"/>
          </w:tcPr>
          <w:p>
            <w:pPr>
              <w:spacing w:after="0"/>
              <w:rPr>
                <w:sz w:val="24"/>
                <w:szCs w:val="24"/>
                <w:color w:val="auto"/>
              </w:rPr>
            </w:pPr>
          </w:p>
        </w:tc>
        <w:tc>
          <w:tcPr>
            <w:tcW w:w="6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Exhibits</w:t>
            </w:r>
          </w:p>
        </w:tc>
        <w:tc>
          <w:tcPr>
            <w:tcW w:w="720" w:type="dxa"/>
            <w:vAlign w:val="bottom"/>
            <w:tcBorders>
              <w:top w:val="single" w:sz="8" w:color="0000EE"/>
            </w:tcBorders>
          </w:tcPr>
          <w:p>
            <w:pPr>
              <w:spacing w:after="0"/>
              <w:rPr>
                <w:sz w:val="24"/>
                <w:szCs w:val="24"/>
                <w:color w:val="auto"/>
              </w:rPr>
            </w:pPr>
          </w:p>
        </w:tc>
        <w:tc>
          <w:tcPr>
            <w:tcW w:w="5120" w:type="dxa"/>
            <w:vAlign w:val="bottom"/>
            <w:gridSpan w:val="7"/>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7440" w:type="dxa"/>
            <w:vAlign w:val="bottom"/>
            <w:gridSpan w:val="15"/>
          </w:tcPr>
          <w:p>
            <w:pPr>
              <w:ind w:left="20"/>
              <w:spacing w:after="0"/>
              <w:rPr>
                <w:sz w:val="20"/>
                <w:szCs w:val="20"/>
                <w:color w:val="auto"/>
              </w:rPr>
            </w:pPr>
            <w:r>
              <w:rPr>
                <w:rFonts w:ascii="Arial" w:cs="Arial" w:eastAsia="Arial" w:hAnsi="Arial"/>
                <w:sz w:val="18"/>
                <w:szCs w:val="18"/>
                <w:color w:val="0000EE"/>
              </w:rPr>
              <w:t>SIGNATURES</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35</w:t>
            </w:r>
          </w:p>
        </w:tc>
      </w:tr>
      <w:tr>
        <w:trPr>
          <w:trHeight w:val="1675"/>
        </w:trPr>
        <w:tc>
          <w:tcPr>
            <w:tcW w:w="2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LEGACY HOUSING CORPORATION</w:t>
      </w:r>
    </w:p>
    <w:p>
      <w:pPr>
        <w:spacing w:after="0" w:line="11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r>
      <w:tr>
        <w:trPr>
          <w:trHeight w:val="196"/>
        </w:trPr>
        <w:tc>
          <w:tcPr>
            <w:tcW w:w="6680" w:type="dxa"/>
            <w:vAlign w:val="bottom"/>
            <w:shd w:val="clear" w:color="auto" w:fill="CCEEFF"/>
          </w:tcPr>
          <w:p>
            <w:pPr>
              <w:ind w:left="3040"/>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w:t>
            </w:r>
          </w:p>
        </w:tc>
        <w:tc>
          <w:tcPr>
            <w:tcW w:w="42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Held to maturity 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8,412</w:t>
            </w: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receivable,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4,873</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Current portion of contracts - dealer financed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30,447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29,441</w:t>
            </w: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portion of consumer loans receivable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6,801</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Current portion of notes receivable from mobile home parks (“MHP”)</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9,906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9,670</w:t>
            </w: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portion of other notes receivable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8,927</w:t>
            </w:r>
          </w:p>
        </w:tc>
      </w:tr>
      <w:tr>
        <w:trPr>
          <w:trHeight w:val="211"/>
        </w:trPr>
        <w:tc>
          <w:tcPr>
            <w:tcW w:w="668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32,075</w:t>
            </w:r>
          </w:p>
        </w:tc>
      </w:tr>
      <w:tr>
        <w:trPr>
          <w:trHeight w:val="207"/>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w:t>
            </w:r>
          </w:p>
        </w:tc>
      </w:tr>
      <w:tr>
        <w:trPr>
          <w:trHeight w:val="196"/>
        </w:trPr>
        <w:tc>
          <w:tcPr>
            <w:tcW w:w="66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107,780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107,081</w:t>
            </w: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 dealer financed,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Consumer loans receivable,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134,423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132,208</w:t>
            </w: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from MHP,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144,431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133,072</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Other notes receivable,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16,364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13,795</w:t>
            </w: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Other assets - leased mobile homes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8,073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8,824</w:t>
            </w: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 - operating leases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1,482</w:t>
            </w:r>
          </w:p>
        </w:tc>
      </w:tr>
      <w:tr>
        <w:trPr>
          <w:trHeight w:val="20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30,597</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30,106</w:t>
            </w:r>
          </w:p>
        </w:tc>
      </w:tr>
      <w:tr>
        <w:trPr>
          <w:trHeight w:val="196"/>
        </w:trPr>
        <w:tc>
          <w:tcPr>
            <w:tcW w:w="668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454,951</w:t>
            </w:r>
          </w:p>
        </w:tc>
        <w:tc>
          <w:tcPr>
            <w:tcW w:w="42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436,813</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680" w:type="dxa"/>
            <w:vAlign w:val="bottom"/>
            <w:shd w:val="clear" w:color="auto" w:fill="CCEEFF"/>
          </w:tcPr>
          <w:p>
            <w:pPr>
              <w:ind w:left="2000"/>
              <w:spacing w:after="0"/>
              <w:rPr>
                <w:sz w:val="20"/>
                <w:szCs w:val="20"/>
                <w:color w:val="auto"/>
              </w:rPr>
            </w:pPr>
            <w:r>
              <w:rPr>
                <w:rFonts w:ascii="Arial" w:cs="Arial" w:eastAsia="Arial" w:hAnsi="Arial"/>
                <w:sz w:val="16"/>
                <w:szCs w:val="16"/>
                <w:b w:val="1"/>
                <w:bCs w:val="1"/>
                <w:color w:val="auto"/>
              </w:rPr>
              <w:t>Liabilities and Stockholders' Equity</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42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4,549</w:t>
            </w:r>
          </w:p>
        </w:tc>
      </w:tr>
      <w:tr>
        <w:trPr>
          <w:trHeight w:val="211"/>
        </w:trPr>
        <w:tc>
          <w:tcPr>
            <w:tcW w:w="668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16,895</w:t>
            </w:r>
          </w:p>
        </w:tc>
      </w:tr>
      <w:tr>
        <w:trPr>
          <w:trHeight w:val="207"/>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Customer deposits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9,715</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Escrow liability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9,272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9,653</w:t>
            </w: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obligations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Lines of credit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7,838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46,661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41,462</w:t>
            </w:r>
          </w:p>
        </w:tc>
      </w:tr>
      <w:tr>
        <w:trPr>
          <w:trHeight w:val="203"/>
        </w:trPr>
        <w:tc>
          <w:tcPr>
            <w:tcW w:w="6680" w:type="dxa"/>
            <w:vAlign w:val="bottom"/>
          </w:tcPr>
          <w:p>
            <w:pPr>
              <w:ind w:left="20"/>
              <w:spacing w:after="0" w:line="184" w:lineRule="exact"/>
              <w:rPr>
                <w:sz w:val="20"/>
                <w:szCs w:val="20"/>
                <w:color w:val="auto"/>
              </w:rPr>
            </w:pPr>
            <w:r>
              <w:rPr>
                <w:rFonts w:ascii="Arial" w:cs="Arial" w:eastAsia="Arial" w:hAnsi="Arial"/>
                <w:sz w:val="16"/>
                <w:szCs w:val="16"/>
                <w:color w:val="auto"/>
              </w:rPr>
              <w:t>Long</w:t>
            </w:r>
            <w:r>
              <w:rPr>
                <w:rFonts w:ascii="MS PGothic" w:cs="MS PGothic" w:eastAsia="MS PGothic" w:hAnsi="MS PGothic"/>
                <w:sz w:val="16"/>
                <w:szCs w:val="16"/>
                <w:color w:val="auto"/>
              </w:rPr>
              <w:t>‑</w:t>
            </w:r>
            <w:r>
              <w:rPr>
                <w:rFonts w:ascii="Arial" w:cs="Arial" w:eastAsia="Arial" w:hAnsi="Arial"/>
                <w:sz w:val="16"/>
                <w:szCs w:val="16"/>
                <w:color w:val="auto"/>
              </w:rPr>
              <w:t>term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obligations, less current portion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Lines of credit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2,545</w:t>
            </w: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Dealer incentive liability</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5,596</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5,516</w:t>
            </w:r>
          </w:p>
        </w:tc>
      </w:tr>
      <w:tr>
        <w:trPr>
          <w:trHeight w:val="196"/>
        </w:trPr>
        <w:tc>
          <w:tcPr>
            <w:tcW w:w="6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57,078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54,709</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Commitments and contingencies (Note 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w w:val="95"/>
              </w:rPr>
              <w:t>Preferred stock, $.001 par value, 10,000,000 shares authorized: no shares issued or outstanding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Common stock, $.001 par value, 90,000,000 shares authorized; 24,823,266 and 24,814,695 issued</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24,378,201 and 24,369,630 outstanding at March 31, 2023 and December 31, 2022,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2"/>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respectively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1"/>
        </w:trPr>
        <w:tc>
          <w:tcPr>
            <w:tcW w:w="6680" w:type="dxa"/>
            <w:vAlign w:val="bottom"/>
          </w:tcPr>
          <w:p>
            <w:pPr>
              <w:ind w:left="120"/>
              <w:spacing w:after="0"/>
              <w:rPr>
                <w:sz w:val="20"/>
                <w:szCs w:val="20"/>
                <w:color w:val="auto"/>
              </w:rPr>
            </w:pPr>
            <w:r>
              <w:rPr>
                <w:rFonts w:ascii="Arial" w:cs="Arial" w:eastAsia="Arial" w:hAnsi="Arial"/>
                <w:sz w:val="16"/>
                <w:szCs w:val="16"/>
                <w:color w:val="auto"/>
              </w:rPr>
              <w:t>Treasury stock at cost, 445,065 shares at March 31, 2023 and December 31, 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(4,477)</w:t>
            </w:r>
          </w:p>
        </w:tc>
      </w:tr>
      <w:tr>
        <w:trPr>
          <w:trHeight w:val="207"/>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180,555</w:t>
            </w:r>
          </w:p>
        </w:tc>
      </w:tr>
      <w:tr>
        <w:trPr>
          <w:trHeight w:val="203"/>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Retained earnings</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221,574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205,996</w:t>
            </w:r>
          </w:p>
        </w:tc>
      </w:tr>
      <w:tr>
        <w:trPr>
          <w:trHeight w:val="196"/>
        </w:trPr>
        <w:tc>
          <w:tcPr>
            <w:tcW w:w="6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stockholders' equity</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397,873</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382,104</w:t>
            </w:r>
          </w:p>
        </w:tc>
      </w:tr>
      <w:tr>
        <w:trPr>
          <w:trHeight w:val="196"/>
        </w:trPr>
        <w:tc>
          <w:tcPr>
            <w:tcW w:w="668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454,951</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436,813</w:t>
            </w: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2"/>
        </w:trPr>
        <w:tc>
          <w:tcPr>
            <w:tcW w:w="4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43,318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51,787</w:t>
            </w: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6,765</w:t>
            </w: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1,376</w:t>
            </w:r>
          </w:p>
        </w:tc>
      </w:tr>
      <w:tr>
        <w:trPr>
          <w:trHeight w:val="20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59,928</w:t>
            </w:r>
          </w:p>
        </w:tc>
      </w:tr>
      <w:tr>
        <w:trPr>
          <w:trHeight w:val="210"/>
        </w:trPr>
        <w:tc>
          <w:tcPr>
            <w:tcW w:w="4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33,727</w:t>
            </w: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7,659</w:t>
            </w:r>
          </w:p>
        </w:tc>
      </w:tr>
      <w:tr>
        <w:trPr>
          <w:trHeight w:val="216"/>
        </w:trPr>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r>
      <w:tr>
        <w:trPr>
          <w:trHeight w:val="210"/>
        </w:trPr>
        <w:tc>
          <w:tcPr>
            <w:tcW w:w="49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18,267</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16"/>
        </w:trPr>
        <w:tc>
          <w:tcPr>
            <w:tcW w:w="496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853</w:t>
            </w: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9"/>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w:t>
            </w:r>
          </w:p>
        </w:tc>
      </w:tr>
      <w:tr>
        <w:trPr>
          <w:trHeight w:val="209"/>
        </w:trPr>
        <w:tc>
          <w:tcPr>
            <w:tcW w:w="496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19,650</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r>
      <w:tr>
        <w:trPr>
          <w:trHeight w:val="20"/>
        </w:trPr>
        <w:tc>
          <w:tcPr>
            <w:tcW w:w="49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r>
      <w:tr>
        <w:trPr>
          <w:trHeight w:val="209"/>
        </w:trPr>
        <w:tc>
          <w:tcPr>
            <w:tcW w:w="4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16,276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16,092</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 outstanding:</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Basic</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24,374,677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w w:val="93"/>
              </w:rPr>
              <w:t>24,351,223</w:t>
            </w: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25,177,502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24,661,426</w:t>
            </w: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0.66</w:t>
            </w:r>
          </w:p>
        </w:tc>
      </w:tr>
      <w:tr>
        <w:trPr>
          <w:trHeight w:val="230"/>
        </w:trPr>
        <w:tc>
          <w:tcPr>
            <w:tcW w:w="49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0.65</w:t>
            </w:r>
          </w:p>
        </w:tc>
      </w:tr>
    </w:tbl>
    <w:p>
      <w:pPr>
        <w:spacing w:after="0" w:line="18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16,276</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16,092</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Depreciation and amortization expense</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deferred revenue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Amortization of treasury note discount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lines of credit cost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Provision for accounts and notes receivable</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inventory</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Gain from sale of leased property</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operating lease right of use asset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Share-based payment expense</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4,007</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(1,843)</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loans activity, net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Notes receivable MHP activity, net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(7,336)</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Dealer inventory loan activity, net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(7,484)</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(4,058)</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Right of use activity, net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Escrow liability</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r>
      <w:tr>
        <w:trPr>
          <w:trHeight w:val="216"/>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Dealer incentive liability</w:t>
            </w: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6620" w:type="dxa"/>
            <w:vAlign w:val="bottom"/>
          </w:tcPr>
          <w:p>
            <w:pPr>
              <w:ind w:left="340"/>
              <w:spacing w:after="0"/>
              <w:rPr>
                <w:sz w:val="20"/>
                <w:szCs w:val="20"/>
                <w:color w:val="auto"/>
              </w:rPr>
            </w:pPr>
            <w:r>
              <w:rPr>
                <w:rFonts w:ascii="Arial" w:cs="Arial" w:eastAsia="Arial" w:hAnsi="Arial"/>
                <w:sz w:val="18"/>
                <w:szCs w:val="18"/>
                <w:color w:val="auto"/>
              </w:rPr>
              <w:t>Net cash (used in) provided by operating activities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(1,057)</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(863)</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leased property</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Issuance of notes receivable</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(1,561)</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collections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Collections from purchased loans</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r>
      <w:tr>
        <w:trPr>
          <w:trHeight w:val="210"/>
        </w:trPr>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other liabilities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Proceeds from lines of credit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20,331</w:t>
            </w:r>
          </w:p>
        </w:tc>
        <w:tc>
          <w:tcPr>
            <w:tcW w:w="140" w:type="dxa"/>
            <w:vAlign w:val="bottom"/>
          </w:tcPr>
          <w:p>
            <w:pPr>
              <w:spacing w:after="0"/>
              <w:rPr>
                <w:sz w:val="18"/>
                <w:szCs w:val="18"/>
                <w:color w:val="auto"/>
              </w:rPr>
            </w:pPr>
          </w:p>
        </w:tc>
      </w:tr>
      <w:tr>
        <w:trPr>
          <w:trHeight w:val="216"/>
        </w:trPr>
        <w:tc>
          <w:tcPr>
            <w:tcW w:w="6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 on lines of credit</w:t>
            </w: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(23,248)</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6620" w:type="dxa"/>
            <w:vAlign w:val="bottom"/>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40" w:type="dxa"/>
            <w:vAlign w:val="bottom"/>
          </w:tcPr>
          <w:p>
            <w:pPr>
              <w:spacing w:after="0"/>
              <w:rPr>
                <w:sz w:val="18"/>
                <w:szCs w:val="18"/>
                <w:color w:val="auto"/>
              </w:rPr>
            </w:pPr>
          </w:p>
        </w:tc>
      </w:tr>
      <w:tr>
        <w:trPr>
          <w:trHeight w:val="25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40" w:type="dxa"/>
            <w:vAlign w:val="bottom"/>
            <w:shd w:val="clear" w:color="auto" w:fill="CCEEFF"/>
          </w:tcPr>
          <w:p>
            <w:pPr>
              <w:spacing w:after="0"/>
              <w:rPr>
                <w:sz w:val="21"/>
                <w:szCs w:val="21"/>
                <w:color w:val="auto"/>
              </w:rPr>
            </w:pPr>
          </w:p>
        </w:tc>
      </w:tr>
      <w:tr>
        <w:trPr>
          <w:trHeight w:val="196"/>
        </w:trPr>
        <w:tc>
          <w:tcPr>
            <w:tcW w:w="662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5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22"/>
                <w:szCs w:val="22"/>
                <w:color w:val="auto"/>
              </w:rPr>
            </w:pPr>
          </w:p>
        </w:tc>
      </w:tr>
      <w:tr>
        <w:trPr>
          <w:trHeight w:val="196"/>
        </w:trPr>
        <w:tc>
          <w:tcPr>
            <w:tcW w:w="662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color w:val="auto"/>
              </w:rPr>
              <w:t>Cash paid for taxes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3,827</w:t>
            </w: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3,064</w:t>
            </w:r>
          </w:p>
        </w:tc>
        <w:tc>
          <w:tcPr>
            <w:tcW w:w="140" w:type="dxa"/>
            <w:vAlign w:val="bottom"/>
            <w:tcBorders>
              <w:top w:val="single" w:sz="8" w:color="CCEEFF"/>
            </w:tcBorders>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Treasury</w:t>
            </w:r>
          </w:p>
        </w:tc>
        <w:tc>
          <w:tcPr>
            <w:tcW w:w="120" w:type="dxa"/>
            <w:vAlign w:val="bottom"/>
          </w:tcPr>
          <w:p>
            <w:pPr>
              <w:spacing w:after="0"/>
              <w:rPr>
                <w:sz w:val="14"/>
                <w:szCs w:val="1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gridSpan w:val="2"/>
          </w:tcPr>
          <w:p>
            <w:pPr>
              <w:spacing w:after="0"/>
              <w:rPr>
                <w:sz w:val="12"/>
                <w:szCs w:val="12"/>
                <w:color w:val="auto"/>
              </w:rPr>
            </w:pPr>
          </w:p>
        </w:tc>
        <w:tc>
          <w:tcPr>
            <w:tcW w:w="5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2"/>
              </w:rPr>
              <w:t>stock</w:t>
            </w:r>
          </w:p>
        </w:tc>
        <w:tc>
          <w:tcPr>
            <w:tcW w:w="140" w:type="dxa"/>
            <w:vAlign w:val="bottom"/>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paid-in-capital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24,654,621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(4,477)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175,623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$ 138,223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$ 309,394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540" w:type="dxa"/>
            <w:vAlign w:val="bottom"/>
            <w:tcBorders>
              <w:top w:val="single" w:sz="8" w:color="CCEEFF"/>
            </w:tcBorders>
          </w:tcPr>
          <w:p>
            <w:pPr>
              <w:ind w:left="100"/>
              <w:spacing w:after="0" w:line="169" w:lineRule="exact"/>
              <w:rPr>
                <w:sz w:val="20"/>
                <w:szCs w:val="20"/>
                <w:color w:val="auto"/>
              </w:rPr>
            </w:pPr>
            <w:r>
              <w:rPr>
                <w:rFonts w:ascii="Arial" w:cs="Arial" w:eastAsia="Arial" w:hAnsi="Arial"/>
                <w:sz w:val="18"/>
                <w:szCs w:val="18"/>
                <w:color w:val="auto"/>
                <w:w w:val="91"/>
              </w:rPr>
              <w:t>Share based compensation expense and stock</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158,571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Balances, March 31, 2022</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24,813,192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(4,477)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$ 154,315</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$ 329,493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stock</w:t>
            </w: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paid-in-capital</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2022</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24,814,695</w:t>
            </w:r>
          </w:p>
        </w:tc>
        <w:tc>
          <w:tcPr>
            <w:tcW w:w="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(4,477)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180,555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$ 205,996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$ 382,104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540" w:type="dxa"/>
            <w:vAlign w:val="bottom"/>
            <w:tcBorders>
              <w:top w:val="single" w:sz="8" w:color="CCEEFF"/>
            </w:tcBorders>
          </w:tcPr>
          <w:p>
            <w:pPr>
              <w:ind w:left="120"/>
              <w:spacing w:after="0" w:line="169" w:lineRule="exact"/>
              <w:rPr>
                <w:sz w:val="20"/>
                <w:szCs w:val="20"/>
                <w:color w:val="auto"/>
              </w:rPr>
            </w:pPr>
            <w:r>
              <w:rPr>
                <w:rFonts w:ascii="Arial" w:cs="Arial" w:eastAsia="Arial" w:hAnsi="Arial"/>
                <w:sz w:val="18"/>
                <w:szCs w:val="18"/>
                <w:color w:val="auto"/>
                <w:w w:val="99"/>
              </w:rPr>
              <w:t>Cumulative change in accounting principle,</w:t>
            </w:r>
          </w:p>
        </w:tc>
        <w:tc>
          <w:tcPr>
            <w:tcW w:w="12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vMerge w:val="restart"/>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vMerge w:val="restart"/>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vMerge w:val="restart"/>
          </w:tcPr>
          <w:p>
            <w:pPr>
              <w:spacing w:after="0"/>
              <w:rPr>
                <w:sz w:val="14"/>
                <w:szCs w:val="14"/>
                <w:color w:val="auto"/>
              </w:rPr>
            </w:pPr>
          </w:p>
        </w:tc>
        <w:tc>
          <w:tcPr>
            <w:tcW w:w="140" w:type="dxa"/>
            <w:vAlign w:val="bottom"/>
            <w:tcBorders>
              <w:top w:val="single" w:sz="8" w:color="CCEEFF"/>
            </w:tcBorders>
            <w:vMerge w:val="restart"/>
          </w:tcPr>
          <w:p>
            <w:pPr>
              <w:spacing w:after="0"/>
              <w:rPr>
                <w:sz w:val="14"/>
                <w:szCs w:val="14"/>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(698)</w:t>
            </w:r>
          </w:p>
        </w:tc>
        <w:tc>
          <w:tcPr>
            <w:tcW w:w="140" w:type="dxa"/>
            <w:vAlign w:val="bottom"/>
            <w:tcBorders>
              <w:top w:val="single" w:sz="8" w:color="CCEEFF"/>
            </w:tcBorders>
            <w:vMerge w:val="restart"/>
          </w:tcPr>
          <w:p>
            <w:pPr>
              <w:spacing w:after="0"/>
              <w:rPr>
                <w:sz w:val="14"/>
                <w:szCs w:val="14"/>
                <w:color w:val="auto"/>
              </w:rPr>
            </w:pPr>
          </w:p>
        </w:tc>
        <w:tc>
          <w:tcPr>
            <w:tcW w:w="8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7"/>
        </w:trPr>
        <w:tc>
          <w:tcPr>
            <w:tcW w:w="3540" w:type="dxa"/>
            <w:vAlign w:val="bottom"/>
          </w:tcPr>
          <w:p>
            <w:pPr>
              <w:ind w:left="120"/>
              <w:spacing w:after="0"/>
              <w:rPr>
                <w:sz w:val="20"/>
                <w:szCs w:val="20"/>
                <w:color w:val="auto"/>
              </w:rPr>
            </w:pPr>
            <w:r>
              <w:rPr>
                <w:rFonts w:ascii="Arial" w:cs="Arial" w:eastAsia="Arial" w:hAnsi="Arial"/>
                <w:sz w:val="18"/>
                <w:szCs w:val="18"/>
                <w:color w:val="auto"/>
              </w:rPr>
              <w:t>net of taxes (Note 1)</w:t>
            </w:r>
          </w:p>
        </w:tc>
        <w:tc>
          <w:tcPr>
            <w:tcW w:w="12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Balances, January 1, 2023 (as adjusted for</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accounting principle)</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24,814,695</w:t>
            </w: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(4,477)$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180,555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$ 205,298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$ 381,406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20"/>
              <w:spacing w:after="0" w:line="201" w:lineRule="exact"/>
              <w:rPr>
                <w:sz w:val="20"/>
                <w:szCs w:val="20"/>
                <w:color w:val="auto"/>
              </w:rPr>
            </w:pPr>
            <w:r>
              <w:rPr>
                <w:rFonts w:ascii="Arial" w:cs="Arial" w:eastAsia="Arial" w:hAnsi="Arial"/>
                <w:sz w:val="18"/>
                <w:szCs w:val="18"/>
                <w:color w:val="auto"/>
                <w:w w:val="90"/>
              </w:rPr>
              <w:t>Share based compensation expense and stock</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20"/>
              <w:spacing w:after="0"/>
              <w:rPr>
                <w:sz w:val="20"/>
                <w:szCs w:val="20"/>
                <w:color w:val="auto"/>
              </w:rPr>
            </w:pPr>
            <w:r>
              <w:rPr>
                <w:rFonts w:ascii="Arial" w:cs="Arial" w:eastAsia="Arial" w:hAnsi="Arial"/>
                <w:sz w:val="18"/>
                <w:szCs w:val="18"/>
                <w:color w:val="auto"/>
              </w:rPr>
              <w:t>units vested</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8,571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16,276</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20"/>
              <w:spacing w:after="0"/>
              <w:rPr>
                <w:sz w:val="20"/>
                <w:szCs w:val="20"/>
                <w:color w:val="auto"/>
              </w:rPr>
            </w:pPr>
            <w:r>
              <w:rPr>
                <w:rFonts w:ascii="Arial" w:cs="Arial" w:eastAsia="Arial" w:hAnsi="Arial"/>
                <w:sz w:val="18"/>
                <w:szCs w:val="18"/>
                <w:color w:val="auto"/>
              </w:rPr>
              <w:t>Balances, March 31, 2023</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24,823,266</w:t>
            </w: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(4,477)</w:t>
            </w: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180,746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$ 221,574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$ 397,873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ind w:left="60" w:right="119" w:firstLine="713"/>
        <w:spacing w:after="0" w:line="301" w:lineRule="auto"/>
        <w:rPr>
          <w:sz w:val="20"/>
          <w:szCs w:val="20"/>
          <w:color w:val="auto"/>
        </w:rPr>
      </w:pPr>
      <w:r>
        <w:rPr>
          <w:rFonts w:ascii="Arial" w:cs="Arial" w:eastAsia="Arial" w:hAnsi="Arial"/>
          <w:sz w:val="16"/>
          <w:szCs w:val="16"/>
          <w:color w:val="auto"/>
        </w:rPr>
        <w:t>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17" w:lineRule="exact"/>
        <w:rPr>
          <w:sz w:val="20"/>
          <w:szCs w:val="20"/>
          <w:color w:val="auto"/>
        </w:rPr>
      </w:pPr>
    </w:p>
    <w:p>
      <w:pPr>
        <w:ind w:left="60" w:right="79" w:firstLine="713"/>
        <w:spacing w:after="0" w:line="275" w:lineRule="auto"/>
        <w:rPr>
          <w:sz w:val="20"/>
          <w:szCs w:val="20"/>
          <w:color w:val="auto"/>
        </w:rPr>
      </w:pPr>
      <w:r>
        <w:rPr>
          <w:rFonts w:ascii="Arial" w:cs="Arial" w:eastAsia="Arial" w:hAnsi="Arial"/>
          <w:sz w:val="17"/>
          <w:szCs w:val="17"/>
          <w:color w:val="auto"/>
        </w:rPr>
        <w:t>The Company (1) manufactures and provides for the transport of mobile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unaudited interim condensed financial statements as of March 31, 2023 and for the</w:t>
      </w:r>
    </w:p>
    <w:p>
      <w:pPr>
        <w:spacing w:after="0" w:line="23" w:lineRule="exact"/>
        <w:rPr>
          <w:sz w:val="20"/>
          <w:szCs w:val="20"/>
          <w:color w:val="auto"/>
        </w:rPr>
      </w:pPr>
    </w:p>
    <w:p>
      <w:pPr>
        <w:ind w:left="60" w:right="239"/>
        <w:spacing w:after="0" w:line="281" w:lineRule="auto"/>
        <w:rPr>
          <w:sz w:val="20"/>
          <w:szCs w:val="20"/>
          <w:color w:val="auto"/>
        </w:rPr>
      </w:pPr>
      <w:r>
        <w:rPr>
          <w:rFonts w:ascii="Arial" w:cs="Arial" w:eastAsia="Arial" w:hAnsi="Arial"/>
          <w:sz w:val="16"/>
          <w:szCs w:val="16"/>
          <w:color w:val="auto"/>
        </w:rPr>
        <w:t>three months ended March 31, 2023 and 2022, respectively, have been prepared in accordance with accounting principles generally accepted in the United States of America ("GAAP") for interim financial information and pursuant to the</w:t>
      </w:r>
    </w:p>
    <w:p>
      <w:pPr>
        <w:spacing w:after="0" w:line="1" w:lineRule="exact"/>
        <w:rPr>
          <w:sz w:val="20"/>
          <w:szCs w:val="20"/>
          <w:color w:val="auto"/>
        </w:rPr>
      </w:pPr>
    </w:p>
    <w:p>
      <w:pPr>
        <w:ind w:left="60" w:right="159"/>
        <w:spacing w:after="0" w:line="267" w:lineRule="auto"/>
        <w:rPr>
          <w:sz w:val="20"/>
          <w:szCs w:val="20"/>
          <w:color w:val="auto"/>
        </w:rPr>
      </w:pPr>
      <w:r>
        <w:rPr>
          <w:rFonts w:ascii="Arial" w:cs="Arial" w:eastAsia="Arial" w:hAnsi="Arial"/>
          <w:sz w:val="17"/>
          <w:szCs w:val="17"/>
          <w:color w:val="auto"/>
        </w:rPr>
        <w:t>rules and regulations of the U.S. Securities and Exchange Commission ("SEC") as required by Regulation S-X, Rule 8-03. In the opinion of management, the unaudited interim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months ended March 31, 2023 are not necessarily indicative of the results to be expected for the year ending December 31, 2023, or any other period. The accompanying balance sheet as of December 31, 2022 was derived from audited financial statements included in the Company's annual report on Form 10-K for the year ended December 31, 2022 (the “Form 10-K”). The accompanying financial statements do not include all of the information and footnotes required by GAAP for annual financial statements. Accordingly, they should be read in conjunction with the audited financial statements and notes thereto included in the Form 10-K. Certain amounts in the prior period financial statements have been reclassified to conform to the presentation of the current period financial statements. These reclassifications had no effect on the previously reported net income.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loans to mobile home parks, consumer loans, other notes receivable, inventory obsolescence, income taxes, fair value of financial instruments and contingent liabilities. Actual results could differ from these estimates.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i w:val="1"/>
          <w:iCs w:val="1"/>
          <w:color w:val="auto"/>
        </w:rPr>
        <w:t xml:space="preserve">Product sales </w:t>
      </w:r>
      <w:r>
        <w:rPr>
          <w:rFonts w:ascii="Arial" w:cs="Arial" w:eastAsia="Arial" w:hAnsi="Arial"/>
          <w:sz w:val="16"/>
          <w:szCs w:val="16"/>
          <w:color w:val="auto"/>
        </w:rPr>
        <w:t>primarily consist of sales of mobile homes to consumers and mobile home parks through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homes are generally paid for prior to shipment. Commercial Sales include homes sold to mobile home parks under commercial loan programs or paid for upfront. The Company provides floor plan financing for independent retailers, which can take the form of a consignment arrangement or an inventory financing arrangement. Consignment Sales under the consignment arrangement are considered sales of consigned homes from independent dealers to individual customers. Consignment Sales under the inventory financing arrangement are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20" w:right="160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considered sales of homes to the independent dealer. Retail Store Sales are homes sold through Company-owned retail locations. Consignment Sales and Retail Sales may be financed by the Company, by a third party, or paid in cash.</w:t>
      </w:r>
    </w:p>
    <w:p>
      <w:pPr>
        <w:spacing w:after="0" w:line="124"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Revenue from product sales is recognized when the performance obligation under the terms of a contract with our customer is satisfied, which typically occurs upon delivery and transfer of title to the home, as this depicts when control of the promised good is transferred to our customers. For inventory financed sales, the independent dealer enters into a financing arrangement with the Company and is required to make monthly interest payments and an annual curtailment payment for the first two years. After three years, they are required to payoff any remaining principle balance. Interest income is separately recorded in the statement of income. For other financed sales by the Company, the individual customer enters into a sales and financing contract and is required to make a down payment. These financed sales contain a significant financing component and any interest income is separately recorded in the statement of income.</w:t>
      </w:r>
    </w:p>
    <w:p>
      <w:pPr>
        <w:spacing w:after="0" w:line="165"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30"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 Warranty costs and contract costs are included in selling, general and administrative expenses in the statements of income. Warranty costs were $627 and $565 for the three months ended March 31, 2023 and 2022, respectively.</w:t>
      </w:r>
    </w:p>
    <w:p>
      <w:pPr>
        <w:spacing w:after="0" w:line="131"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For the three months ended March 31, 2023 and 2022, MHP sales to an independent third party and it’s affiliates accounted for $5,647 or 13.0% and $3,134 or 6.7% of our product sales, respectively. No other customer accounted for more than 5.0% of our product sales.</w:t>
      </w:r>
    </w:p>
    <w:p>
      <w:pPr>
        <w:spacing w:after="0" w:line="130"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 xml:space="preserve">For the three months ended March 31, 2023 and 2022, product sales included $2,623 and $2,999 of costs relating to </w:t>
      </w:r>
      <w:r>
        <w:rPr>
          <w:rFonts w:ascii="Arial" w:cs="Arial" w:eastAsia="Arial" w:hAnsi="Arial"/>
          <w:sz w:val="18"/>
          <w:szCs w:val="18"/>
          <w:color w:val="222222"/>
        </w:rPr>
        <w:t>subcontracted production for commercial sales, reimbursed dealer expenses for consignment sales, and certain other</w:t>
      </w:r>
      <w:r>
        <w:rPr>
          <w:rFonts w:ascii="Arial" w:cs="Arial" w:eastAsia="Arial" w:hAnsi="Arial"/>
          <w:sz w:val="18"/>
          <w:szCs w:val="18"/>
          <w:color w:val="auto"/>
        </w:rPr>
        <w:t xml:space="preserve"> </w:t>
      </w:r>
      <w:r>
        <w:rPr>
          <w:rFonts w:ascii="Arial" w:cs="Arial" w:eastAsia="Arial" w:hAnsi="Arial"/>
          <w:sz w:val="18"/>
          <w:szCs w:val="18"/>
          <w:color w:val="222222"/>
        </w:rPr>
        <w:t>similar costs incurred for retail store and commercial sales</w:t>
      </w:r>
      <w:r>
        <w:rPr>
          <w:rFonts w:ascii="Arial" w:cs="Arial" w:eastAsia="Arial" w:hAnsi="Arial"/>
          <w:sz w:val="18"/>
          <w:szCs w:val="18"/>
          <w:color w:val="000000"/>
        </w:rPr>
        <w:t>.</w:t>
      </w:r>
    </w:p>
    <w:p>
      <w:pPr>
        <w:spacing w:after="0" w:line="130"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consists of consignment fees, commercial lease rents, service fees and other miscellaneous income.</w:t>
      </w:r>
      <w:r>
        <w:rPr>
          <w:rFonts w:ascii="Arial" w:cs="Arial" w:eastAsia="Arial" w:hAnsi="Arial"/>
          <w:sz w:val="17"/>
          <w:szCs w:val="17"/>
          <w:i w:val="1"/>
          <w:iCs w:val="1"/>
          <w:color w:val="auto"/>
        </w:rPr>
        <w:t xml:space="preserve"> </w:t>
      </w:r>
      <w:r>
        <w:rPr>
          <w:rFonts w:ascii="Arial" w:cs="Arial" w:eastAsia="Arial" w:hAnsi="Arial"/>
          <w:sz w:val="17"/>
          <w:szCs w:val="17"/>
          <w:color w:val="auto"/>
        </w:rPr>
        <w:t>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is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commercial leases is recognized as earned monthly over a contractual period of 96 or 120 months. Revenue for service fees and miscellaneous income is recognized when the performance obligation is satisfied.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40" w:right="158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 The following table summarizes customer contract revenues disaggregated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source of the revenue for the three months ended March 31, 2023 and 2022:</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r>
      <w:tr>
        <w:trPr>
          <w:trHeight w:val="215"/>
        </w:trPr>
        <w:tc>
          <w:tcPr>
            <w:tcW w:w="3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8"/>
                <w:szCs w:val="18"/>
                <w:color w:val="auto"/>
              </w:rPr>
            </w:pPr>
          </w:p>
        </w:tc>
      </w:tr>
      <w:tr>
        <w:trPr>
          <w:trHeight w:val="223"/>
        </w:trPr>
        <w:tc>
          <w:tcPr>
            <w:tcW w:w="3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r>
      <w:tr>
        <w:trPr>
          <w:trHeight w:val="25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43"/>
        </w:trPr>
        <w:tc>
          <w:tcPr>
            <w:tcW w:w="3860" w:type="dxa"/>
            <w:vAlign w:val="bottom"/>
          </w:tcPr>
          <w:p>
            <w:pPr>
              <w:ind w:left="120"/>
              <w:spacing w:after="0"/>
              <w:rPr>
                <w:sz w:val="20"/>
                <w:szCs w:val="20"/>
                <w:color w:val="auto"/>
              </w:rPr>
            </w:pPr>
            <w:r>
              <w:rPr>
                <w:rFonts w:ascii="Arial" w:cs="Arial" w:eastAsia="Arial" w:hAnsi="Arial"/>
                <w:sz w:val="18"/>
                <w:szCs w:val="18"/>
                <w:color w:val="auto"/>
              </w:rPr>
              <w:t>Direct sales</w:t>
            </w:r>
          </w:p>
        </w:tc>
        <w:tc>
          <w:tcPr>
            <w:tcW w:w="12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7,426</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10,863</w:t>
            </w:r>
          </w:p>
        </w:tc>
      </w:tr>
      <w:tr>
        <w:trPr>
          <w:trHeight w:val="243"/>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sales</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14,059</w:t>
            </w:r>
          </w:p>
        </w:tc>
      </w:tr>
      <w:tr>
        <w:trPr>
          <w:trHeight w:val="243"/>
        </w:trPr>
        <w:tc>
          <w:tcPr>
            <w:tcW w:w="3860" w:type="dxa"/>
            <w:vAlign w:val="bottom"/>
          </w:tcPr>
          <w:p>
            <w:pPr>
              <w:ind w:left="120"/>
              <w:spacing w:after="0"/>
              <w:rPr>
                <w:sz w:val="20"/>
                <w:szCs w:val="20"/>
                <w:color w:val="auto"/>
              </w:rPr>
            </w:pPr>
            <w:r>
              <w:rPr>
                <w:rFonts w:ascii="Arial" w:cs="Arial" w:eastAsia="Arial" w:hAnsi="Arial"/>
                <w:sz w:val="18"/>
                <w:szCs w:val="18"/>
                <w:color w:val="auto"/>
              </w:rPr>
              <w:t>Inventory finance sales</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13,615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20,040</w:t>
            </w:r>
          </w:p>
        </w:tc>
      </w:tr>
      <w:tr>
        <w:trPr>
          <w:trHeight w:val="243"/>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Retail store sales</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w:t>
            </w:r>
          </w:p>
        </w:tc>
      </w:tr>
      <w:tr>
        <w:trPr>
          <w:trHeight w:val="229"/>
        </w:trPr>
        <w:tc>
          <w:tcPr>
            <w:tcW w:w="3860" w:type="dxa"/>
            <w:vAlign w:val="bottom"/>
          </w:tcPr>
          <w:p>
            <w:pPr>
              <w:ind w:left="120"/>
              <w:spacing w:after="0"/>
              <w:rPr>
                <w:sz w:val="20"/>
                <w:szCs w:val="20"/>
                <w:color w:val="auto"/>
              </w:rPr>
            </w:pPr>
            <w:r>
              <w:rPr>
                <w:rFonts w:ascii="Arial" w:cs="Arial" w:eastAsia="Arial" w:hAnsi="Arial"/>
                <w:sz w:val="18"/>
                <w:szCs w:val="18"/>
                <w:color w:val="auto"/>
              </w:rPr>
              <w:t>Other (1)</w:t>
            </w:r>
          </w:p>
        </w:tc>
        <w:tc>
          <w:tcPr>
            <w:tcW w:w="1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w:t>
            </w:r>
          </w:p>
        </w:tc>
      </w:tr>
      <w:tr>
        <w:trPr>
          <w:trHeight w:val="223"/>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product sales</w:t>
            </w: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43,318</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51,787</w:t>
            </w: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Consumer and MHP loans interest:</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3"/>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 consumer installment notes</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r>
      <w:tr>
        <w:trPr>
          <w:trHeight w:val="243"/>
        </w:trPr>
        <w:tc>
          <w:tcPr>
            <w:tcW w:w="3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 MHP notes</w:t>
            </w:r>
          </w:p>
        </w:tc>
        <w:tc>
          <w:tcPr>
            <w:tcW w:w="10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w:t>
            </w:r>
          </w:p>
        </w:tc>
      </w:tr>
      <w:tr>
        <w:trPr>
          <w:trHeight w:val="22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and MHP loans interest</w:t>
            </w:r>
          </w:p>
        </w:tc>
        <w:tc>
          <w:tcPr>
            <w:tcW w:w="10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6,765</w:t>
            </w:r>
          </w:p>
        </w:tc>
      </w:tr>
      <w:tr>
        <w:trPr>
          <w:trHeight w:val="223"/>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r>
      <w:tr>
        <w:trPr>
          <w:trHeight w:val="210"/>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52,857</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59,928</w:t>
            </w:r>
          </w:p>
        </w:tc>
      </w:tr>
      <w:tr>
        <w:trPr>
          <w:trHeight w:val="20"/>
        </w:trPr>
        <w:tc>
          <w:tcPr>
            <w:tcW w:w="3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0" w:right="259" w:firstLine="675"/>
        <w:spacing w:after="0" w:line="461" w:lineRule="auto"/>
        <w:rPr>
          <w:sz w:val="20"/>
          <w:szCs w:val="20"/>
          <w:color w:val="auto"/>
        </w:rPr>
      </w:pPr>
      <w:r>
        <w:rPr>
          <w:rFonts w:ascii="Arial" w:cs="Arial" w:eastAsia="Arial" w:hAnsi="Arial"/>
          <w:sz w:val="18"/>
          <w:szCs w:val="18"/>
          <w:color w:val="auto"/>
        </w:rPr>
        <w:t xml:space="preserve">(1) Other product sales revenue from ancillary products and services including parts, freight and other services </w:t>
      </w:r>
      <w:r>
        <w:rPr>
          <w:rFonts w:ascii="Arial" w:cs="Arial" w:eastAsia="Arial" w:hAnsi="Arial"/>
          <w:sz w:val="18"/>
          <w:szCs w:val="18"/>
          <w:b w:val="1"/>
          <w:bCs w:val="1"/>
          <w:color w:val="auto"/>
        </w:rPr>
        <w:t>Share-Based Compensation</w:t>
      </w:r>
    </w:p>
    <w:p>
      <w:pPr>
        <w:spacing w:after="0" w:line="1" w:lineRule="exact"/>
        <w:rPr>
          <w:sz w:val="20"/>
          <w:szCs w:val="20"/>
          <w:color w:val="auto"/>
        </w:rPr>
      </w:pPr>
    </w:p>
    <w:p>
      <w:pPr>
        <w:jc w:val="both"/>
        <w:ind w:left="60" w:right="139" w:firstLine="648"/>
        <w:spacing w:after="0" w:line="287" w:lineRule="auto"/>
        <w:rPr>
          <w:sz w:val="20"/>
          <w:szCs w:val="20"/>
          <w:color w:val="auto"/>
        </w:rPr>
      </w:pPr>
      <w:r>
        <w:rPr>
          <w:rFonts w:ascii="Arial" w:cs="Arial" w:eastAsia="Arial" w:hAnsi="Arial"/>
          <w:sz w:val="16"/>
          <w:szCs w:val="16"/>
          <w:color w:val="auto"/>
        </w:rPr>
        <w:t xml:space="preserve">The Company accounts for share-based compensation in accordance with the provisions of Accounting Standards Codification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Share-based compensation expense is recognized based on the award’s estimated grant date fair value in order to recognize compensation cost for those shares expected to vest.</w:t>
      </w:r>
    </w:p>
    <w:p>
      <w:pPr>
        <w:spacing w:after="0" w:line="2" w:lineRule="exact"/>
        <w:rPr>
          <w:sz w:val="20"/>
          <w:szCs w:val="20"/>
          <w:color w:val="auto"/>
        </w:rPr>
      </w:pPr>
    </w:p>
    <w:p>
      <w:pPr>
        <w:jc w:val="both"/>
        <w:ind w:left="60" w:right="139"/>
        <w:spacing w:after="0" w:line="260" w:lineRule="auto"/>
        <w:rPr>
          <w:sz w:val="20"/>
          <w:szCs w:val="20"/>
          <w:color w:val="auto"/>
        </w:rPr>
      </w:pPr>
      <w:r>
        <w:rPr>
          <w:rFonts w:ascii="Arial" w:cs="Arial" w:eastAsia="Arial" w:hAnsi="Arial"/>
          <w:sz w:val="18"/>
          <w:szCs w:val="18"/>
          <w:color w:val="auto"/>
        </w:rPr>
        <w:t>The Company has elected to record forfeitures as they occur. Compensation cost is recognized on a straight-line basis over the vesting period of the awards and adjusted as forfeitures occur.</w:t>
      </w:r>
    </w:p>
    <w:p>
      <w:pPr>
        <w:spacing w:after="0" w:line="145" w:lineRule="exact"/>
        <w:rPr>
          <w:sz w:val="20"/>
          <w:szCs w:val="20"/>
          <w:color w:val="auto"/>
        </w:rPr>
      </w:pPr>
    </w:p>
    <w:p>
      <w:pPr>
        <w:ind w:left="60" w:right="399" w:firstLine="648"/>
        <w:spacing w:after="0" w:line="279" w:lineRule="auto"/>
        <w:rPr>
          <w:sz w:val="20"/>
          <w:szCs w:val="20"/>
          <w:color w:val="auto"/>
        </w:rPr>
      </w:pPr>
      <w:r>
        <w:rPr>
          <w:rFonts w:ascii="Arial" w:cs="Arial" w:eastAsia="Arial" w:hAnsi="Arial"/>
          <w:sz w:val="17"/>
          <w:szCs w:val="17"/>
          <w:color w:val="auto"/>
        </w:rPr>
        <w:t>The fair value of each option grant with only service-based conditions is estimated using the Black-Scholes pricing model. The fair value of each restricted stock unit (the ”RSU”) with only service-based conditions is calculated based on the closing price of the Company’s common stock on the grant date. The fair value of each RSU with market based conditions is estimated using the Monte-Carlo Simulation valuation model.</w:t>
      </w:r>
    </w:p>
    <w:p>
      <w:pPr>
        <w:spacing w:after="0" w:line="131"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can be utilized by companies that cannot reasonably estimate the expected life of options based on its historical award exercise experience. The Company does not expect to pay dividends on its common stock.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fair value of RSU awards with market based conditions on the date of grant is estimated using the Monte-Carlo Simulation valuation model, and the Company uses the following methods to determine its underlying assumptions: expected volatilities are based on the Company’s historic stock price volatility; the expected term of the awards is based on the performance measurement period; the risk-free interest rate is based on the U.S. Treasury bond yield issued with similar life terms to the expected life of the grant.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02"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Included in accounts receivable “net” are receivables from direct sales of mobile homes, sales of parts and supplies to customers, consignment fees and interest. Accounts receivable “dealer financed” are receivables for interest, fees and curtailments owed by dealers under their inventory finance agreements.</w:t>
      </w:r>
    </w:p>
    <w:p>
      <w:pPr>
        <w:spacing w:after="0" w:line="143"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Accounts receivables “net” are generally due within 30 days and are stated at amounts due from customers net of an allowance for doubtful accounts. Accounts receivables “dealer financed” are due upon receipt and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On March 31, 2023 and December 31, 2022, the allowance for doubtful accounts totaled $252 and $279, respectively.</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Leased Property</w:t>
      </w:r>
    </w:p>
    <w:p>
      <w:pPr>
        <w:spacing w:after="0" w:line="202"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The Company offers mobile home park operators the opportunity to lease mobile homes for rent in lieu of purchasing the homes for cash or under a longer-term financing agreement. In this arrangement title to the mobile homes remains with the Company.</w:t>
      </w:r>
    </w:p>
    <w:p>
      <w:pPr>
        <w:spacing w:after="0" w:line="76"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standard lease agreement is typically for 96 months or 120 months. Under the lease agreement, the lessee (mobile home park operator) uses the mobile homes as personal property to be rented at the lessee's mobile home park. The lessee makes monthly, periodic lease payments to the Company over the term of the lease. The lessee is responsible for maintaining the homes during the term of the lease. The lessee is also responsible for repairing any damage caused by force majeure events. At the end of the lease term or in the event of default, the lessee is required to deliver the homes to the Company with all improvements and in substantially the same condition as existed at the commencement of the lease. The lessee may terminate the lease on 30 days written notice and pay a lease termination fee equal to 10% of the remaining lease payments or six months’ rent, whichever is greater. The lessee has an option to purchase the homes at the end of the lease term for fair market value based on an agreed determination of fair market value by both parties using comparable sales, recent appraisal, or NADA official guidance. The lessee must provide the Company with 30 days written notice prior to expiration of the lease of intent to purchase the property for fair market value. The lease also includes a renewal option whereby the lessee has the option to extend the lease for an additional 48 months (the extended term) at the same terms and conditions as the original lease. The lessee must notify the Company of the intent to exercise this renewal option not less than six months prior to expiration of the lease term. The leased mobile homes are included in other assets on the Company’s balance sheet, capitalized at manufactured cost and depreciated over a 15 year useful life. Homes returned to the Company upon expiration of the lease or in the event of default will be sold by the Company through its standard sales and distribution channels. Depreciation expense for the leased property was $160 and $170 for the three months ended March 31, 2023 and 2022,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20" w:right="160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Future minimum lease income under all operating leases for each of the next five years at March 31, 2023, are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12"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2024</w:t>
            </w: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2026</w:t>
            </w: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r>
      <w:tr>
        <w:trPr>
          <w:trHeight w:val="209"/>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10,761</w:t>
            </w:r>
          </w:p>
        </w:tc>
      </w:tr>
      <w:tr>
        <w:trPr>
          <w:trHeight w:val="20"/>
        </w:trPr>
        <w:tc>
          <w:tcPr>
            <w:tcW w:w="3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Company has elected to use longer phase-in periods for the adoption of new or revised financial accounting standards under the JOBS Act as an emerging growth company.</w:t>
      </w:r>
    </w:p>
    <w:p>
      <w:pPr>
        <w:spacing w:after="0" w:line="130" w:lineRule="exact"/>
        <w:rPr>
          <w:sz w:val="20"/>
          <w:szCs w:val="20"/>
          <w:color w:val="auto"/>
        </w:rPr>
      </w:pPr>
    </w:p>
    <w:p>
      <w:pPr>
        <w:ind w:left="60" w:right="199" w:firstLine="648"/>
        <w:spacing w:after="0" w:line="287"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As an emerging growth company, ASU 2016-02 is effective for fiscal years beginning after December 15, 2021, and interim periods within those fiscal years. The Company adopted this standard in the first quarter of fiscal 2022 and elected certain practical expedients permitted under the transition guidance, including the package of practical expedients; however, the Company did not elect the hindsight practical expedient. Additionally, the Company elected the optional transition method that allowed for a cumulative-effect adjustment in the period of adoption and did not restate prior periods. The adoption of ASU 2016-02 resulted in an increase in total assets and total liabilities of $3,258 at transition. However, this standard did not have a material impact on the consolidated statement of income or the consolidated statement of cash flows. See Note 5 for further discussion on leases.</w:t>
      </w:r>
    </w:p>
    <w:p>
      <w:pPr>
        <w:spacing w:after="0" w:line="141"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 which amends guidance on reporting credit losses for assets held at amortized cost</w:t>
      </w:r>
      <w:r>
        <w:rPr>
          <w:rFonts w:ascii="Arial" w:cs="Arial" w:eastAsia="Arial" w:hAnsi="Arial"/>
          <w:sz w:val="17"/>
          <w:szCs w:val="17"/>
          <w:i w:val="1"/>
          <w:iCs w:val="1"/>
          <w:color w:val="auto"/>
        </w:rPr>
        <w:t xml:space="preserve"> </w:t>
      </w:r>
      <w:r>
        <w:rPr>
          <w:rFonts w:ascii="Arial" w:cs="Arial" w:eastAsia="Arial" w:hAnsi="Arial"/>
          <w:sz w:val="17"/>
          <w:szCs w:val="17"/>
          <w:color w:val="auto"/>
        </w:rPr>
        <w:t>basis and available for sale debt securities. For assets held at amortized cost basis, Topic 326 eliminates the probable initial recognition threshold in current GAAP and, requires an entity to instead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 write-down and affects entities holding financial assets and net investments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used the longer phase-in period for adoption, and accordingly this ASU became effective for the Company’s fiscal year beginning January 1, 2023. The adoption of ASU 2016-13 resulted in an increase in portfolio allowances of $900 at transition. The $900 was comprised of a $225 increase for MHP notes, a $187 increase for dealer financed contracts and a $488 increase for other notes receivable. The cumulative effect of the adoption was a net decrease of $698 to beginning retained earnings at January 1, 2023.</w:t>
      </w:r>
    </w:p>
    <w:p>
      <w:pPr>
        <w:spacing w:after="0" w:line="139"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 xml:space="preserve">In December 2022, the FASB issued ASU 2022-06, </w:t>
      </w:r>
      <w:r>
        <w:rPr>
          <w:rFonts w:ascii="Arial" w:cs="Arial" w:eastAsia="Arial" w:hAnsi="Arial"/>
          <w:sz w:val="16"/>
          <w:szCs w:val="16"/>
          <w:i w:val="1"/>
          <w:iCs w:val="1"/>
          <w:color w:val="auto"/>
        </w:rPr>
        <w:t>Reference Rate Reform (Topic 848): Deferral of the Sunset</w:t>
      </w:r>
      <w:r>
        <w:rPr>
          <w:rFonts w:ascii="Arial" w:cs="Arial" w:eastAsia="Arial" w:hAnsi="Arial"/>
          <w:sz w:val="16"/>
          <w:szCs w:val="16"/>
          <w:color w:val="auto"/>
        </w:rPr>
        <w:t xml:space="preserve"> </w:t>
      </w:r>
      <w:r>
        <w:rPr>
          <w:rFonts w:ascii="Arial" w:cs="Arial" w:eastAsia="Arial" w:hAnsi="Arial"/>
          <w:sz w:val="16"/>
          <w:szCs w:val="16"/>
          <w:i w:val="1"/>
          <w:iCs w:val="1"/>
          <w:color w:val="auto"/>
        </w:rPr>
        <w:t>Date of Topic 848</w:t>
      </w:r>
      <w:r>
        <w:rPr>
          <w:rFonts w:ascii="Arial" w:cs="Arial" w:eastAsia="Arial" w:hAnsi="Arial"/>
          <w:sz w:val="16"/>
          <w:szCs w:val="16"/>
          <w:color w:val="auto"/>
        </w:rPr>
        <w:t>. The amendments in this update extend the transition relief period for reference rate reform from</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2022 to December 31, 2024. The amendments in ASU 2022-06 apply to all entities, subject to meeting</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certain criteria, that have contracts, hedging relationships, and other transactions that reference LIBOR or another reference rate expected to be discontinued because of reference rate reform. ASU 2022-06 was effective upon issuance. The new standard has had no material impact on the Company's financial statements.</w:t>
      </w:r>
    </w:p>
    <w:p>
      <w:pPr>
        <w:spacing w:after="0" w:line="143"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CONSUMER LOANS</w:t>
      </w:r>
    </w:p>
    <w:p>
      <w:pPr>
        <w:spacing w:after="0" w:line="202"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Consumer loans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13.3% and 13.4% as of March 31, 2023 and December 31, 2022, respectively. Consumer loans receivable have maturities that range from 2 to 30 years.</w:t>
      </w:r>
    </w:p>
    <w:p>
      <w:pPr>
        <w:spacing w:after="0" w:line="152"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Loan applications go through an underwriting process that considers credit history to evaluate the credit risk of the consumer. Interest rates on approved loans are determined based on consumer credit score, payment ability and down payment amount.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uses payment history to monitor the credit quality of the consumer loans on an ongoing basis.</w:t>
      </w:r>
    </w:p>
    <w:p>
      <w:pPr>
        <w:spacing w:after="0" w:line="210"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The Company may also receive escrow payments for property taxes and insurance included in its consumer loan collections. The liabilities associated with these escrow collections totaled $9,272 and $9,653 as of March 31, 2023 and December 31, 2022, respectively, and are included in escrow liability in the condensed balance sheets.</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Allowance for Loan Losses—Consumer Loans Receivable</w:t>
      </w:r>
    </w:p>
    <w:p>
      <w:pPr>
        <w:spacing w:after="0" w:line="185"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30"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31"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The Company’s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Impaired loans are those loans where it is probable the Company will be unable to collect all amounts due under the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the fair value of the underlying collateral, less estimated selling costs. The Company uses various factors to determine the value of the underlying collateral for impaired loans. These factors are: (1) the length of time the unit was unsold after construction; (2) the amount of time the house was occupied; (3) the cooperation level of the borrowers, i.e., loans requiring legal action or extensive field collection efforts; (4) units located on private property as opposed to a manufactured home park; (5) the length of time the borrower has lived in the house without making payments; (6) location, size, and market conditions; and (7) the experience and expertise of the particular dealer assisting in collection efforts.</w:t>
      </w:r>
    </w:p>
    <w:p>
      <w:pPr>
        <w:spacing w:after="0" w:line="141"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 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$1,333 and $795 as of March 31, 2023 and December 31, 2022, respectively, and are included in other assets in the condensed balance sheets.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Consumer loans receivable, net of allowance for loan losses and deferred financing fees, consists of the following:</w:t>
      </w:r>
    </w:p>
    <w:p>
      <w:pPr>
        <w:spacing w:after="0" w:line="20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As of</w:t>
            </w:r>
          </w:p>
        </w:tc>
      </w:tr>
      <w:tr>
        <w:trPr>
          <w:trHeight w:val="148"/>
        </w:trPr>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March 31,</w:t>
            </w: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5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r>
      <w:tr>
        <w:trPr>
          <w:trHeight w:val="209"/>
        </w:trPr>
        <w:tc>
          <w:tcPr>
            <w:tcW w:w="5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loans receivable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144,612</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142,340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Loan discount and deferred financing fees</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(2,480)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(2,501)</w:t>
            </w:r>
          </w:p>
        </w:tc>
      </w:tr>
      <w:tr>
        <w:trPr>
          <w:trHeight w:val="216"/>
        </w:trPr>
        <w:tc>
          <w:tcPr>
            <w:tcW w:w="5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0"/>
        </w:trPr>
        <w:tc>
          <w:tcPr>
            <w:tcW w:w="5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Consumer loans receivable,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141,316</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139,009</w:t>
            </w:r>
          </w:p>
        </w:tc>
      </w:tr>
      <w:tr>
        <w:trPr>
          <w:trHeight w:val="20"/>
        </w:trPr>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a detail of the activity in the allowance for loan losses: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5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2"/>
              </w:rPr>
              <w:t>Allowance for loan losses, beginning of period</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Charge offs (recoveries)</w:t>
            </w:r>
          </w:p>
        </w:tc>
        <w:tc>
          <w:tcPr>
            <w:tcW w:w="1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0" w:type="dxa"/>
            <w:vAlign w:val="bottom"/>
            <w:vMerge w:val="restart"/>
          </w:tcPr>
          <w:p>
            <w:pPr>
              <w:jc w:val="right"/>
              <w:ind w:right="1470"/>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presents loan loss and impairment detail for the consumer loans receivable portfolio:</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As of</w:t>
            </w:r>
          </w:p>
        </w:tc>
      </w:tr>
      <w:tr>
        <w:trPr>
          <w:trHeight w:val="148"/>
        </w:trPr>
        <w:tc>
          <w:tcPr>
            <w:tcW w:w="4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45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142,340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816</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individually evaluated for impairment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Specific reserve against impaired loans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loans collectively evaluated for allowance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140,730</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General allowance for loan losses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r>
    </w:tbl>
    <w:p>
      <w:pPr>
        <w:spacing w:after="0" w:line="187"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As of March 31, 2023 and December 31, 2022, the total principal outstanding for consumer loans on nonaccrual status was $1,612 and $1,610, respectively. A detailed aging of consumer loans receivable that are past due as of March 31, 2023 and December 31, 2022 were as follows:</w:t>
      </w:r>
    </w:p>
    <w:p>
      <w:pPr>
        <w:spacing w:after="0" w:line="13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As of March 31,</w:t>
            </w:r>
          </w:p>
        </w:tc>
        <w:tc>
          <w:tcPr>
            <w:tcW w:w="140" w:type="dxa"/>
            <w:vAlign w:val="bottom"/>
            <w:vMerge w:val="restart"/>
          </w:tcPr>
          <w:p>
            <w:pPr>
              <w:spacing w:after="0"/>
              <w:rPr>
                <w:sz w:val="14"/>
                <w:szCs w:val="14"/>
                <w:color w:val="auto"/>
              </w:rPr>
            </w:pPr>
          </w:p>
        </w:tc>
        <w:tc>
          <w:tcPr>
            <w:tcW w:w="5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As of December 31,</w:t>
            </w:r>
          </w:p>
        </w:tc>
        <w:tc>
          <w:tcPr>
            <w:tcW w:w="140" w:type="dxa"/>
            <w:vAlign w:val="bottom"/>
            <w:vMerge w:val="restart"/>
          </w:tcPr>
          <w:p>
            <w:pPr>
              <w:spacing w:after="0"/>
              <w:rPr>
                <w:sz w:val="14"/>
                <w:szCs w:val="14"/>
                <w:color w:val="auto"/>
              </w:rPr>
            </w:pPr>
          </w:p>
        </w:tc>
        <w:tc>
          <w:tcPr>
            <w:tcW w:w="5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14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4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consumer loans receivable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97"/>
        </w:trPr>
        <w:tc>
          <w:tcPr>
            <w:tcW w:w="348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Past due consumer loans:</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31</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 days past due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20" w:type="dxa"/>
            <w:vAlign w:val="bottom"/>
          </w:tcPr>
          <w:p>
            <w:pPr>
              <w:ind w:left="120"/>
              <w:spacing w:after="0"/>
              <w:rPr>
                <w:sz w:val="20"/>
                <w:szCs w:val="20"/>
                <w:color w:val="auto"/>
              </w:rPr>
            </w:pPr>
            <w:r>
              <w:rPr>
                <w:rFonts w:ascii="Arial" w:cs="Arial" w:eastAsia="Arial" w:hAnsi="Arial"/>
                <w:sz w:val="18"/>
                <w:szCs w:val="18"/>
                <w:color w:val="auto"/>
                <w:w w:val="89"/>
              </w:rPr>
              <w:t>61</w:t>
            </w:r>
          </w:p>
        </w:tc>
        <w:tc>
          <w:tcPr>
            <w:tcW w:w="3160" w:type="dxa"/>
            <w:vAlign w:val="bottom"/>
          </w:tcPr>
          <w:p>
            <w:pPr>
              <w:ind w:left="20"/>
              <w:spacing w:after="0"/>
              <w:rPr>
                <w:sz w:val="20"/>
                <w:szCs w:val="20"/>
                <w:color w:val="auto"/>
              </w:rPr>
            </w:pPr>
            <w:r>
              <w:rPr>
                <w:rFonts w:ascii="Arial" w:cs="Arial" w:eastAsia="Arial" w:hAnsi="Arial"/>
                <w:sz w:val="18"/>
                <w:szCs w:val="18"/>
                <w:color w:val="auto"/>
              </w:rPr>
              <w:t>- 90 days past due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91</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- 120 days past due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Greater than 120 days past due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past due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NOTES RECEIVABLE FROM MOBILE HOME PARKS</w:t>
      </w:r>
    </w:p>
    <w:p>
      <w:pPr>
        <w:spacing w:after="0" w:line="202"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notes receivable from mobile home parks (“MHP Notes”) relate to mobile homes sold to mobile home parks and financed through notes receivable. The MHP Notes have varying maturity dates and call for monthly principal and interest payments. The interest rate on the MHP Notes can be fixed or variable. Approximately $145 million of the MHP Notes have a fixed interest rate ranging from 6.9% to 11.5%. The remaining MHP Notes have a variable rate typically set at 4.0% above prime with a minimum of 8.0%. The average interest rate per loan was approximately 8.0% and 8.1% as of March 31, 2023 and December 31, 2022, respectively, with maturities that range from 1 to 10 years. The collateral underlying the MHP Notes are individual mobile homes which can be repossessed and resold. The MHP Notes are generally personally guaranteed by borrowers with substantial financial resources.</w:t>
      </w:r>
    </w:p>
    <w:p>
      <w:pPr>
        <w:spacing w:after="0" w:line="138"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Company had concentrations of MHP Notes with three independent third-parties and their respective affiliates that equated to 15.3%, 16.6% and 31.0% of the principal balance outstanding, all of which was secured by the mobile homes, as of March 31, 2023. As of December 31, 2022, the Company had concentrations of MHP Notes with three independent third-parties and their respective affiliates that equated to 12.3%, 16.6% and 34.0% of the principal balance outstanding, all of which was secured by the mobile homes.</w:t>
      </w:r>
    </w:p>
    <w:p>
      <w:pPr>
        <w:spacing w:after="0" w:line="147"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 As of March 31, 2023 and December 31, 2022, the MHP Notes balance is presented net of unamortized finance fees of $1,254 and $1,068, respectively. The finance fees are amortized over the life of the MHP Notes.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There were minimal past due balances on the MHP Notes as of March 31, 2023 and December 31, 2022 and no charge offs were recorded for MHP Notes during the three months ended March 31, 2023 and 2022. The allowance for loan loss is $205 and $0 at March 31, 2023 and December 31, 2022, respectively.</w:t>
      </w:r>
    </w:p>
    <w:p>
      <w:pPr>
        <w:spacing w:after="0" w:line="143"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There were no impaired MHP Notes as of March 31, 2023 and December 31, 2022, and there was no repossessed homes balances as of March 31, 2023 and December 31, 2022. Collateral for repossessed loans is acquired through foreclosure or similar proceedings and is recorded at the estimated fair value of the home, less the costs to sell.</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OTHER NOTES RECEIVABLE</w:t>
      </w:r>
    </w:p>
    <w:p>
      <w:pPr>
        <w:spacing w:after="0" w:line="189"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Other notes receivable relate to various notes issued to mobile home park owners and dealers, which are not directly tied to the sale of mobile homes. The other notes have varying maturity dates and call for monthly principal and interest payments. The other notes are collateralized by mortgages on real estate, units being financed and used as offices, as well as vehicles, and are typically personally guaranteed by the borrowers. The interest rate on the other notes are fixed and range from 5.00% to 17.90%. The Company reserves for estimated losses on the other notes based on current economic conditions that may affect the borrower’s ability to pay, the borrower’s financial strength, and historical loss experience. There were no past due balances for other notes as of March 31, 2023 and December 31, 2022, and there were no impaired balances for other notes as of March 31, 2023 and December 31, 2022.</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balance outstanding on the other notes receivable were as follows:</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color w:val="auto"/>
              </w:rPr>
              <w:t>As of</w:t>
            </w:r>
          </w:p>
        </w:tc>
      </w:tr>
      <w:tr>
        <w:trPr>
          <w:trHeight w:val="149"/>
        </w:trPr>
        <w:tc>
          <w:tcPr>
            <w:tcW w:w="3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3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25,405</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22,722</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24,972</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LEASES</w:t>
      </w:r>
    </w:p>
    <w:p>
      <w:pPr>
        <w:spacing w:after="0" w:line="18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Company currently has 13 operating leases, eight of which are for the Company’s Heritage Housing and Tiny Homes retail locations, three which are subleased by the Company and two of which are for corporate and administrative offices in Bedford, TX and Norcross, GA. These leases typically have initial terms ranging from 5 to 10 years and include one or more options to renew.</w:t>
      </w:r>
    </w:p>
    <w:p>
      <w:pPr>
        <w:spacing w:after="0" w:line="160"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Under ASC 842, a modified retrospective transition is required, applying the new standard to all leases at the date of initial application. The Company chose to use the adoption date of January 1, 2022 for ASC 842. As such, all periods presented after January 1, 2022, are under ASC 842 whereas periods presented prior to January 1, 2022, are in accordance with prior lease accounting under ASC 840. Financial information was not updated and the disclosures required under ASC 842 were not provided for dates and periods prior to January 1, 2022.</w:t>
      </w:r>
    </w:p>
    <w:p>
      <w:pPr>
        <w:spacing w:after="0" w:line="136"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We determine if an arrangement is a lease at inception. Operating leases are right-of-use (“ROU”) assets and are shown as ROU assets – operating leases on our Condensed Balance Sheet. The lease liabilities are shown as operating lease obligations and operating lease obligations, less current portion on our Condensed Balance Sheet. ROU assets represent our right to use an underlying asset for the lease term and lease liabilities represent our obligation to make lease payments arising from the lease.</w:t>
      </w:r>
    </w:p>
    <w:p>
      <w:pPr>
        <w:spacing w:after="0" w:line="147"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ROU assets and liabilities are recognized at the lease commencement date based on the estimated present value of lease payments over the lease term. We have elected the practical expedient to not separate lease and non-lease components. Therefore, lease payments included in the measurement of the lease liability include all fixed payments under the lease agreement. We record a ROU asset for an amount equal to the lease liability, increased for any prepaid lease costs and initial direct costs and reduced by any lease incentives. We remeasure the lease liability and ROU asset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639"/>
        <w:spacing w:after="0" w:line="263" w:lineRule="auto"/>
        <w:rPr>
          <w:sz w:val="20"/>
          <w:szCs w:val="20"/>
          <w:color w:val="auto"/>
        </w:rPr>
      </w:pPr>
      <w:r>
        <w:rPr>
          <w:rFonts w:ascii="Arial" w:cs="Arial" w:eastAsia="Arial" w:hAnsi="Arial"/>
          <w:sz w:val="18"/>
          <w:szCs w:val="18"/>
          <w:color w:val="auto"/>
        </w:rPr>
        <w:t>when a change to our future minimum lease payments occurs. Key assumptions and judgments included in the determination of the lease liability include the discount rate used in the present value calculation and the exercise of renewal options.</w:t>
      </w:r>
    </w:p>
    <w:p>
      <w:pPr>
        <w:spacing w:after="0" w:line="143"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8"/>
          <w:szCs w:val="18"/>
          <w:color w:val="auto"/>
        </w:rPr>
        <w:t>Many of our leases contain renewal options. As the exercise of the renewal options is not certain at commencement of a lease, we generally do not include the option periods in the lease term when determining the lease liabilities and ROU assets. We remeasure the lease liability and ROU asset when we are reasonably certain that we will exercise a renewal option.</w:t>
      </w:r>
    </w:p>
    <w:p>
      <w:pPr>
        <w:spacing w:after="0" w:line="160"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Our leases do not provide information about the rate implicit in the lease. Therefore, we utilize an incremental borrowing rate to calculate the present value of our future lease obligations. The incremental borrowing rate represents the rate of interest we would otherwise pay on a collateralized borrowing, for an amount equal to the lease payments, over a similar term and in a similar economic environment. The remaining weighted-average lease term is 4.40 years and the weighted-average discount rate is 2.12%.</w:t>
      </w:r>
    </w:p>
    <w:p>
      <w:pPr>
        <w:spacing w:after="0" w:line="147"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We consider lease payments that cannot be predicted with reasonable certainty upon lease commencement to be variable lease payments, which are recorded as incurred each period and are excluded from our calculation of lease liabilities. There were no variable lease costs for the three months ended March 31, 2023 and 2022.</w:t>
      </w:r>
    </w:p>
    <w:p>
      <w:pPr>
        <w:spacing w:after="0" w:line="108" w:lineRule="exact"/>
        <w:rPr>
          <w:sz w:val="20"/>
          <w:szCs w:val="20"/>
          <w:color w:val="auto"/>
        </w:rPr>
      </w:pPr>
    </w:p>
    <w:p>
      <w:pPr>
        <w:ind w:left="60" w:right="219" w:firstLine="648"/>
        <w:spacing w:after="0" w:line="308" w:lineRule="auto"/>
        <w:rPr>
          <w:sz w:val="20"/>
          <w:szCs w:val="20"/>
          <w:color w:val="auto"/>
        </w:rPr>
      </w:pPr>
      <w:r>
        <w:rPr>
          <w:rFonts w:ascii="Arial" w:cs="Arial" w:eastAsia="Arial" w:hAnsi="Arial"/>
          <w:sz w:val="17"/>
          <w:szCs w:val="17"/>
          <w:color w:val="auto"/>
        </w:rPr>
        <w:t>Short-term leases, defined as those with a term of 12 months or less, are not recorded on our Condensed Balance Sheet. Our short-term lease costs were not material for the three months ended March 31, 2023 and 2022.</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March 31, 2023, future minimum lease payments under our operating lease liabilities were as follows: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2026</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r>
      <w:tr>
        <w:trPr>
          <w:trHeight w:val="21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liability</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Less current lease liability</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non-current lease liability</w:t>
            </w: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color w:val="auto"/>
        </w:rPr>
        <w:t>. INVENTORIES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consists of the following:</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As of</w:t>
            </w:r>
          </w:p>
        </w:tc>
      </w:tr>
      <w:tr>
        <w:trPr>
          <w:trHeight w:val="149"/>
        </w:trPr>
        <w:tc>
          <w:tcPr>
            <w:tcW w:w="3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3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15,465</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17,442</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Work in progress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(1)</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21,429</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Allowance for obsolescence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0"/>
        </w:trPr>
        <w:tc>
          <w:tcPr>
            <w:tcW w:w="3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2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39,769</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39,062</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1040" w:right="159" w:hanging="315"/>
        <w:spacing w:after="0" w:line="277"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Finished goods includes $7,242 and $6,987 as of March 31, 2023 and December 31, 2022, respectively, held for more than twelve months and classified as long-term.</w:t>
      </w:r>
    </w:p>
    <w:p>
      <w:pPr>
        <w:spacing w:after="0" w:line="287" w:lineRule="exact"/>
        <w:rPr>
          <w:rFonts w:ascii="Arial" w:cs="Arial" w:eastAsia="Arial" w:hAnsi="Arial"/>
          <w:sz w:val="18"/>
          <w:szCs w:val="18"/>
          <w:color w:val="auto"/>
        </w:rPr>
      </w:pPr>
    </w:p>
    <w:p>
      <w:pPr>
        <w:ind w:left="240" w:hanging="190"/>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plant and equipment consists of the following:</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As of</w:t>
            </w:r>
          </w:p>
        </w:tc>
      </w:tr>
      <w:tr>
        <w:trPr>
          <w:trHeight w:val="148"/>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16,949</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5,750</w:t>
            </w:r>
          </w:p>
        </w:tc>
      </w:tr>
      <w:tr>
        <w:trPr>
          <w:trHeight w:val="216"/>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39,508</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r>
      <w:tr>
        <w:trPr>
          <w:trHeight w:val="210"/>
        </w:trPr>
        <w:tc>
          <w:tcPr>
            <w:tcW w:w="5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property, plant and equipment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30,597</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30,106</w:t>
            </w: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color w:val="auto"/>
        </w:rPr>
        <w:t>Depreciation expense was $270 with $126 included as a component of cost of product sales for the three months ended March 31, 2023, and $260 with $121 included as a component of cost of product sales for the three months ended March 31, 2022.</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OTHER ASSETS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assets consists of the following:</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As of March 31,</w:t>
            </w:r>
          </w:p>
        </w:tc>
        <w:tc>
          <w:tcPr>
            <w:tcW w:w="1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As of December 31,</w:t>
            </w:r>
          </w:p>
        </w:tc>
      </w:tr>
      <w:tr>
        <w:trPr>
          <w:trHeight w:val="201"/>
        </w:trPr>
        <w:tc>
          <w:tcPr>
            <w:tcW w:w="6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rent</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8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Repossessed homes</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b w:val="1"/>
          <w:bCs w:val="1"/>
          <w:color w:val="auto"/>
        </w:rPr>
        <w:t>. DEBT SECURITIES</w:t>
      </w:r>
    </w:p>
    <w:p>
      <w:pPr>
        <w:spacing w:after="0" w:line="189"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Debt Securities have been classified according to management’s intent. The Company purchased US Treasury Notes in November 2022 that mature in November 2023. The Debt Securities have been classified as held-to-maturity and the amortized costs are $8,452 and $8,412 at March 31, 2023 and December 31, 2022, respectively.</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color w:val="auto"/>
        </w:rPr>
        <w:t>. ACCRUED LIABILITIES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 of the following:</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As of</w:t>
            </w:r>
          </w:p>
        </w:tc>
      </w:tr>
      <w:tr>
        <w:trPr>
          <w:trHeight w:val="149"/>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Litigation reserve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Payroll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Portfolio taxes and title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tax</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Dealer rebates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Sales tax</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Federal and state income taxes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6,699</w:t>
            </w:r>
          </w:p>
        </w:tc>
      </w:tr>
      <w:tr>
        <w:trPr>
          <w:trHeight w:val="216"/>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r>
      <w:tr>
        <w:trPr>
          <w:trHeight w:val="209"/>
        </w:trPr>
        <w:tc>
          <w:tcPr>
            <w:tcW w:w="516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17,673</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16,895</w:t>
            </w: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color w:val="auto"/>
        </w:rPr>
        <w:t>. DEBT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Lines of Credit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Revolver 1</w:t>
      </w:r>
    </w:p>
    <w:p>
      <w:pPr>
        <w:spacing w:after="0" w:line="185"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On March 30, 2020, the Company entered into an agreement with Capital One, N.A. for a new revolving line of credit (“Revolver”). The Revolver had a maximum credit limit of $70,000 and a maturity date of March 30, 2024.</w:t>
      </w:r>
    </w:p>
    <w:p>
      <w:pPr>
        <w:spacing w:after="0" w:line="83"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6"/>
          <w:szCs w:val="16"/>
          <w:color w:val="auto"/>
        </w:rPr>
        <w:t>On June 21, 2022, the Company received a Reservation of Rights notice from Capital One, N.A. (“Capital One”). The letter stated that the Company’s Revolver was in default. The default condition occurred due to the Company’s failure to timely file the Form 10-K and deliver certain financial statements to Capital One. On July 28, 2022, the Company entered into a Limited Waiver and First Amendment to Credit Agreement (the “Amendment”) with Capital One. The Amendment replaced the LIBOR borrowing rate with a secured overnight financing rate (“SOFR”) and waived a default arising out of a monetary judgement against the Company that exceeded the amount allowed in the Revolver. On August 24, 2022, the Company received a Notice of Default and Partial Suspension of Loan Commitments from Capital One. The notice stated that the July 28, 2022 forbearance agreement had been terminated and that Capital One suspending $50,000 of the $70,000 loan commitment under the Revolver. As a result, the available line of credit in the Revolver has been limited to $20,000. As of March 31, 2023, the Company was in compliance with all non-financial covenants.</w:t>
      </w:r>
    </w:p>
    <w:p>
      <w:pPr>
        <w:spacing w:after="0" w:line="141"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The Revolver accrues interest at one-month SOFR plus 2.00%. The interest rates in effect as of March 31, 2023 and December 31, 2022 are 6.66% and 6.12%, respectively. Amounts available under the Revolver are subject to a formula based on eligible consumer loans and MHP Notes and are secured by all accounts receivable, consumer loans and MHP Notes. The amount of available credit under the Revolver was $12,162 and $17,400 as of March 31, 2023 and December 31, 2022, respectively. In connection with the Revolver, the Company paid certain arrangement fees and other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20" w:right="160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fees of approximately $295, which were capitalized as unamortized debt issuance costs and will be amortized to interest expense over the life of the Revolver.</w:t>
      </w:r>
    </w:p>
    <w:p>
      <w:pPr>
        <w:spacing w:after="0" w:line="130"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For the three months ended March 31, 2023 and 2022, interest expense under the Revolver was $91 and $56, respectively. The outstanding balance as of March 31, 2023 and December 31, 2022 was $7,838 and $2,545, respectively. The Revolver requires the Company to comply with certain financial and non-financial covenants. As of March 31, 2023, the Company was in compliance with all financial covenants, including that it maintain a tangible net worth of at least $120,000 and that it maintain a ratio of debt to EBITDA of 4 to 1 or less.</w:t>
      </w: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SHARE-BASED COMPENSATION</w:t>
      </w:r>
    </w:p>
    <w:p>
      <w:pPr>
        <w:spacing w:after="0" w:line="18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December 31, 2022, the Company had 9.7 million shares available for grant under the Compensation Plan.</w:t>
      </w:r>
    </w:p>
    <w:p>
      <w:pPr>
        <w:spacing w:after="0" w:line="161"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In February 2019, the Company granted 120,000 restricted shares of its common stock to members of senior management. The shares were granted on February 7, 2019 and had a grant date fair value of $1,636. The shares vest at a rate of 14.3% annually, beginning on February 7, 2019, and become fully vested on February 7, 2025. During the second quarter of 2020, 42,857 of these restricted shares were forfeited due to the departure of a member of senior management.</w:t>
      </w:r>
    </w:p>
    <w:p>
      <w:pPr>
        <w:spacing w:after="0" w:line="117"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 November 2021, the Company granted 1,202 restricted shares of its common stock to the independent directors on the Company’s Board of Directors. The shares were granted on November 30, 2021 and had a grant date fair value of $30. The shares became fully vested on October 24, 2022.</w:t>
      </w:r>
    </w:p>
    <w:p>
      <w:pPr>
        <w:spacing w:after="0" w:line="143" w:lineRule="exact"/>
        <w:rPr>
          <w:sz w:val="20"/>
          <w:szCs w:val="20"/>
          <w:color w:val="auto"/>
        </w:rPr>
      </w:pPr>
    </w:p>
    <w:p>
      <w:pPr>
        <w:jc w:val="both"/>
        <w:ind w:left="60" w:right="139" w:firstLine="648"/>
        <w:spacing w:after="0" w:line="286" w:lineRule="auto"/>
        <w:rPr>
          <w:sz w:val="20"/>
          <w:szCs w:val="20"/>
          <w:color w:val="auto"/>
        </w:rPr>
      </w:pPr>
      <w:r>
        <w:rPr>
          <w:rFonts w:ascii="Arial" w:cs="Arial" w:eastAsia="Arial" w:hAnsi="Arial"/>
          <w:sz w:val="17"/>
          <w:szCs w:val="17"/>
          <w:color w:val="auto"/>
        </w:rPr>
        <w:t>In January 2022, the Company granted 150,000 restricted shares of its common stock to the Executive Chairman of the Company pursuant to an amended and restated employment agreement. The shares were granted on January 6, 2022 and had a grant date fair value of $3,741. The shares became fully vested upon grant.</w:t>
      </w:r>
    </w:p>
    <w:p>
      <w:pPr>
        <w:spacing w:after="0" w:line="138" w:lineRule="exact"/>
        <w:rPr>
          <w:sz w:val="20"/>
          <w:szCs w:val="20"/>
          <w:color w:val="auto"/>
        </w:rPr>
      </w:pPr>
    </w:p>
    <w:p>
      <w:pPr>
        <w:jc w:val="both"/>
        <w:ind w:left="100" w:right="339" w:firstLine="583"/>
        <w:spacing w:after="0" w:line="281" w:lineRule="auto"/>
        <w:rPr>
          <w:sz w:val="20"/>
          <w:szCs w:val="20"/>
          <w:color w:val="auto"/>
        </w:rPr>
      </w:pPr>
      <w:r>
        <w:rPr>
          <w:rFonts w:ascii="Arial" w:cs="Arial" w:eastAsia="Arial" w:hAnsi="Arial"/>
          <w:sz w:val="17"/>
          <w:szCs w:val="17"/>
          <w:color w:val="auto"/>
        </w:rPr>
        <w:t>On January 6, 2022, the Company gave contingent equity awards of 350,000 shares of the Company’s restricted stock to the Executive Chairman of the Company pursuant to an amended and restated employment agreement. An equity award of 175,000 shares will be granted if the Company’s stock price closes at $36 per share for a period of fifteen consecutive market days (the “$36 Equity Award”). The $36 Equity Awards had a grant date fair value of $1,412. Fifty percent of the shares shall be vested at grant and fifty percent shall vest on June 16, 2024, so long as the Executive Chairman is employed by the Company on that date. An additional equity award of 175,000 shares of the Company’s restricted stock will be granted if the Company’s stock price closes at $48 per share for a period of fifteen consecutive market days (the “$48 Equity Award”). The $48 Equity Awards had a grant date fair value of $683. Fifty percent of the shares shall be vested at grant and fifty percent shall vest on June 16, 2024, so long as the Executive Chairman is employed by the Company on that date.</w:t>
      </w:r>
    </w:p>
    <w:p>
      <w:pPr>
        <w:spacing w:after="0" w:line="168" w:lineRule="exact"/>
        <w:rPr>
          <w:sz w:val="20"/>
          <w:szCs w:val="20"/>
          <w:color w:val="auto"/>
        </w:rPr>
      </w:pPr>
    </w:p>
    <w:p>
      <w:pPr>
        <w:jc w:val="both"/>
        <w:ind w:left="100" w:right="339" w:firstLine="583"/>
        <w:spacing w:after="0" w:line="268" w:lineRule="auto"/>
        <w:rPr>
          <w:sz w:val="20"/>
          <w:szCs w:val="20"/>
          <w:color w:val="auto"/>
        </w:rPr>
      </w:pPr>
      <w:r>
        <w:rPr>
          <w:rFonts w:ascii="Arial" w:cs="Arial" w:eastAsia="Arial" w:hAnsi="Arial"/>
          <w:sz w:val="18"/>
          <w:szCs w:val="18"/>
          <w:color w:val="auto"/>
        </w:rPr>
        <w:t>On November 15, 2022, the Company entered into a rescission and relinquishment agreement (the “Rescission Agreement”) with the Executive Chairman. The Rescission Agreement allows the Executive Chairman to rescind and relinquish the $36 Equity Awards and the $48 Equity Awards granted under the amended and restated employment agreement and allows the Company to accept such rescission and relinquishment without penalty. The effective date of the Rescission Agreement was October 1, 2022.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20" w:right="160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On June 7, 2022, the Company granted 14,700 restricted shares of its common stock to the Chief Executive Officer of the Company pursuant to an employment agreement. The shares were granted on June 7, 2022 and had a grant date fair value of $235. One-half of the shares vest on June 7, 2023 and the remaining half vest on June 7, 2024.</w:t>
      </w:r>
    </w:p>
    <w:p>
      <w:pPr>
        <w:spacing w:after="0" w:line="108"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On June 7, 2022, the Company granted 301 restricted shares of its common stock to an independent director on the Company’s Board of Directors. The shares were granted on June 7, 2022 and had a grant date fair value of $5. The shares became fully vested on October 24, 2022.</w:t>
      </w:r>
    </w:p>
    <w:p>
      <w:pPr>
        <w:spacing w:after="0" w:line="157"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 November 2022, the Company granted 1,734 restricted shares of its common stock to the independent directors on the Company’s Board of Directors. The shares were granted on November 29, 2022 and had a grant date fair value of $30. The shares became fully vested on October 23, 2023.</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summary of restricted stock units (the “RSU”) activity (in thousands, except per unit data):</w:t>
      </w:r>
    </w:p>
    <w:p>
      <w:pPr>
        <w:spacing w:after="0" w:line="224"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8"/>
              </w:rPr>
              <w:t>Grant</w:t>
            </w:r>
          </w:p>
        </w:tc>
      </w:tr>
      <w:tr>
        <w:trPr>
          <w:trHeight w:val="203"/>
        </w:trPr>
        <w:tc>
          <w:tcPr>
            <w:tcW w:w="6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6"/>
              </w:rPr>
              <w:t>Date Fair</w:t>
            </w:r>
          </w:p>
        </w:tc>
      </w:tr>
      <w:tr>
        <w:trPr>
          <w:trHeight w:val="203"/>
        </w:trPr>
        <w:tc>
          <w:tcPr>
            <w:tcW w:w="64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200" w:type="dxa"/>
            <w:vAlign w:val="bottom"/>
          </w:tcPr>
          <w:p>
            <w:pPr>
              <w:spacing w:after="0"/>
              <w:rPr>
                <w:sz w:val="17"/>
                <w:szCs w:val="17"/>
                <w:color w:val="auto"/>
              </w:rPr>
            </w:pPr>
          </w:p>
        </w:tc>
        <w:tc>
          <w:tcPr>
            <w:tcW w:w="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Value Per</w:t>
            </w:r>
          </w:p>
        </w:tc>
      </w:tr>
      <w:tr>
        <w:trPr>
          <w:trHeight w:val="213"/>
        </w:trPr>
        <w:tc>
          <w:tcPr>
            <w:tcW w:w="640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Arial" w:cs="Arial" w:eastAsia="Arial" w:hAnsi="Arial"/>
                <w:sz w:val="16"/>
                <w:szCs w:val="16"/>
                <w:b w:val="1"/>
                <w:bCs w:val="1"/>
                <w:color w:val="auto"/>
              </w:rPr>
              <w:t>of Units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6"/>
              </w:rPr>
              <w:t>Unit</w:t>
            </w:r>
          </w:p>
        </w:tc>
      </w:tr>
      <w:tr>
        <w:trPr>
          <w:trHeight w:val="199"/>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January 1, 2023</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w:t>
            </w:r>
          </w:p>
        </w:tc>
      </w:tr>
      <w:tr>
        <w:trPr>
          <w:trHeight w:val="202"/>
        </w:trPr>
        <w:tc>
          <w:tcPr>
            <w:tcW w:w="6400" w:type="dxa"/>
            <w:vAlign w:val="bottom"/>
          </w:tcPr>
          <w:p>
            <w:pPr>
              <w:spacing w:after="0"/>
              <w:rPr>
                <w:sz w:val="20"/>
                <w:szCs w:val="20"/>
                <w:color w:val="auto"/>
              </w:rPr>
            </w:pPr>
            <w:r>
              <w:rPr>
                <w:rFonts w:ascii="Arial" w:cs="Arial" w:eastAsia="Arial" w:hAnsi="Arial"/>
                <w:sz w:val="16"/>
                <w:szCs w:val="16"/>
                <w:color w:val="auto"/>
              </w:rPr>
              <w:t>Granted</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13.63</w:t>
            </w: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Canceled</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March 31, 2023</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14.86</w:t>
            </w:r>
          </w:p>
        </w:tc>
      </w:tr>
    </w:tbl>
    <w:p>
      <w:pPr>
        <w:spacing w:after="0" w:line="94"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As of March 31, 2023, approximately 34,000 RSUs remained unvested. The unrecognized compensation expense related to these RSUs at March 31, 2023 was $376 and is expected to be recognized over 1.55 years.</w:t>
      </w:r>
    </w:p>
    <w:p>
      <w:pPr>
        <w:spacing w:after="0" w:line="106" w:lineRule="exact"/>
        <w:rPr>
          <w:sz w:val="20"/>
          <w:szCs w:val="20"/>
          <w:color w:val="auto"/>
        </w:rPr>
      </w:pPr>
    </w:p>
    <w:p>
      <w:pPr>
        <w:ind w:left="60" w:right="239" w:firstLine="648"/>
        <w:spacing w:after="0" w:line="254" w:lineRule="auto"/>
        <w:rPr>
          <w:sz w:val="20"/>
          <w:szCs w:val="20"/>
          <w:color w:val="auto"/>
        </w:rPr>
      </w:pPr>
      <w:r>
        <w:rPr>
          <w:rFonts w:ascii="Arial" w:cs="Arial" w:eastAsia="Arial" w:hAnsi="Arial"/>
          <w:sz w:val="18"/>
          <w:szCs w:val="18"/>
          <w:color w:val="auto"/>
        </w:rPr>
        <w:t>The Company granted 34,626 incentive stock options to a member of senior management. The options were granted on August 10, 2020 at an exercise price of $14.44 per share. The options vest at a rate of 20.0% annually, beginning on August 10, 2021, and become fully vested on August 10, 2025. All options expire ten years after the date of grant. Weighted-average assumptions used in the Black-Scholes option pricing model for stock options granted were as follows: risk free interest rate of 0.24%, dividend yield of 0.00%, expected volatility of common stock of 75.0% and expected life of options of 6.5 years. During the first quarter of 2022, 27,701 of these options were forfeited due to the individual’s departure.</w:t>
      </w:r>
    </w:p>
    <w:p>
      <w:pPr>
        <w:spacing w:after="0" w:line="168"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The Company granted 55,490 incentive stock options to a member of management. The options were granted on September 23, 2021 at an exercise price of $18.02 per share. The options vest at a rate of 10.0% annually, beginning on September 23, 2022, and become fully vested on September 23, 2031. All options expire ten years after the date of grant. Weighted-average assumptions used in the Black-Scholes option pricing model for stock options granted were as follows: risk free interest rate of 1.41%, dividend yield of 0.00%, expected volatility of common stock of 75.0% and expected life of options of 7.8 years. During the fourth quarter of 2022, these options were forfeited due to the individual’s departure.</w:t>
      </w:r>
    </w:p>
    <w:p>
      <w:pPr>
        <w:spacing w:after="0" w:line="124"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Company granted 62,460 incentive stock options to the Chief Executive Officer. The options were granted on June 7, 2022 at an exercise price of $16.01 per share. The options vest at a rate of 10.0% annually, beginning on June 7, 2023, and become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00" w:right="162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Company granted options to purchase 900,000 shares of the Company’s stock to the Chief Executive Officer. An option to purchase 300,000 shares of the Company’s stock was granted on June 7, 2022 at an exercise price of $36.00 per share and an option to purchase 600,000 shares of the Company’s stock was granted on June 7, 2022 at an exercise price of $48.00 per share. The options vest at a rate of 10.0% annually, beginning on June 7, 2023, and become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spacing w:after="0" w:line="126"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The Company granted 62,460 incentive stock options to the Chief Financial Officer. The options were granted on June 7, 2022 at an exercise price of $16.01 per share. The options vest at a rate of 10.0% annually, beginning on June 7, 2023, and become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option activity (number of units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6"/>
                <w:szCs w:val="16"/>
                <w:b w:val="1"/>
                <w:bCs w:val="1"/>
                <w:color w:val="auto"/>
              </w:rPr>
              <w:t>Weighted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Average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Grant</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Date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Fair</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3340" w:type="dxa"/>
            <w:vAlign w:val="bottom"/>
          </w:tcPr>
          <w:p>
            <w:pPr>
              <w:spacing w:after="0"/>
              <w:rPr>
                <w:sz w:val="17"/>
                <w:szCs w:val="17"/>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Price Per</w:t>
            </w:r>
          </w:p>
        </w:tc>
        <w:tc>
          <w:tcPr>
            <w:tcW w:w="1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6"/>
                <w:szCs w:val="16"/>
                <w:b w:val="1"/>
                <w:bCs w:val="1"/>
                <w:color w:val="auto"/>
              </w:rPr>
              <w:t>Value Per</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Intrinsic</w:t>
            </w:r>
          </w:p>
        </w:tc>
      </w:tr>
      <w:tr>
        <w:trPr>
          <w:trHeight w:val="213"/>
        </w:trPr>
        <w:tc>
          <w:tcPr>
            <w:tcW w:w="3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of Units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6"/>
              </w:rPr>
              <w:t>Unit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Unit</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8"/>
              </w:rPr>
              <w:t>Value</w:t>
            </w:r>
          </w:p>
        </w:tc>
      </w:tr>
      <w:tr>
        <w:trPr>
          <w:trHeight w:val="199"/>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Outstanding, January 1, 2022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Granted</w:t>
            </w:r>
          </w:p>
        </w:tc>
        <w:tc>
          <w:tcPr>
            <w:tcW w:w="1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Forfeited</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14.44</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8.67</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Outstanding, March 31, 2022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196"/>
        </w:trPr>
        <w:tc>
          <w:tcPr>
            <w:tcW w:w="33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Exercisable, March 31, 2022</w:t>
            </w:r>
          </w:p>
        </w:tc>
        <w:tc>
          <w:tcPr>
            <w:tcW w:w="1440" w:type="dxa"/>
            <w:vAlign w:val="bottom"/>
            <w:tcBorders>
              <w:top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gridSpan w:val="2"/>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3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Outstanding, January 1, 2023</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1,025</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40.59</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4.99</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Exercised</w:t>
            </w:r>
          </w:p>
        </w:tc>
        <w:tc>
          <w:tcPr>
            <w:tcW w:w="1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r>
      <w:tr>
        <w:trPr>
          <w:trHeight w:val="196"/>
        </w:trPr>
        <w:tc>
          <w:tcPr>
            <w:tcW w:w="3340" w:type="dxa"/>
            <w:vAlign w:val="bottom"/>
          </w:tcPr>
          <w:p>
            <w:pPr>
              <w:spacing w:after="0"/>
              <w:rPr>
                <w:sz w:val="20"/>
                <w:szCs w:val="20"/>
                <w:color w:val="auto"/>
              </w:rPr>
            </w:pPr>
            <w:r>
              <w:rPr>
                <w:rFonts w:ascii="Arial" w:cs="Arial" w:eastAsia="Arial" w:hAnsi="Arial"/>
                <w:sz w:val="16"/>
                <w:szCs w:val="16"/>
                <w:color w:val="auto"/>
              </w:rPr>
              <w:t>Outstanding, March 31, 2023</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1,025</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40.59</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4.99</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9.19</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Exercisable, March 31, 2023</w:t>
            </w:r>
          </w:p>
        </w:tc>
        <w:tc>
          <w:tcPr>
            <w:tcW w:w="14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ind w:left="60" w:right="639" w:firstLine="648"/>
        <w:spacing w:after="0" w:line="342" w:lineRule="auto"/>
        <w:rPr>
          <w:sz w:val="20"/>
          <w:szCs w:val="20"/>
          <w:color w:val="auto"/>
        </w:rPr>
      </w:pPr>
      <w:r>
        <w:rPr>
          <w:rFonts w:ascii="Arial" w:cs="Arial" w:eastAsia="Arial" w:hAnsi="Arial"/>
          <w:sz w:val="16"/>
          <w:szCs w:val="16"/>
          <w:color w:val="auto"/>
        </w:rPr>
        <w:t>As of March 31, 2023, approximately 1,025,000 options remained nonvested. Unrecognized compensation expense related to these options at March 31, 2023 was $4,699 and is expected to be recognized over 9.19 years.</w:t>
      </w: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189" w:lineRule="exact"/>
        <w:rPr>
          <w:sz w:val="20"/>
          <w:szCs w:val="20"/>
          <w:color w:val="auto"/>
        </w:rPr>
      </w:pPr>
    </w:p>
    <w:p>
      <w:pPr>
        <w:ind w:left="60" w:right="399"/>
        <w:spacing w:after="0" w:line="255" w:lineRule="auto"/>
        <w:rPr>
          <w:sz w:val="20"/>
          <w:szCs w:val="20"/>
          <w:color w:val="auto"/>
        </w:rPr>
      </w:pPr>
      <w:r>
        <w:rPr>
          <w:rFonts w:ascii="Arial" w:cs="Arial" w:eastAsia="Arial" w:hAnsi="Arial"/>
          <w:sz w:val="18"/>
          <w:szCs w:val="18"/>
          <w:color w:val="auto"/>
        </w:rPr>
        <w:t>The provision for income tax expense for the three months ended March 31, 2023 and 2022 was $3,435 and $3,558, respectively. The effective tax rate for the three months ended March 31, 2023 was 17.4% and differs from the federal statutory rate of 21% primarily due to a federal tax credit for energy efficient construction and partially offset by state income taxes. The effective tax rate for the three months ended March 31, 2022 was 18.1% and differs from the federal statutory rate of 21% primarily due to a federal tax credit for energy efficient construction and partially offset by state income taxes.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COMMITMENTS AND CONTINGENCIES</w:t>
      </w:r>
    </w:p>
    <w:p>
      <w:pPr>
        <w:spacing w:after="0" w:line="189"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As of January 1, 2020, the Company instituted a self-insured health benefits plan with a stop-loss policy, which provides medical benefits to employees electing coverage under the plan. The Company reserves estimated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As of March 31, 2023 and December 31, 2022, the Company had accrued a $174 and $149 liability for incurred but not reported claims, respectively. These accrued amounts are included in accrued liabilities on the condensed balance sheets.</w:t>
      </w:r>
    </w:p>
    <w:p>
      <w:pPr>
        <w:spacing w:after="0" w:line="150"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The Company is contingently liable under the terms of repurchase agreements with financial institutions that provide inventory financing for independent retailers that sell the Company’s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totaled $8,396 and $8,925 at March 31, 2023 and December 31, 2022, respectively, without reduction for the resale value of the homes. The Company considers its obligations on current contracts to be insignificant and accordingly has not recorded any reserve for repurchase commitment as of March 31, 2023 and December 31, 2022.</w:t>
      </w:r>
    </w:p>
    <w:p>
      <w:pPr>
        <w:spacing w:after="0" w:line="138"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The Company leases facilities under operating leases that typically have 10-year terms. These leases</w:t>
      </w:r>
      <w:r>
        <w:rPr>
          <w:rFonts w:ascii="Arial" w:cs="Arial" w:eastAsia="Arial" w:hAnsi="Arial"/>
          <w:sz w:val="17"/>
          <w:szCs w:val="17"/>
          <w:i w:val="1"/>
          <w:iCs w:val="1"/>
          <w:color w:val="auto"/>
        </w:rPr>
        <w:t xml:space="preserve"> </w:t>
      </w:r>
      <w:r>
        <w:rPr>
          <w:rFonts w:ascii="Arial" w:cs="Arial" w:eastAsia="Arial" w:hAnsi="Arial"/>
          <w:sz w:val="17"/>
          <w:szCs w:val="17"/>
          <w:color w:val="auto"/>
        </w:rPr>
        <w:t>usually offer the Company a right of first refusal that affords the Company the option to purchase the leased premises under certain terms in the event the landlord attempts to sell the leased premises to a third party. Rent expense was $182 and $163 for the three months ended March 31, 2023 and 2022, respectively. The Company also subleases properties to third parties, ranging from 3-year to 11-year terms with various renewal options. Rental income from the subleased properties was approximately $67 and $82 for the three months ended March 31, 2023 and 2022, respectively. See Note 5 – Leases, for a schedule of the Company’s future minimum lease commitments.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The Company has determined that it is probable that it has some liability related to some of these claims. The Company has included legal reserves of $394 and $753 as of March 31, 2023 and December 31, 2022, respectively, in accrued liabilities on the accompanying condensed balance sheets. Although litigation is inherently uncertain, based on past experience and the information currently available, management does not believe that pending or threatened litigation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FAIR VALUE MEASUREMENTS</w:t>
      </w:r>
    </w:p>
    <w:p>
      <w:pPr>
        <w:spacing w:after="0" w:line="189"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 xml:space="preserve">The Company accounts for its investments and derivative instruments in accordance with ASC 820-10,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w:t>
      </w:r>
      <w:r>
        <w:rPr>
          <w:rFonts w:ascii="Arial" w:cs="Arial" w:eastAsia="Arial" w:hAnsi="Arial"/>
          <w:sz w:val="17"/>
          <w:szCs w:val="17"/>
          <w:color w:val="auto"/>
        </w:rPr>
        <w:t>which among other things provides the framework for measuring fair value. This framework provides a fair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820-10, </w:t>
      </w:r>
      <w:r>
        <w:rPr>
          <w:rFonts w:ascii="Arial" w:cs="Arial" w:eastAsia="Arial" w:hAnsi="Arial"/>
          <w:sz w:val="17"/>
          <w:szCs w:val="17"/>
          <w:i w:val="1"/>
          <w:iCs w:val="1"/>
          <w:color w:val="auto"/>
        </w:rPr>
        <w:t>Fair Value Measurement</w:t>
      </w:r>
      <w:r>
        <w:rPr>
          <w:rFonts w:ascii="Arial" w:cs="Arial" w:eastAsia="Arial" w:hAnsi="Arial"/>
          <w:sz w:val="17"/>
          <w:szCs w:val="17"/>
          <w:color w:val="auto"/>
        </w:rPr>
        <w:t>, are as follows:</w:t>
      </w:r>
    </w:p>
    <w:p>
      <w:pPr>
        <w:spacing w:after="0" w:line="151" w:lineRule="exact"/>
        <w:rPr>
          <w:sz w:val="20"/>
          <w:szCs w:val="20"/>
          <w:color w:val="auto"/>
        </w:rPr>
      </w:pPr>
    </w:p>
    <w:p>
      <w:pPr>
        <w:ind w:left="1520" w:right="219" w:hanging="841"/>
        <w:spacing w:after="0" w:line="277" w:lineRule="auto"/>
        <w:tabs>
          <w:tab w:leader="none" w:pos="150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8"/>
          <w:szCs w:val="18"/>
          <w:color w:val="auto"/>
        </w:rPr>
        <w:t>Quoted prices are available in active markets for identical assets or liabilities that the reporting entity has the ability to access at the measurement date.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1540" w:right="379" w:hanging="841"/>
        <w:spacing w:after="0" w:line="291" w:lineRule="auto"/>
        <w:tabs>
          <w:tab w:leader="none" w:pos="152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Significant observable inputs other than quoted prices in active markets for which inputs to the valuation methodology include: (1) Quoted prices for similar assets or liabilities in active markets;</w:t>
      </w:r>
    </w:p>
    <w:p>
      <w:pPr>
        <w:ind w:left="1540" w:right="199" w:firstLine="1"/>
        <w:spacing w:after="0" w:line="250" w:lineRule="auto"/>
        <w:tabs>
          <w:tab w:leader="none" w:pos="1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 (3) Inputs other than quoted prices that are observable; and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2" w:lineRule="exact"/>
        <w:rPr>
          <w:sz w:val="20"/>
          <w:szCs w:val="20"/>
          <w:color w:val="auto"/>
        </w:rPr>
      </w:pPr>
    </w:p>
    <w:p>
      <w:pPr>
        <w:ind w:left="1540" w:right="539" w:hanging="841"/>
        <w:spacing w:after="0" w:line="260" w:lineRule="auto"/>
        <w:tabs>
          <w:tab w:leader="none" w:pos="1520" w:val="left"/>
        </w:tabs>
        <w:rPr>
          <w:sz w:val="20"/>
          <w:szCs w:val="20"/>
          <w:color w:val="auto"/>
        </w:rPr>
      </w:pPr>
      <w:r>
        <w:rPr>
          <w:rFonts w:ascii="Arial" w:cs="Arial" w:eastAsia="Arial" w:hAnsi="Arial"/>
          <w:sz w:val="18"/>
          <w:szCs w:val="18"/>
          <w:color w:val="auto"/>
        </w:rPr>
        <w:t>Level III</w:t>
        <w:tab/>
        <w:t>Significant unobservable inputs that reflect an entity’s own assumptions that market participants would use in pricing the assets or liabilities.</w:t>
      </w:r>
    </w:p>
    <w:p>
      <w:pPr>
        <w:spacing w:after="0" w:line="145"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asset or liability fair value measurement level within the fair value hierarchy is based on the lowest level of any input that is significant to the fair value measurement.</w:t>
      </w:r>
    </w:p>
    <w:p>
      <w:pPr>
        <w:spacing w:after="0" w:line="143"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The Company has used derivatives to manage risks related to interest rate movements. The Company does not enter into derivative contracts for speculative purposes. Interest rate swap contracts are recognized as assets or liabilities on the balance sheets and are measured at fair value. The fair value was calculated and provided by the lender, a Level II valuation technique. Management reviewed the fair values for the instruments as provided by the lender and determined the related asset and liability to be an accurate estimate of future gains and losses to the Company. The Company was not a party to any interest rate swap agreements during the three months ended March 31, 2023 and 2022.</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investments in US Treasury Notes, accounts receivable, consumer loans, MHP Notes, other notes, accounts payable, lines of credit, notes payable, and the dealer portion of consumer loans.</w:t>
      </w:r>
    </w:p>
    <w:p>
      <w:pPr>
        <w:spacing w:after="0" w:line="157"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The carrying amounts of cash and cash equivalents, accounts receivable, and accounts payable approximate their respective fair values because of the short-term maturities or expected settlement dates of these instruments. This is considered a Level I valuation technique. The investment in US Treasury Notes has quoted prices available in active markets that the Company can access at measurement dates. The Company determined that the fair value of the investment in US Treasury Notes was approximately $8,448 compared to the book value of $8,452 as of March 31, 2023, and a fair value of approximately $8,409 compared to the book value of $8,412 as of December 31, 2022. This is considered a Level I valuation technique. The lines of credit, notes payable, part of the MHP Notes and part of the other notes receivables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 receivables with fixed rates based on the discounted value of the remaining principal and interest cash flows. The Company determined that the fair value of the consumer loan portfolio was approximately $140,900 compared to the book value of $141,316 as of March 31, 2023, and a fair value of approximately $138,800 compared to the book value of $139,009 as of December 31, 2022. The Company determined that the fair value of the fixed rate MHP Notes was approximately $143,500 compared to the book value of $145,333 as of March 31, 2023, and a fair value of approximately $128,400 compared to the book value of $129,966 as of December 31, 2022. The Company determined that the fair value of the fixed rate other notes was approximately $24,400 compared to the book value of $24,972 as of March 31, 2023, and a fair value of approximately $21,600 compared to the book value of $22,722 as of December 31, 2022. This is a Level II valuation technique.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EARNINGS PER SHARE</w:t>
      </w:r>
    </w:p>
    <w:p>
      <w:pPr>
        <w:spacing w:after="0" w:line="18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Basic earnings per common share (“EPS”) is computed based on the weighted-average number of common shares outstanding during each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66"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Three months ended</w:t>
      </w:r>
    </w:p>
    <w:p>
      <w:pPr>
        <w:ind w:left="67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860" w:type="dxa"/>
        <w:tblCellMar>
          <w:top w:w="0" w:type="dxa"/>
          <w:left w:w="0" w:type="dxa"/>
          <w:bottom w:w="0" w:type="dxa"/>
          <w:right w:w="0" w:type="dxa"/>
        </w:tblCellMar>
      </w:tblPr>
      <w:tr>
        <w:trPr>
          <w:trHeight w:val="142"/>
        </w:trPr>
        <w:tc>
          <w:tcPr>
            <w:tcW w:w="4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Net income (in 000's)</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16,276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16,092</w:t>
            </w: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4820" w:type="dxa"/>
            <w:vAlign w:val="bottom"/>
          </w:tcPr>
          <w:p>
            <w:pPr>
              <w:ind w:left="100"/>
              <w:spacing w:after="0"/>
              <w:rPr>
                <w:sz w:val="20"/>
                <w:szCs w:val="20"/>
                <w:color w:val="auto"/>
              </w:rPr>
            </w:pPr>
            <w:r>
              <w:rPr>
                <w:rFonts w:ascii="Arial" w:cs="Arial" w:eastAsia="Arial" w:hAnsi="Arial"/>
                <w:sz w:val="18"/>
                <w:szCs w:val="18"/>
                <w:color w:val="auto"/>
              </w:rPr>
              <w:t>Basic weighted-average common shares outstanding</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24,374,677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24,351,223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Restricted stock grants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267,515</w:t>
            </w:r>
          </w:p>
        </w:tc>
      </w:tr>
      <w:tr>
        <w:trPr>
          <w:trHeight w:val="216"/>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options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789,442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42,688</w:t>
            </w:r>
          </w:p>
        </w:tc>
      </w:tr>
      <w:tr>
        <w:trPr>
          <w:trHeight w:val="210"/>
        </w:trPr>
        <w:tc>
          <w:tcPr>
            <w:tcW w:w="4820" w:type="dxa"/>
            <w:vAlign w:val="bottom"/>
          </w:tcPr>
          <w:p>
            <w:pPr>
              <w:ind w:left="100"/>
              <w:spacing w:after="0"/>
              <w:rPr>
                <w:sz w:val="20"/>
                <w:szCs w:val="20"/>
                <w:color w:val="auto"/>
              </w:rPr>
            </w:pPr>
            <w:r>
              <w:rPr>
                <w:rFonts w:ascii="Arial" w:cs="Arial" w:eastAsia="Arial" w:hAnsi="Arial"/>
                <w:sz w:val="18"/>
                <w:szCs w:val="18"/>
                <w:color w:val="auto"/>
              </w:rPr>
              <w:t>Diluted weighted-average common shares outstanding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25,177,502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24,661,426</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6"/>
              </w:rPr>
              <w:t>Earnings per share attributable to Legacy Housing Corporation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16"/>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RELATED PARTY TRANSACTIONS</w:t>
      </w:r>
    </w:p>
    <w:p>
      <w:pPr>
        <w:spacing w:after="0" w:line="18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Bell Mobile Homes, a retailer owned by one of the Company’s significant owners, purchases manufactured homes from the Company. Accounts receivable balances due from Bell Mobile Homes were $104 and $0 as of March 31, 2023 and December 31, 2022, respectively. Accounts payable balances due to Bell Mobile Homes for maintenance and related services were $41 and $132 as of March 31, 2023 and December 31, 2022, respectively. Home sales to Bell Mobile Homes were $479 and $632 for the three months ended March 31, 2023 and 2022, respectively.</w:t>
      </w:r>
    </w:p>
    <w:p>
      <w:pPr>
        <w:spacing w:after="0" w:line="134"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Shipley Bros., Ltd. (“Shipley Bros.”), a retailer owned by one of the Company’s significant shareholders, purchases manufactured homes from the Company. Home sales to Shipley Bros. were $632 and $693 for the three months ended March 31, 2023 and 2022, respectively. Accounts receivable balances due from Shipley Bros. were $224 and $0 as of March 31, 2023 and December 31, 2022, respectively. There were no accounts payable balances due to Shipley Bros. as of March 31, 2023 and December 31, 2022.</w:t>
      </w:r>
    </w:p>
    <w:p>
      <w:pPr>
        <w:spacing w:after="0" w:line="147"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At March 31, 2023, the Company had a receivable of $14 from a principal shareholder. This amount is included in the Company’s accounts receivable balance as of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left="60" w:right="179" w:firstLine="713"/>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and accompanying notes and the information contained in other sections of this Form 10-Q. It contains forward-looking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forward-looking statements as a result of various factors, including those discussed in this Form 10-Q and in our Registration Statement on Form S-1, particularly under the heading “Risk Factors.”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Legacy Housing Corporation builds, sells and finances manufactured homes and “tiny houses” that are distributed through a network of independent retailers and company-owned stores to consumers and manufactured housing communities. We are the fifth largest producer of manufactured homes in the United States as ranked by the number of homes manufactured based on information available from the Manufactured Housing Institute and the Institute for Building Technology and Safety for the twelve month period ending December 31, 2022. With current operations focused primarily in the southern United States, we offer our customers an array of quality homes ranging in size from approximately 395 to 2,667 square feet consisting of 1 to 5 bedrooms, with 1 to 3 1/2 bathrooms. Our homes range in price, at retail, from approximately $33,000 to $180,000. For the three months ended March 31, 2023, we sold 810 home sections (which are entire homes or single floors that are combined to create complete homes) and for the three months ended March 31, 2022, we sold 1,004 home sections.</w:t>
      </w:r>
    </w:p>
    <w:p>
      <w:pPr>
        <w:spacing w:after="0" w:line="14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the sale of homes. In addition, the sale of homes is directly related to financing provided by us. Accordingly, all significant operating and strategic decisions by the chief operating decision-maker, the Executive Chairman of the Board, are based upon analyses of our company as one segment or unit.</w:t>
      </w:r>
    </w:p>
    <w:p>
      <w:pPr>
        <w:spacing w:after="0" w:line="124"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custom-made homes using quality materials and distributing those homes through our expansive network of independent retailers and company-owned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on average, approximately 70 home sections, or 60 fully-completed homes depending on product mix,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state-of-the-art kitchens.</w:t>
      </w:r>
    </w:p>
    <w:p>
      <w:pPr>
        <w:spacing w:after="0" w:line="141"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Our homes are marketed under our premier “Legacy” brand name and currently are sold primarily across 15 states through a network of 156 independent retail locations, 13 company-owned retail locations and through direct sales to owners of manufactured home communities. Our 13 company-owned retail locations, including 11 Heritage Housing stores and two Tiny House Outlet stores exclusively sell our homes. For the three months ended March 31, 2023, approximately 38% of our manufactured homes were sold in Texas, followed by 19% in Georgia, 8% in Louisiana, 7% in Florida, and 4% in Alabama. For the three months ended March 31, 2022, approximately 49% of our manufactured homes were sold in Texas, followed by 11% in Georgia, 8% in Florida, 7% in Louisiana and 5% in Arizona.</w:t>
      </w:r>
    </w:p>
    <w:p>
      <w:pPr>
        <w:spacing w:after="0" w:line="126"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We offer three types of financing solutions to our customers. We provide floor plan financing for our independent retailers, which takes the form of a consignment arrangement or a financed sale between the retailer and us. We also provide consumer financing for our products which are sold to end-users through both independent and company-owned retail locations, and we provide financing solutions to manufactured housing community owners that buy our products for use in their manufactured housing communities. Our ability to offer competitive financing options at our retail locations provides us with several competitive advantages and allows us to capture sales which may not have otherwise occurred without our ability to offer consumer financing.</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Factors Affecting Our Performance</w:t>
      </w:r>
    </w:p>
    <w:p>
      <w:pPr>
        <w:spacing w:after="0" w:line="202"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We believe that the growth of our business and our future success depend on various opportunities, challenges, trends and other factors, including the following:</w:t>
      </w:r>
    </w:p>
    <w:p>
      <w:pPr>
        <w:spacing w:after="0" w:line="130" w:lineRule="exact"/>
        <w:rPr>
          <w:sz w:val="20"/>
          <w:szCs w:val="20"/>
          <w:color w:val="auto"/>
        </w:rPr>
      </w:pPr>
    </w:p>
    <w:p>
      <w:pPr>
        <w:ind w:left="1040" w:right="79" w:hanging="315"/>
        <w:spacing w:after="0" w:line="26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purchased several properties in our market area for the purpose of developing manufactured housing communities and subdivisions. As of March 31, 2023, the cost of these properties include the following (dollars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00" w:type="dxa"/>
            <w:vAlign w:val="bottom"/>
          </w:tcPr>
          <w:p>
            <w:pPr>
              <w:ind w:left="1240"/>
              <w:spacing w:after="0"/>
              <w:rPr>
                <w:sz w:val="20"/>
                <w:szCs w:val="20"/>
                <w:color w:val="auto"/>
              </w:rPr>
            </w:pPr>
            <w:r>
              <w:rPr>
                <w:rFonts w:ascii="Arial" w:cs="Arial" w:eastAsia="Arial" w:hAnsi="Arial"/>
                <w:sz w:val="18"/>
                <w:szCs w:val="18"/>
                <w:color w:val="auto"/>
              </w:rPr>
              <w:t>Location</w:t>
            </w:r>
          </w:p>
        </w:tc>
        <w:tc>
          <w:tcPr>
            <w:tcW w:w="18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5"/>
              </w:rPr>
              <w:t>Description</w:t>
            </w:r>
          </w:p>
        </w:tc>
        <w:tc>
          <w:tcPr>
            <w:tcW w:w="1740" w:type="dxa"/>
            <w:vAlign w:val="bottom"/>
            <w:gridSpan w:val="2"/>
          </w:tcPr>
          <w:p>
            <w:pPr>
              <w:ind w:left="240"/>
              <w:spacing w:after="0"/>
              <w:rPr>
                <w:sz w:val="20"/>
                <w:szCs w:val="20"/>
                <w:color w:val="auto"/>
              </w:rPr>
            </w:pPr>
            <w:r>
              <w:rPr>
                <w:rFonts w:ascii="Arial" w:cs="Arial" w:eastAsia="Arial" w:hAnsi="Arial"/>
                <w:sz w:val="18"/>
                <w:szCs w:val="18"/>
                <w:color w:val="auto"/>
                <w:w w:val="98"/>
              </w:rPr>
              <w:t>Date of Acquisition</w:t>
            </w: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89"/>
              </w:rPr>
              <w:t>Improvements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Total</w:t>
            </w:r>
          </w:p>
        </w:tc>
      </w:tr>
      <w:tr>
        <w:trPr>
          <w:trHeight w:val="223"/>
        </w:trPr>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Bastrop County, Texas</w:t>
            </w:r>
          </w:p>
        </w:tc>
        <w:tc>
          <w:tcPr>
            <w:tcW w:w="1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368 Acres</w:t>
            </w:r>
          </w:p>
        </w:tc>
        <w:tc>
          <w:tcPr>
            <w:tcW w:w="2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Bexar County, Texas</w:t>
            </w:r>
          </w:p>
        </w:tc>
        <w:tc>
          <w:tcPr>
            <w:tcW w:w="18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69 Acres</w:t>
            </w:r>
          </w:p>
        </w:tc>
        <w:tc>
          <w:tcPr>
            <w:tcW w:w="1740" w:type="dxa"/>
            <w:vAlign w:val="bottom"/>
            <w:gridSpan w:val="2"/>
          </w:tcPr>
          <w:p>
            <w:pPr>
              <w:ind w:left="240"/>
              <w:spacing w:after="0"/>
              <w:rPr>
                <w:sz w:val="20"/>
                <w:szCs w:val="20"/>
                <w:color w:val="auto"/>
              </w:rPr>
            </w:pPr>
            <w:r>
              <w:rPr>
                <w:rFonts w:ascii="Arial" w:cs="Arial" w:eastAsia="Arial" w:hAnsi="Arial"/>
                <w:sz w:val="18"/>
                <w:szCs w:val="18"/>
                <w:color w:val="auto"/>
              </w:rPr>
              <w:t>November 2018</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Horseshoe Bay, Texas</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133 Acres</w:t>
            </w:r>
          </w:p>
        </w:tc>
        <w:tc>
          <w:tcPr>
            <w:tcW w:w="1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7"/>
              </w:rPr>
              <w:t>Various 2018-2019</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Johnson County, Texas</w:t>
            </w:r>
          </w:p>
        </w:tc>
        <w:tc>
          <w:tcPr>
            <w:tcW w:w="18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9"/>
              </w:rPr>
              <w:t>91.5 Acres</w:t>
            </w:r>
          </w:p>
        </w:tc>
        <w:tc>
          <w:tcPr>
            <w:tcW w:w="1740" w:type="dxa"/>
            <w:vAlign w:val="bottom"/>
            <w:gridSpan w:val="2"/>
          </w:tcPr>
          <w:p>
            <w:pPr>
              <w:ind w:left="240"/>
              <w:spacing w:after="0"/>
              <w:rPr>
                <w:sz w:val="20"/>
                <w:szCs w:val="20"/>
                <w:color w:val="auto"/>
              </w:rPr>
            </w:pPr>
            <w:r>
              <w:rPr>
                <w:rFonts w:ascii="Arial" w:cs="Arial" w:eastAsia="Arial" w:hAnsi="Arial"/>
                <w:sz w:val="18"/>
                <w:szCs w:val="18"/>
                <w:color w:val="auto"/>
              </w:rPr>
              <w:t>July 2019</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Venus, Texas</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 Acres</w:t>
            </w:r>
          </w:p>
        </w:tc>
        <w:tc>
          <w:tcPr>
            <w:tcW w:w="1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August 2019</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Wise County, Texas</w:t>
            </w:r>
          </w:p>
        </w:tc>
        <w:tc>
          <w:tcPr>
            <w:tcW w:w="18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9"/>
              </w:rPr>
              <w:t>81.5 Acres</w:t>
            </w:r>
          </w:p>
        </w:tc>
        <w:tc>
          <w:tcPr>
            <w:tcW w:w="1740" w:type="dxa"/>
            <w:vAlign w:val="bottom"/>
            <w:gridSpan w:val="2"/>
          </w:tcPr>
          <w:p>
            <w:pPr>
              <w:ind w:left="240"/>
              <w:spacing w:after="0"/>
              <w:rPr>
                <w:sz w:val="20"/>
                <w:szCs w:val="20"/>
                <w:color w:val="auto"/>
              </w:rPr>
            </w:pPr>
            <w:r>
              <w:rPr>
                <w:rFonts w:ascii="Arial" w:cs="Arial" w:eastAsia="Arial" w:hAnsi="Arial"/>
                <w:sz w:val="18"/>
                <w:szCs w:val="18"/>
                <w:color w:val="auto"/>
              </w:rPr>
              <w:t>September 2020</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889</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4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Bexar County, Texas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233 Acres</w:t>
            </w:r>
          </w:p>
        </w:tc>
        <w:tc>
          <w:tcPr>
            <w:tcW w:w="1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February 2021</w:t>
            </w: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37"/>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11,006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5,699</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16,705</w:t>
            </w:r>
          </w:p>
        </w:tc>
      </w:tr>
    </w:tbl>
    <w:p>
      <w:pPr>
        <w:spacing w:after="0" w:line="202" w:lineRule="exact"/>
        <w:rPr>
          <w:sz w:val="20"/>
          <w:szCs w:val="20"/>
          <w:color w:val="auto"/>
        </w:rPr>
      </w:pPr>
    </w:p>
    <w:p>
      <w:pPr>
        <w:ind w:left="1040" w:right="399" w:hanging="315"/>
        <w:spacing w:after="0" w:line="296"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also expect to provide financing solutions to a select group of our manufactured housing community-owner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20" w:lineRule="exact"/>
        <w:rPr>
          <w:rFonts w:ascii="Arial" w:cs="Arial" w:eastAsia="Arial" w:hAnsi="Arial"/>
          <w:sz w:val="16"/>
          <w:szCs w:val="16"/>
          <w:color w:val="auto"/>
        </w:rPr>
      </w:pPr>
    </w:p>
    <w:p>
      <w:pPr>
        <w:ind w:left="1040" w:right="79" w:hanging="315"/>
        <w:spacing w:after="0" w:line="269"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Finally, our financial performance will be impacted by our ability to fulfill current orders for our manufactured homes from dealers and customers. Currently, our two Texas manufacturing facilities are operating at or near peak capacity, with limited ability to increase the volume of homes produced at those plants.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our growth, we must 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 We are actively reviewing organic and inorganic opportunities to add production capacity in attractive regions to meet future demand.</w:t>
      </w:r>
    </w:p>
    <w:p>
      <w:pPr>
        <w:spacing w:after="0" w:line="200" w:lineRule="exact"/>
        <w:rPr>
          <w:sz w:val="20"/>
          <w:szCs w:val="20"/>
          <w:color w:val="auto"/>
        </w:rPr>
      </w:pPr>
    </w:p>
    <w:p>
      <w:pPr>
        <w:spacing w:after="0" w:line="3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the information set forth in the financial statements and the accompanying notes appearing elsewhere in this Form 10-Q.</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Comparison of Three Months ended March 31, 2023 and 2022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5"/>
              </w:rPr>
              <w:t>$ change</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43,318</w:t>
            </w:r>
          </w:p>
        </w:tc>
        <w:tc>
          <w:tcPr>
            <w:tcW w:w="1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51,787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(8,469)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0"/>
        </w:trPr>
        <w:tc>
          <w:tcPr>
            <w:tcW w:w="450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16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9"/>
        </w:trPr>
        <w:tc>
          <w:tcPr>
            <w:tcW w:w="4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18,267</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5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62.5 %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5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5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16,276</w:t>
            </w:r>
          </w:p>
        </w:tc>
        <w:tc>
          <w:tcPr>
            <w:tcW w:w="1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16,092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Product sales primarily consist of direct sales, commercial sales, inventory finance sales and retail store sales. Product sales decreased $8.5 million, or 16.4%, during the three months ended March 31, 2023 as compared to the same period in 2022. This decrease was driven by a decrease in unit volumes and a decrease in the conversion of certain independent dealer consignment arrangements to financing arrangements.</w:t>
      </w:r>
    </w:p>
    <w:p>
      <w:pPr>
        <w:spacing w:after="0" w:line="144"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Net revenue attributable to our factory-built housing consisted of the following during the three months of 2023 and 2022:</w:t>
      </w:r>
    </w:p>
    <w:p>
      <w:pPr>
        <w:spacing w:after="0" w:line="135"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56"/>
        </w:trPr>
        <w:tc>
          <w:tcPr>
            <w:tcW w:w="3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jc w:val="right"/>
              <w:ind w:right="495"/>
              <w:spacing w:after="0" w:line="156"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5"/>
              </w:rPr>
              <w:t>$ Change</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43,318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51,787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(8,469)</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products sold</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Net revenue per product sold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363"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For the three months ended March 31, 2023, our net revenue per product sold decreased primarily due to changes in our product sales mix slightly offset by increases in unit prices over the first half of 2022, as rising material and labor costs were passed on to our customers. We had decreases in inventory finance sales, direct sales and retail store sales, partially offset by an increase in commercial sales and other product sales. Our commercial sales have lower margins than sales through our company-owned retail stores and our inventory financed sales. For the nine months ending March 31, 2023, we experienced a decrease in net revenue attributable to product sales due to the Company and the State of Georgia’s efforts to evaluate and improve the quality and consistency of homes manufactured in our Eatonton facility. These efforts have resulted in a temporary decrease in the rate of issuing HUD Labels of Certification and shipping finished homes from our Eatonton facility. We increased shipments from our Eatonton facility during the first quarter of 2023 and plan to meet or exceed historical levels in 2023.</w:t>
      </w:r>
    </w:p>
    <w:p>
      <w:pPr>
        <w:spacing w:after="0" w:line="158"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Consumer and MHP loans interest income grew $0.9 million, or 13.9%, during the three months ended March 31, 2023 as compared to the same period in 2022 and is related to our increase in average outstanding MHP note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color w:val="auto"/>
        </w:rPr>
        <w:t>portfolio balance and average outstanding consumer loan portfolio balance. Between March 31, 2023 and March 31, 2022 our MHP note portfolio increased by $44.0 million and our consumer loan portfolio increased by $14.1 million.</w:t>
      </w:r>
    </w:p>
    <w:p>
      <w:pPr>
        <w:spacing w:after="0" w:line="119"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Other revenue primarily consists of dealer finance fees and commercial lease rents and increased $0.5 million, or 33.3% during the three months ended March 31, 2023 as compared to the same period in 2022. This increase was primarily due to a $0.4 million increase in dealer finance fees and a $0.1 million increase in commercial lease rents.</w:t>
      </w:r>
    </w:p>
    <w:p>
      <w:pPr>
        <w:spacing w:after="0" w:line="108" w:lineRule="exact"/>
        <w:rPr>
          <w:sz w:val="20"/>
          <w:szCs w:val="20"/>
          <w:color w:val="auto"/>
        </w:rPr>
      </w:pPr>
    </w:p>
    <w:p>
      <w:pPr>
        <w:ind w:left="60" w:right="439" w:firstLine="648"/>
        <w:spacing w:after="0" w:line="342" w:lineRule="auto"/>
        <w:rPr>
          <w:sz w:val="20"/>
          <w:szCs w:val="20"/>
          <w:color w:val="auto"/>
        </w:rPr>
      </w:pPr>
      <w:r>
        <w:rPr>
          <w:rFonts w:ascii="Arial" w:cs="Arial" w:eastAsia="Arial" w:hAnsi="Arial"/>
          <w:sz w:val="16"/>
          <w:szCs w:val="16"/>
          <w:color w:val="auto"/>
        </w:rPr>
        <w:t>The cost of product sales decreased $4.8 million, or 14.1%, during the three months ended March 31, 2023 as compared to the same period in 2022. The decrease in costs is primarily related to the decrease in units sold.</w:t>
      </w:r>
    </w:p>
    <w:p>
      <w:pPr>
        <w:spacing w:after="0" w:line="83" w:lineRule="exact"/>
        <w:rPr>
          <w:sz w:val="20"/>
          <w:szCs w:val="20"/>
          <w:color w:val="auto"/>
        </w:rPr>
      </w:pPr>
    </w:p>
    <w:p>
      <w:pPr>
        <w:ind w:left="60" w:right="79" w:firstLine="713"/>
        <w:spacing w:after="0" w:line="254" w:lineRule="auto"/>
        <w:rPr>
          <w:sz w:val="20"/>
          <w:szCs w:val="20"/>
          <w:color w:val="auto"/>
        </w:rPr>
      </w:pPr>
      <w:r>
        <w:rPr>
          <w:rFonts w:ascii="Arial" w:cs="Arial" w:eastAsia="Arial" w:hAnsi="Arial"/>
          <w:sz w:val="18"/>
          <w:szCs w:val="18"/>
          <w:color w:val="auto"/>
        </w:rPr>
        <w:t xml:space="preserve">Selling, general and administrative expenses decreased $2.2 million, or 29.3%, during the three months ended March 31, 2023 as compared to the same period in 2022. This decrease was primarily due to a $3.3 million decrease in salaries and incentive costs and a $0.4 million decrease in legal expense, partially offset by a $0.9 million increase in warranty costs, a $0.1 million increase in loan loss provision related to the adoption of ASU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(Topic 326): Measurement of Credit Losses on Financial Instruments</w:t>
      </w:r>
      <w:r>
        <w:rPr>
          <w:rFonts w:ascii="Arial" w:cs="Arial" w:eastAsia="Arial" w:hAnsi="Arial"/>
          <w:sz w:val="18"/>
          <w:szCs w:val="18"/>
          <w:color w:val="auto"/>
        </w:rPr>
        <w:t>, a $0.2 million increase in loan loss</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not related to the adoption of ASU 2016-13, a $0.1 million increase in advertising costs and a net $0.2 million increase in other miscellaneous costs.</w:t>
      </w:r>
    </w:p>
    <w:p>
      <w:pPr>
        <w:spacing w:after="0" w:line="168" w:lineRule="exact"/>
        <w:rPr>
          <w:sz w:val="20"/>
          <w:szCs w:val="20"/>
          <w:color w:val="auto"/>
        </w:rPr>
      </w:pPr>
    </w:p>
    <w:p>
      <w:pPr>
        <w:ind w:left="60" w:right="359" w:firstLine="713"/>
        <w:spacing w:after="0" w:line="277" w:lineRule="auto"/>
        <w:rPr>
          <w:sz w:val="20"/>
          <w:szCs w:val="20"/>
          <w:color w:val="auto"/>
        </w:rPr>
      </w:pPr>
      <w:r>
        <w:rPr>
          <w:rFonts w:ascii="Arial" w:cs="Arial" w:eastAsia="Arial" w:hAnsi="Arial"/>
          <w:sz w:val="18"/>
          <w:szCs w:val="18"/>
          <w:color w:val="auto"/>
        </w:rPr>
        <w:t>Dealer incentive expense decreased $0.1 million, or 52.4%, during the three months ended March 31, 2023 as compared to the same period in 2022.</w:t>
      </w:r>
    </w:p>
    <w:p>
      <w:pPr>
        <w:spacing w:after="0" w:line="130" w:lineRule="exact"/>
        <w:rPr>
          <w:sz w:val="20"/>
          <w:szCs w:val="20"/>
          <w:color w:val="auto"/>
        </w:rPr>
      </w:pPr>
    </w:p>
    <w:p>
      <w:pPr>
        <w:ind w:left="60" w:right="159" w:firstLine="713"/>
        <w:spacing w:after="0" w:line="263" w:lineRule="auto"/>
        <w:rPr>
          <w:sz w:val="20"/>
          <w:szCs w:val="20"/>
          <w:color w:val="auto"/>
        </w:rPr>
      </w:pPr>
      <w:r>
        <w:rPr>
          <w:rFonts w:ascii="Arial" w:cs="Arial" w:eastAsia="Arial" w:hAnsi="Arial"/>
          <w:sz w:val="18"/>
          <w:szCs w:val="18"/>
          <w:color w:val="auto"/>
        </w:rPr>
        <w:t>Other income (expense), net was flat during the three months ended March 31, 2023 as compared to the same period in 2022. There was an increase of $0.2 million in miscellaneous income, net offset by a decrease of $0.2 million in non-operating interest income.</w:t>
      </w:r>
    </w:p>
    <w:p>
      <w:pPr>
        <w:spacing w:after="0" w:line="143"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Income tax expense was $3.4 million during the three months ended March 31, 2023 compared to $3.6 million for the same period in 2022. The effective tax rate for the three months ended March 31, 2023 was 17.4% and differs from the federal statutory rate of 21% primarily due to a federal tax credit for energy efficient construction and partially offset by state income taxes. The effective tax rate for the three months ended March 31, 2022 was 18.1% and differs from the federal statutory rate of 21% primarily due to a federal tax credit for energy efficient construction and partially offset by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 xml:space="preserve">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flow from operations, cash and cash equivalents at March 31, 2023, and availability on our lines of credit will be sufficient to fund our operations and provide for growth for the next 12 to 18 months and into the foreseeable future. In 2020, we negotiated a new credit agreement with Capital One, N.A. that expanded and extended our credit availability (see </w:t>
      </w:r>
      <w:r>
        <w:rPr>
          <w:rFonts w:ascii="Arial" w:cs="Arial" w:eastAsia="Arial" w:hAnsi="Arial"/>
          <w:sz w:val="17"/>
          <w:szCs w:val="17"/>
          <w:b w:val="1"/>
          <w:bCs w:val="1"/>
          <w:i w:val="1"/>
          <w:iCs w:val="1"/>
          <w:color w:val="auto"/>
        </w:rPr>
        <w:t xml:space="preserve">Indebtedness </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Capital One Revolver</w:t>
      </w:r>
      <w:r>
        <w:rPr>
          <w:rFonts w:ascii="Arial" w:cs="Arial" w:eastAsia="Arial" w:hAnsi="Arial"/>
          <w:sz w:val="17"/>
          <w:szCs w:val="17"/>
          <w:color w:val="auto"/>
        </w:rPr>
        <w:t>, below). As of March 31, 2023, we had approximately $3.0 million in cash and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equivalents, compared to $2.8 million as of December 31, 2022.</w:t>
      </w:r>
    </w:p>
    <w:p>
      <w:pPr>
        <w:spacing w:after="0" w:line="200" w:lineRule="exact"/>
        <w:rPr>
          <w:sz w:val="20"/>
          <w:szCs w:val="20"/>
          <w:color w:val="auto"/>
        </w:rPr>
      </w:pPr>
    </w:p>
    <w:p>
      <w:pPr>
        <w:spacing w:after="0" w:line="3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63"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Three Months Ended</w:t>
      </w:r>
    </w:p>
    <w:p>
      <w:pPr>
        <w:ind w:left="7220"/>
        <w:spacing w:after="0" w:line="226" w:lineRule="auto"/>
        <w:rPr>
          <w:sz w:val="20"/>
          <w:szCs w:val="20"/>
          <w:color w:val="auto"/>
        </w:rPr>
      </w:pPr>
      <w:r>
        <w:rPr>
          <w:rFonts w:ascii="Arial" w:cs="Arial" w:eastAsia="Arial" w:hAnsi="Arial"/>
          <w:sz w:val="14"/>
          <w:szCs w:val="14"/>
          <w:b w:val="1"/>
          <w:bCs w:val="1"/>
          <w:color w:val="auto"/>
        </w:rPr>
        <w:t>March 31,</w:t>
      </w:r>
    </w:p>
    <w:p>
      <w:pPr>
        <w:ind w:left="7120"/>
        <w:spacing w:after="0" w:line="232" w:lineRule="auto"/>
        <w:rPr>
          <w:sz w:val="20"/>
          <w:szCs w:val="20"/>
          <w:color w:val="auto"/>
        </w:rPr>
      </w:pPr>
      <w:r>
        <w:rPr>
          <w:rFonts w:ascii="Arial" w:cs="Arial" w:eastAsia="Arial" w:hAnsi="Arial"/>
          <w:sz w:val="14"/>
          <w:szCs w:val="14"/>
          <w:b w:val="1"/>
          <w:bCs w:val="1"/>
          <w:color w:val="auto"/>
        </w:rPr>
        <w:t>(in thousands)</w:t>
      </w:r>
    </w:p>
    <w:tbl>
      <w:tblPr>
        <w:tblLayout w:type="fixed"/>
        <w:tblInd w:w="4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2022</w:t>
            </w:r>
          </w:p>
        </w:tc>
      </w:tr>
      <w:tr>
        <w:trPr>
          <w:trHeight w:val="142"/>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6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(2,186)</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5,460</w:t>
            </w:r>
          </w:p>
        </w:tc>
      </w:tr>
      <w:tr>
        <w:trPr>
          <w:trHeight w:val="216"/>
        </w:trPr>
        <w:tc>
          <w:tcPr>
            <w:tcW w:w="6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r>
      <w:tr>
        <w:trPr>
          <w:trHeight w:val="20"/>
        </w:trPr>
        <w:tc>
          <w:tcPr>
            <w:tcW w:w="6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415</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16"/>
        </w:trPr>
        <w:tc>
          <w:tcPr>
            <w:tcW w:w="6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0"/>
        </w:trPr>
        <w:tc>
          <w:tcPr>
            <w:tcW w:w="6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3,233</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2,528</w:t>
            </w:r>
          </w:p>
        </w:tc>
      </w:tr>
      <w:tr>
        <w:trPr>
          <w:trHeight w:val="20"/>
        </w:trPr>
        <w:tc>
          <w:tcPr>
            <w:tcW w:w="6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Cash Flow Activities from March 31, 2023 to March 31, 2022</w:t>
      </w:r>
    </w:p>
    <w:p>
      <w:pPr>
        <w:spacing w:after="0" w:line="202" w:lineRule="exact"/>
        <w:rPr>
          <w:sz w:val="20"/>
          <w:szCs w:val="20"/>
          <w:color w:val="auto"/>
        </w:rPr>
      </w:pPr>
    </w:p>
    <w:p>
      <w:pPr>
        <w:ind w:left="60" w:right="439" w:firstLine="648"/>
        <w:spacing w:after="0" w:line="293" w:lineRule="auto"/>
        <w:rPr>
          <w:sz w:val="20"/>
          <w:szCs w:val="20"/>
          <w:color w:val="auto"/>
        </w:rPr>
      </w:pPr>
      <w:r>
        <w:rPr>
          <w:rFonts w:ascii="Arial" w:cs="Arial" w:eastAsia="Arial" w:hAnsi="Arial"/>
          <w:sz w:val="16"/>
          <w:szCs w:val="16"/>
          <w:color w:val="auto"/>
        </w:rPr>
        <w:t>Net cash used in operating activities increased $1.6 million during the three months ended March 31, 2023, compared to the same period in 2022, primarily as a result of increased MHP originations net of collections, increased dealer inventory loan originations net of collections, increased volume of consumer loan originations net of principal collections, decrease in customer deposits, increased inventories, an increase in other assets and a decrease in accounts payable. The increase in cash used in operating activities was partially offset by a decrease in accounts receivable, a decrease in prepaid expenses and other current assets and an increase in accrued liabilities.</w:t>
      </w:r>
    </w:p>
    <w:p>
      <w:pPr>
        <w:spacing w:after="0" w:line="124"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Net cash used in investing activities of $2.2 million in 2023 was primarily attributable to $3.1 million used for loans to third parties for the development of manufactured housing parks and $0.8 million used for the acquisition of property plant and equipment. These were offset by $1.1 million in proceeds from the sale of leased property, $0.5 million of collections related to loans to third parties for the development of manufactured housing parks and collections of $0.1 million from our purchased consumer loans.</w:t>
      </w:r>
    </w:p>
    <w:p>
      <w:pPr>
        <w:spacing w:after="0" w:line="147"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Net cash provided by financing activities of $5.3 million in 2023 was attributable to net proceeds of $5.3 million on our lines of credit. Net cash used in financing activities of $2.9 million in 2022 was attributable to net payments of $2.9 million on our lines of credit.</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Indebtedness</w:t>
      </w:r>
    </w:p>
    <w:p>
      <w:pPr>
        <w:spacing w:after="0" w:line="181" w:lineRule="exact"/>
        <w:rPr>
          <w:sz w:val="20"/>
          <w:szCs w:val="20"/>
          <w:color w:val="auto"/>
        </w:rPr>
      </w:pPr>
    </w:p>
    <w:p>
      <w:pPr>
        <w:ind w:left="60" w:right="99" w:firstLine="648"/>
        <w:spacing w:after="0" w:line="266" w:lineRule="auto"/>
        <w:rPr>
          <w:sz w:val="20"/>
          <w:szCs w:val="20"/>
          <w:color w:val="auto"/>
        </w:rPr>
      </w:pPr>
      <w:r>
        <w:rPr>
          <w:rFonts w:ascii="Arial" w:cs="Arial" w:eastAsia="Arial" w:hAnsi="Arial"/>
          <w:sz w:val="18"/>
          <w:szCs w:val="18"/>
          <w:b w:val="1"/>
          <w:bCs w:val="1"/>
          <w:color w:val="auto"/>
        </w:rPr>
        <w:t xml:space="preserve">Capital One Revolver. </w:t>
      </w:r>
      <w:r>
        <w:rPr>
          <w:rFonts w:ascii="Arial" w:cs="Arial" w:eastAsia="Arial" w:hAnsi="Arial"/>
          <w:sz w:val="18"/>
          <w:szCs w:val="18"/>
          <w:color w:val="auto"/>
        </w:rPr>
        <w:t>On March 30, 2020, we entered into an agreement with Capital One, N.A.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One”) for a new revolving line of credit (“Revolver”). The Revolver had a maximum credit limit of $70,000 and a maturity date of March 30, 2024.</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On June 21, 2022, we received a Reservation of Rights notice from Capital One. The letter stated that our Revolver was in default. The default condition occurred due to our failure to timely file the Form 10-K and deliver certain financial statements to Capital One. On July 28, 2022, we entered into a Limited Waiver and First Amendment to Credit Agreement (the “Amendment”) with Capital One, N.A. The Amendment replaced the LIBOR borrowing rate with a secured overnight financing rate (“SOFR”) and waived a default arising out of a monetary judgement against the Company that exceeded the amount allowed in the Revolver.</w:t>
      </w:r>
    </w:p>
    <w:p>
      <w:pPr>
        <w:spacing w:after="0" w:line="16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On August 24, 2022, we received a Notice of Default and Partial Suspension of Loan Commitments from Capital One. The notice stated that the July 28, 2022 forbearance agreement had been terminated and that Capital One was suspending $50,000 of the $70,000 loan commitment under the Revolver. As a result, the available line of credit in the Revolver has been limited to $20,000.</w:t>
      </w:r>
    </w:p>
    <w:p>
      <w:pPr>
        <w:spacing w:after="0" w:line="146"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Revolver accrues interest at one-month SOFR plus 2.00%. The interest rates in effect as of March 31, 2023 and December 31, 2022 are 6.66% and 6.12%, respectively. Amounts available under the Revolver are subject to a formula based on eligible consumer loans and MHP Notes and are secured by all accounts receivable, consumer loans and MHP Notes. The amount of available credit under the Revolver was $12,162 and $17,400 as of March 31, 2023 and December 31, 2022, respectively. In connection with the Revolver, we paid certain arrangement fees and other fees of approximately $295, which were capitalized as unamortized debt issuance costs and will be amortized to interest expense over the life of the Revolver.</w:t>
      </w:r>
    </w:p>
    <w:p>
      <w:pPr>
        <w:spacing w:after="0" w:line="154"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For the three months ended March 31, 2023 and 2022, interest expense under the Revolver was $91 and $56, respectively. The outstanding balance as of March 31, 2023 and December 31, 2022 was $7,838 and $2,545, respectively. The Revolver requires the Company to comply with certain financial and non-financial covenants. We were in compliance with all financial covenants as of as of March 31, 2023, including that we maintain a tangible net worth of at least $120,000 and that it maintain a ratio of debt to EBITDA of 4 to 1, or less.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contractual cash obligations as of March 31, 2023:</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Payments Due by Period (in thousands)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4380" w:type="dxa"/>
            <w:vAlign w:val="bottom"/>
            <w:tcBorders>
              <w:bottom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Contractual Obligations</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56"/>
              <w:spacing w:after="0" w:line="149"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22"/>
              <w:spacing w:after="0" w:line="149"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2024 - 2025</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2026 - 2027</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After 2027</w:t>
            </w:r>
          </w:p>
        </w:tc>
      </w:tr>
      <w:tr>
        <w:trPr>
          <w:trHeight w:val="209"/>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Lines of credit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7,838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7,838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02" w:lineRule="exact"/>
        <w:rPr>
          <w:sz w:val="20"/>
          <w:szCs w:val="20"/>
          <w:color w:val="auto"/>
        </w:rPr>
      </w:pPr>
    </w:p>
    <w:p>
      <w:pPr>
        <w:ind w:left="60" w:right="259" w:firstLine="713"/>
        <w:spacing w:after="0" w:line="286" w:lineRule="auto"/>
        <w:rPr>
          <w:sz w:val="20"/>
          <w:szCs w:val="20"/>
          <w:color w:val="auto"/>
        </w:rPr>
      </w:pPr>
      <w:r>
        <w:rPr>
          <w:rFonts w:ascii="Arial" w:cs="Arial" w:eastAsia="Arial" w:hAnsi="Arial"/>
          <w:sz w:val="16"/>
          <w:szCs w:val="16"/>
          <w:color w:val="auto"/>
        </w:rPr>
        <w:t>We did not have any off-balance sheet arrangements that are reasonably likely to have a current or future effect on our financial condition, net sales, results of operations, liquidity or capital expenditures. However, we do have a repurchase agreement with a financial institution that provides inventory financing for independent retailers of our products. Under this agreement, we have agreed to repurchase homes at declining prices over the term of the agreement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(24 months). Our obligation under this repurchase agreement ceases upon the purchase of the home by the retail customer.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maximum amount of our contingent obligations under such repurchase agreements was approximately $8,396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$8,925 as of March 31, 2023 and December 31, 2022, respectively, without reduction for the resale value of the homes. 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be required to honor contingent repurchase obligations in the future and may incur additional expense as 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consequence of these repurchase agreements. We consider our obligations on current contracts to be immaterial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accordingly we have not recorded any reserve for repurchase commitment as of March 31, 2023.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Critical accounting estimates are those that we believe are both significant and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2022. Subsequent to the filing of our Annual Report, we adopted FASB’s ASC 326 for determining Current Expected Credit Losses. In connection with this adoption, we implemented certain changes to our processes and controls related to our methods for estimating allowances for credit losses.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For information regarding recent accounting pronouncements, see Note 1 – Nature of Operations, Recent Accounting Pronouncements to our March 31, 2023 Condensed Financial Statements, included in Part I, Item 1, Financial Statements (Unaudited), of this Quarterly Report.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02"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43"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are subject to the periodic reporting requirements of the Exchange Act that require designing disclosure controls and procedures to provide reasonable assurance that the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50"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the Company’s management conducted an evaluation, under the supervision and with the participation of the Chief Executive Officer and the Chief Financial Officer, of the effectiveness of the design and operation of the Company’s disclosure controls and procedures (as defined in Rule 13a-15(e) of the Exchange Act). Based on this evaluation, the Chief Executive Officer and the Chief Financial Officer each concluded, as of the end of the period, that our disclosure controls and procedures were not effective as of March 31, 2023, due to material weaknesses in internal control over financial reporting that were disclosed in our Annual Report on Form 10-K for the fiscal year ended December 31, 2022, and as described below.</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89"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As previously disclosed in our Annual report on Form 10-K filed with the SEC on March 15, 2023, we identified material weaknesses in our internal control over financial reporting during the preparation of our financial statements for the year ended December 31, 2022.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material weaknesses in financial reporting as of March 31, 2023 are summarized as follows:</w:t>
      </w:r>
    </w:p>
    <w:p>
      <w:pPr>
        <w:spacing w:after="0" w:line="185" w:lineRule="exact"/>
        <w:rPr>
          <w:sz w:val="20"/>
          <w:szCs w:val="20"/>
          <w:color w:val="auto"/>
        </w:rPr>
      </w:pPr>
    </w:p>
    <w:p>
      <w:pPr>
        <w:ind w:left="1040" w:right="79" w:hanging="315"/>
        <w:spacing w:after="0" w:line="2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determined that we did not have sufficient accounting systems and procedures in place, particularly in the areas of revenue recognition, processing of accounts payable, prepaid expenses, and inventory costing and management.</w:t>
      </w:r>
    </w:p>
    <w:p>
      <w:pPr>
        <w:spacing w:after="0" w:line="143" w:lineRule="exact"/>
        <w:rPr>
          <w:rFonts w:ascii="Arial" w:cs="Arial" w:eastAsia="Arial" w:hAnsi="Arial"/>
          <w:sz w:val="18"/>
          <w:szCs w:val="18"/>
          <w:color w:val="auto"/>
        </w:rPr>
      </w:pPr>
    </w:p>
    <w:p>
      <w:pPr>
        <w:ind w:left="1040" w:right="199" w:hanging="315"/>
        <w:spacing w:after="0" w:line="263" w:lineRule="auto"/>
        <w:tabs>
          <w:tab w:leader="none" w:pos="108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56"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determined that our information technology infrastructure does not provide sufficient safeguards required by the COBIT framework.</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Remediation Efforts to Address Previously-Identified Material Weaknesses</w:t>
      </w:r>
    </w:p>
    <w:p>
      <w:pPr>
        <w:spacing w:after="0" w:line="189"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7"/>
          <w:szCs w:val="17"/>
          <w:color w:val="auto"/>
        </w:rPr>
        <w:t>As previously described in Item 9A of our Annual Report on Form 10-K for the year ended December 31, 2022, Management has evaluated the material weaknesses described above and has implemented a remediation plan to address the material weaknesses. Remediation efforts to strengthen our internal control over financial reporting and accounting functions continued throughout the three months ended March 31, 2023.</w:t>
      </w:r>
    </w:p>
    <w:p>
      <w:pPr>
        <w:spacing w:after="0" w:line="144"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While significant actions to improve our internal processes have been implemented, the enhanced controls have not operated for a sufficient period of time to demonstrate that the material weakness have been remediated as of March 31, 2022. Our material weaknesses will not be considered remediated until the applicable controls operate for a sufficient period of time and management has concluded, through testing, that the controls operate effectively. We expect to complete the remediation of most of our material weaknesses by the end of fiscal year 2023.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Under the applicable SEC rules, management is required to evaluate any changes in internal control over financial reporting that occurred during each fiscal quarter that materially affected, or are reasonably likely to materially affect, our internal control over financial reporting.</w:t>
      </w:r>
    </w:p>
    <w:p>
      <w:pPr>
        <w:spacing w:after="0" w:line="143"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On January 1, 2023, we adopted FASB’s ASC 326 for determining Current Expected Credit Losses. In connection with this adoption, we implemented certain changes to our processes and controls related to our methods for estimating allowances for credit losses. Other than the changes described above regarding adoption of ASC 326 and enhancements associated with ongoing material weakness remediation efforts, 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137"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While we continue to implement remediation efforts and design enhancements to our internal control procedures, we believe there were no other changes to our internal control over financial reporting identified in management’s evaluation pursuant to Rules 13a-15(d) or 15d-15(d) of the Exchange Act during the three months ended March 31, 2023 that materially affected, or are reasonably likely to materially affect, our internal control over financial reporting.</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See Note 14 - Commitments and Contingencies in our March 31, 2023 Condensed Financial Statements, included in Part I, Item 1, Financial Statements (Unaudited), of this Quarterly Report.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763"/>
        </w:trPr>
        <w:tc>
          <w:tcPr>
            <w:tcW w:w="20" w:type="dxa"/>
            <w:vAlign w:val="bottom"/>
          </w:tcPr>
          <w:p>
            <w:pPr>
              <w:spacing w:after="0"/>
              <w:rPr>
                <w:sz w:val="24"/>
                <w:szCs w:val="24"/>
                <w:color w:val="auto"/>
              </w:rPr>
            </w:pPr>
          </w:p>
        </w:tc>
        <w:tc>
          <w:tcPr>
            <w:tcW w:w="126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w w:val="90"/>
              </w:rPr>
              <w:t>Item 6. Exhibits.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4"/>
              </w:rPr>
              <w:t>Exhibit No.</w:t>
            </w:r>
          </w:p>
        </w:tc>
        <w:tc>
          <w:tcPr>
            <w:tcW w:w="8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31.1 *</w:t>
            </w:r>
          </w:p>
        </w:tc>
        <w:tc>
          <w:tcPr>
            <w:tcW w:w="7240" w:type="dxa"/>
            <w:vAlign w:val="bottom"/>
            <w:gridSpan w:val="5"/>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Rule 13a—14(a) / 15d—14(a) Certifications — Chief Executive Officer.</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31.2 *</w:t>
            </w:r>
          </w:p>
        </w:tc>
        <w:tc>
          <w:tcPr>
            <w:tcW w:w="7240" w:type="dxa"/>
            <w:vAlign w:val="bottom"/>
            <w:gridSpan w:val="5"/>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Rule 13a—14(a) / 15d—14(a) Certifications — Chief Financial Officer.</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32.1 *</w:t>
            </w:r>
          </w:p>
        </w:tc>
        <w:tc>
          <w:tcPr>
            <w:tcW w:w="7240" w:type="dxa"/>
            <w:vAlign w:val="bottom"/>
            <w:gridSpan w:val="5"/>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Section 1350 Certification.</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32.2 *</w:t>
            </w:r>
          </w:p>
        </w:tc>
        <w:tc>
          <w:tcPr>
            <w:tcW w:w="7240" w:type="dxa"/>
            <w:vAlign w:val="bottom"/>
            <w:gridSpan w:val="5"/>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Section 1350 Certification.</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101.INS *</w:t>
            </w:r>
          </w:p>
        </w:tc>
        <w:tc>
          <w:tcPr>
            <w:tcW w:w="7240" w:type="dxa"/>
            <w:vAlign w:val="bottom"/>
            <w:gridSpan w:val="5"/>
          </w:tcPr>
          <w:p>
            <w:pPr>
              <w:ind w:left="60"/>
              <w:spacing w:after="0"/>
              <w:rPr>
                <w:sz w:val="20"/>
                <w:szCs w:val="20"/>
                <w:color w:val="auto"/>
              </w:rPr>
            </w:pPr>
            <w:r>
              <w:rPr>
                <w:rFonts w:ascii="Arial" w:cs="Arial" w:eastAsia="Arial" w:hAnsi="Arial"/>
                <w:sz w:val="18"/>
                <w:szCs w:val="18"/>
                <w:color w:val="auto"/>
              </w:rPr>
              <w:t>- XBRL Instance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101.SCH *</w:t>
            </w:r>
          </w:p>
        </w:tc>
        <w:tc>
          <w:tcPr>
            <w:tcW w:w="7240" w:type="dxa"/>
            <w:vAlign w:val="bottom"/>
            <w:gridSpan w:val="5"/>
          </w:tcPr>
          <w:p>
            <w:pPr>
              <w:ind w:left="60"/>
              <w:spacing w:after="0"/>
              <w:rPr>
                <w:sz w:val="20"/>
                <w:szCs w:val="20"/>
                <w:color w:val="auto"/>
              </w:rPr>
            </w:pPr>
            <w:r>
              <w:rPr>
                <w:rFonts w:ascii="Arial" w:cs="Arial" w:eastAsia="Arial" w:hAnsi="Arial"/>
                <w:sz w:val="18"/>
                <w:szCs w:val="18"/>
                <w:color w:val="auto"/>
              </w:rPr>
              <w:t>- Inline XBRL Taxonomy Extension Schema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101.CAL *</w:t>
            </w:r>
          </w:p>
        </w:tc>
        <w:tc>
          <w:tcPr>
            <w:tcW w:w="7240" w:type="dxa"/>
            <w:vAlign w:val="bottom"/>
            <w:gridSpan w:val="5"/>
          </w:tcPr>
          <w:p>
            <w:pPr>
              <w:ind w:left="6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101.DEF *</w:t>
            </w:r>
          </w:p>
        </w:tc>
        <w:tc>
          <w:tcPr>
            <w:tcW w:w="7240" w:type="dxa"/>
            <w:vAlign w:val="bottom"/>
            <w:gridSpan w:val="5"/>
          </w:tcPr>
          <w:p>
            <w:pPr>
              <w:ind w:left="6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101.LAB *</w:t>
            </w:r>
          </w:p>
        </w:tc>
        <w:tc>
          <w:tcPr>
            <w:tcW w:w="7240" w:type="dxa"/>
            <w:vAlign w:val="bottom"/>
            <w:gridSpan w:val="5"/>
          </w:tcPr>
          <w:p>
            <w:pPr>
              <w:ind w:left="6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101.PRE *</w:t>
            </w:r>
          </w:p>
        </w:tc>
        <w:tc>
          <w:tcPr>
            <w:tcW w:w="7240" w:type="dxa"/>
            <w:vAlign w:val="bottom"/>
            <w:gridSpan w:val="5"/>
          </w:tcPr>
          <w:p>
            <w:pPr>
              <w:ind w:left="6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432"/>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Arial" w:cs="Arial" w:eastAsia="Arial" w:hAnsi="Arial"/>
                <w:sz w:val="18"/>
                <w:szCs w:val="18"/>
                <w:color w:val="auto"/>
                <w:w w:val="99"/>
              </w:rPr>
              <w:t>Cover Page Interactive Data File (formatted as Inline XBRL and contained in Exhibit 101)</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 Filed herewith</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74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20" w:type="dxa"/>
            <w:vAlign w:val="bottom"/>
            <w:gridSpan w:val="4"/>
          </w:tcPr>
          <w:p>
            <w:pPr>
              <w:ind w:left="2700"/>
              <w:spacing w:after="0"/>
              <w:rPr>
                <w:sz w:val="20"/>
                <w:szCs w:val="20"/>
                <w:color w:val="auto"/>
              </w:rPr>
            </w:pPr>
            <w:r>
              <w:rPr>
                <w:rFonts w:ascii="Arial" w:cs="Arial" w:eastAsia="Arial" w:hAnsi="Arial"/>
                <w:sz w:val="18"/>
                <w:szCs w:val="18"/>
                <w:color w:val="auto"/>
              </w:rPr>
              <w:t>34</w:t>
            </w:r>
          </w:p>
        </w:tc>
        <w:tc>
          <w:tcPr>
            <w:tcW w:w="19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2"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5940" w:type="dxa"/>
            <w:vAlign w:val="bottom"/>
            <w:gridSpan w:val="2"/>
          </w:tcPr>
          <w:p>
            <w:pPr>
              <w:ind w:left="1500"/>
              <w:spacing w:after="0"/>
              <w:rPr>
                <w:sz w:val="20"/>
                <w:szCs w:val="20"/>
                <w:color w:val="auto"/>
              </w:rPr>
            </w:pPr>
            <w:r>
              <w:rPr>
                <w:rFonts w:ascii="Arial" w:cs="Arial" w:eastAsia="Arial" w:hAnsi="Arial"/>
                <w:sz w:val="18"/>
                <w:szCs w:val="18"/>
                <w:b w:val="1"/>
                <w:bCs w:val="1"/>
                <w:color w:val="auto"/>
              </w:rPr>
              <w:t>LEGACY HOUSING CORPORATION</w:t>
            </w:r>
          </w:p>
        </w:tc>
      </w:tr>
      <w:tr>
        <w:trPr>
          <w:trHeight w:val="432"/>
        </w:trPr>
        <w:tc>
          <w:tcPr>
            <w:tcW w:w="2980" w:type="dxa"/>
            <w:vAlign w:val="bottom"/>
          </w:tcPr>
          <w:p>
            <w:pPr>
              <w:ind w:left="20"/>
              <w:spacing w:after="0"/>
              <w:rPr>
                <w:sz w:val="20"/>
                <w:szCs w:val="20"/>
                <w:color w:val="auto"/>
              </w:rPr>
            </w:pPr>
            <w:r>
              <w:rPr>
                <w:rFonts w:ascii="Arial" w:cs="Arial" w:eastAsia="Arial" w:hAnsi="Arial"/>
                <w:sz w:val="18"/>
                <w:szCs w:val="18"/>
                <w:color w:val="auto"/>
              </w:rPr>
              <w:t>Dated: May 10, 2023</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  /s/ Ronald Arrington</w:t>
            </w:r>
          </w:p>
        </w:tc>
      </w:tr>
      <w:tr>
        <w:trPr>
          <w:trHeight w:val="195"/>
        </w:trPr>
        <w:tc>
          <w:tcPr>
            <w:tcW w:w="2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Ronald Arrington</w:t>
            </w: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w w:val="99"/>
              </w:rPr>
              <w:t>(On behalf of Registrant and as Principal Financial</w:t>
            </w:r>
          </w:p>
        </w:tc>
      </w:tr>
      <w:tr>
        <w:trPr>
          <w:trHeight w:val="230"/>
        </w:trPr>
        <w:tc>
          <w:tcPr>
            <w:tcW w:w="2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Officer)</w:t>
            </w:r>
          </w:p>
        </w:tc>
      </w:tr>
      <w:tr>
        <w:trPr>
          <w:trHeight w:val="891"/>
        </w:trPr>
        <w:tc>
          <w:tcPr>
            <w:tcW w:w="2980" w:type="dxa"/>
            <w:vAlign w:val="bottom"/>
          </w:tcPr>
          <w:p>
            <w:pPr>
              <w:spacing w:after="0"/>
              <w:rPr>
                <w:sz w:val="24"/>
                <w:szCs w:val="24"/>
                <w:color w:val="auto"/>
              </w:rPr>
            </w:pPr>
          </w:p>
        </w:tc>
        <w:tc>
          <w:tcPr>
            <w:tcW w:w="1920" w:type="dxa"/>
            <w:vAlign w:val="bottom"/>
          </w:tcPr>
          <w:p>
            <w:pPr>
              <w:jc w:val="right"/>
              <w:ind w:right="250"/>
              <w:spacing w:after="0"/>
              <w:rPr>
                <w:sz w:val="20"/>
                <w:szCs w:val="20"/>
                <w:color w:val="auto"/>
              </w:rPr>
            </w:pPr>
            <w:r>
              <w:rPr>
                <w:rFonts w:ascii="Arial" w:cs="Arial" w:eastAsia="Arial" w:hAnsi="Arial"/>
                <w:sz w:val="18"/>
                <w:szCs w:val="18"/>
                <w:color w:val="auto"/>
              </w:rPr>
              <w:t>35</w:t>
            </w:r>
          </w:p>
        </w:tc>
        <w:tc>
          <w:tcPr>
            <w:tcW w:w="4020" w:type="dxa"/>
            <w:vAlign w:val="bottom"/>
          </w:tcPr>
          <w:p>
            <w:pPr>
              <w:spacing w:after="0"/>
              <w:rPr>
                <w:sz w:val="24"/>
                <w:szCs w:val="24"/>
                <w:color w:val="auto"/>
              </w:rPr>
            </w:pPr>
          </w:p>
        </w:tc>
      </w:tr>
      <w:tr>
        <w:trPr>
          <w:trHeight w:val="561"/>
        </w:trPr>
        <w:tc>
          <w:tcPr>
            <w:tcW w:w="29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Duncan Bates, certify that:</w:t>
      </w:r>
    </w:p>
    <w:p>
      <w:pPr>
        <w:spacing w:after="0" w:line="225" w:lineRule="exact"/>
        <w:rPr>
          <w:sz w:val="20"/>
          <w:szCs w:val="20"/>
          <w:color w:val="auto"/>
        </w:rPr>
      </w:pPr>
    </w:p>
    <w:p>
      <w:pPr>
        <w:ind w:left="840" w:hanging="184"/>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8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1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10,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Duncan Bates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Duncan Bates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Ronald Arrington, certify that:</w:t>
      </w:r>
    </w:p>
    <w:p>
      <w:pPr>
        <w:spacing w:after="0" w:line="225" w:lineRule="exact"/>
        <w:rPr>
          <w:sz w:val="20"/>
          <w:szCs w:val="20"/>
          <w:color w:val="auto"/>
        </w:rPr>
      </w:pPr>
    </w:p>
    <w:p>
      <w:pPr>
        <w:ind w:left="840" w:hanging="184"/>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1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10,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Arrington</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Ronald Arrington</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 for the quarter ended March 31, 2023, as filed with the Securities and Exchange Commission on the date hereof (the “Report”), I, Duncan Bates, President and Chief Executive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10,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Duncan Bates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Duncan Bates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 for the quarter ended March 31, 2023, as filed with the Securities and Exchange Commission on the date hereof (the “Report”), I, Ronald Arrington, Chief Financial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10,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Arrington</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Ronald Arrington</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decimal"/>
      <w:start w:val="1"/>
    </w:lvl>
  </w:abstractNum>
  <w:abstractNum w:abstractNumId="3">
    <w:nsid w:val="7545E146"/>
    <w:multiLevelType w:val="hybridMultilevel"/>
    <w:lvl w:ilvl="0">
      <w:lvlJc w:val="left"/>
      <w:lvlText w:val="%1."/>
      <w:numFmt w:val="decimal"/>
      <w:start w:val="7"/>
    </w:lvl>
    <w:lvl w:ilvl="1">
      <w:lvlJc w:val="left"/>
      <w:lvlText w:val="%2"/>
      <w:numFmt w:val="decimal"/>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2023-05-10T16:31:58Z</dcterms:created>
  <dcterms:modified xsi:type="dcterms:W3CDTF">2023-05-10T16:31:58Z</dcterms:modified>
</cp:coreProperties>
</file>