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92075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UNITED STATES</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60325</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71120</wp:posOffset>
            </wp:positionV>
            <wp:extent cx="162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58" w:lineRule="exact"/>
        <w:rPr>
          <w:sz w:val="24"/>
          <w:szCs w:val="24"/>
          <w:color w:val="auto"/>
        </w:rPr>
      </w:pPr>
    </w:p>
    <w:p>
      <w:pPr>
        <w:ind w:left="460" w:right="200" w:hanging="450"/>
        <w:spacing w:after="0" w:line="265" w:lineRule="auto"/>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0"/>
          <w:szCs w:val="20"/>
          <w:b w:val="1"/>
          <w:bCs w:val="1"/>
          <w:color w:val="auto"/>
        </w:rPr>
        <w:t>QUARTERLY REPORT PURSUANT TO SECTION 13 OR 15(d) OF THE SECURITIES EXCHANGE ACT OF 1934</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June 30, 2023</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64" w:lineRule="exact"/>
        <w:rPr>
          <w:sz w:val="24"/>
          <w:szCs w:val="24"/>
          <w:color w:val="auto"/>
        </w:rPr>
      </w:pPr>
    </w:p>
    <w:p>
      <w:pPr>
        <w:ind w:left="460" w:right="180" w:hanging="450"/>
        <w:spacing w:after="0" w:line="265" w:lineRule="auto"/>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13" w:lineRule="exact"/>
        <w:rPr>
          <w:sz w:val="24"/>
          <w:szCs w:val="24"/>
          <w:color w:val="auto"/>
        </w:rPr>
      </w:pPr>
    </w:p>
    <w:p>
      <w:pPr>
        <w:ind w:left="3780"/>
        <w:spacing w:after="0"/>
        <w:tabs>
          <w:tab w:leader="none" w:pos="63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001-38761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80645</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73"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Legacy Housing Corporation</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60325</wp:posOffset>
            </wp:positionV>
            <wp:extent cx="162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ectPr>
          <w:pgSz w:w="11900" w:h="16838" w:orient="portrait"/>
          <w:cols w:equalWidth="0" w:num="1">
            <w:col w:w="10240"/>
          </w:cols>
          <w:pgMar w:left="820" w:top="665" w:right="839" w:bottom="1440" w:gutter="0" w:footer="0" w:header="0"/>
        </w:sectPr>
      </w:pPr>
    </w:p>
    <w:p>
      <w:pPr>
        <w:spacing w:after="0" w:line="298" w:lineRule="exact"/>
        <w:rPr>
          <w:sz w:val="24"/>
          <w:szCs w:val="24"/>
          <w:color w:val="auto"/>
        </w:rPr>
      </w:pPr>
    </w:p>
    <w:p>
      <w:pPr>
        <w:ind w:left="2400"/>
        <w:spacing w:after="0"/>
        <w:rPr>
          <w:sz w:val="20"/>
          <w:szCs w:val="20"/>
          <w:color w:val="auto"/>
        </w:rPr>
      </w:pPr>
      <w:r>
        <w:rPr>
          <w:rFonts w:ascii="Arial" w:cs="Arial" w:eastAsia="Arial" w:hAnsi="Arial"/>
          <w:sz w:val="16"/>
          <w:szCs w:val="16"/>
          <w:b w:val="1"/>
          <w:bCs w:val="1"/>
          <w:color w:val="auto"/>
        </w:rPr>
        <w:t>Texas</w:t>
      </w:r>
    </w:p>
    <w:p>
      <w:pPr>
        <w:spacing w:after="0" w:line="26" w:lineRule="exact"/>
        <w:rPr>
          <w:sz w:val="24"/>
          <w:szCs w:val="24"/>
          <w:color w:val="auto"/>
        </w:rPr>
      </w:pPr>
    </w:p>
    <w:p>
      <w:pPr>
        <w:ind w:left="1660"/>
        <w:spacing w:after="0"/>
        <w:rPr>
          <w:sz w:val="20"/>
          <w:szCs w:val="20"/>
          <w:color w:val="auto"/>
        </w:rPr>
      </w:pPr>
      <w:r>
        <w:rPr>
          <w:rFonts w:ascii="Arial" w:cs="Arial" w:eastAsia="Arial" w:hAnsi="Arial"/>
          <w:sz w:val="15"/>
          <w:szCs w:val="15"/>
          <w:color w:val="auto"/>
        </w:rPr>
        <w:t>(State or other jurisdiction of</w:t>
      </w:r>
    </w:p>
    <w:p>
      <w:pPr>
        <w:spacing w:after="0" w:line="30" w:lineRule="exact"/>
        <w:rPr>
          <w:sz w:val="24"/>
          <w:szCs w:val="24"/>
          <w:color w:val="auto"/>
        </w:rPr>
      </w:pPr>
    </w:p>
    <w:p>
      <w:pPr>
        <w:ind w:left="162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jc w:val="center"/>
        <w:ind w:right="1920"/>
        <w:spacing w:after="0"/>
        <w:rPr>
          <w:sz w:val="20"/>
          <w:szCs w:val="20"/>
          <w:color w:val="auto"/>
        </w:rPr>
      </w:pPr>
      <w:r>
        <w:rPr>
          <w:rFonts w:ascii="Arial" w:cs="Arial" w:eastAsia="Arial" w:hAnsi="Arial"/>
          <w:sz w:val="16"/>
          <w:szCs w:val="16"/>
          <w:b w:val="1"/>
          <w:bCs w:val="1"/>
          <w:color w:val="auto"/>
        </w:rPr>
        <w:t>20-2897516</w:t>
      </w:r>
    </w:p>
    <w:p>
      <w:pPr>
        <w:spacing w:after="0" w:line="26" w:lineRule="exact"/>
        <w:rPr>
          <w:sz w:val="24"/>
          <w:szCs w:val="24"/>
          <w:color w:val="auto"/>
        </w:rPr>
      </w:pPr>
    </w:p>
    <w:p>
      <w:pPr>
        <w:jc w:val="center"/>
        <w:ind w:right="1920"/>
        <w:spacing w:after="0"/>
        <w:rPr>
          <w:sz w:val="20"/>
          <w:szCs w:val="20"/>
          <w:color w:val="auto"/>
        </w:rPr>
      </w:pPr>
      <w:r>
        <w:rPr>
          <w:rFonts w:ascii="Arial" w:cs="Arial" w:eastAsia="Arial" w:hAnsi="Arial"/>
          <w:sz w:val="16"/>
          <w:szCs w:val="16"/>
          <w:color w:val="auto"/>
        </w:rPr>
        <w:t>(I.R.S. Employer</w:t>
      </w:r>
    </w:p>
    <w:p>
      <w:pPr>
        <w:spacing w:after="0" w:line="19" w:lineRule="exact"/>
        <w:rPr>
          <w:sz w:val="24"/>
          <w:szCs w:val="24"/>
          <w:color w:val="auto"/>
        </w:rPr>
      </w:pPr>
    </w:p>
    <w:p>
      <w:pPr>
        <w:jc w:val="center"/>
        <w:ind w:right="1920"/>
        <w:spacing w:after="0"/>
        <w:rPr>
          <w:sz w:val="20"/>
          <w:szCs w:val="20"/>
          <w:color w:val="auto"/>
        </w:rPr>
      </w:pPr>
      <w:r>
        <w:rPr>
          <w:rFonts w:ascii="Arial" w:cs="Arial" w:eastAsia="Arial" w:hAnsi="Arial"/>
          <w:sz w:val="15"/>
          <w:szCs w:val="15"/>
          <w:color w:val="auto"/>
        </w:rPr>
        <w:t>Identification No.)</w:t>
      </w:r>
    </w:p>
    <w:p>
      <w:pPr>
        <w:spacing w:after="0" w:line="144" w:lineRule="exact"/>
        <w:rPr>
          <w:sz w:val="24"/>
          <w:szCs w:val="24"/>
          <w:color w:val="auto"/>
        </w:rPr>
      </w:pPr>
    </w:p>
    <w:p>
      <w:pPr>
        <w:sectPr>
          <w:pgSz w:w="11900" w:h="16838" w:orient="portrait"/>
          <w:cols w:equalWidth="0" w:num="2">
            <w:col w:w="6380" w:space="720"/>
            <w:col w:w="3140"/>
          </w:cols>
          <w:pgMar w:left="820" w:top="665" w:right="8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1600 Airport Freeway, #100</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Bedford, Texas 76022</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(Zip Code)</w:t>
      </w:r>
    </w:p>
    <w:p>
      <w:pPr>
        <w:sectPr>
          <w:pgSz w:w="11900" w:h="16838" w:orient="portrait"/>
          <w:cols w:equalWidth="0" w:num="1">
            <w:col w:w="10240"/>
          </w:cols>
          <w:pgMar w:left="820" w:top="665" w:right="839" w:bottom="1440" w:gutter="0" w:footer="0" w:header="0"/>
          <w:type w:val="continuous"/>
        </w:sectPr>
      </w:pPr>
    </w:p>
    <w:p>
      <w:pPr>
        <w:spacing w:after="0" w:line="1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(817) 799-4900</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135890</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73" w:lineRule="exact"/>
        <w:rPr>
          <w:sz w:val="24"/>
          <w:szCs w:val="24"/>
          <w:color w:val="auto"/>
        </w:rPr>
      </w:pPr>
    </w:p>
    <w:p>
      <w:pPr>
        <w:ind w:left="20" w:right="360"/>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4" w:lineRule="exact"/>
        <w:rPr>
          <w:sz w:val="24"/>
          <w:szCs w:val="24"/>
          <w:color w:val="auto"/>
        </w:rPr>
      </w:pPr>
    </w:p>
    <w:p>
      <w:pPr>
        <w:ind w:left="20" w:right="440"/>
        <w:spacing w:after="0" w:line="21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4" w:lineRule="exact"/>
        <w:rPr>
          <w:sz w:val="24"/>
          <w:szCs w:val="24"/>
          <w:color w:val="auto"/>
        </w:rPr>
      </w:pPr>
    </w:p>
    <w:p>
      <w:pPr>
        <w:ind w:left="20" w:right="520"/>
        <w:spacing w:after="0" w:line="27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820" w:top="665" w:right="839" w:bottom="1440" w:gutter="0" w:footer="0" w:header="0"/>
          <w:type w:val="continuous"/>
        </w:sectPr>
      </w:pPr>
    </w:p>
    <w:p>
      <w:pPr>
        <w:spacing w:after="0" w:line="1" w:lineRule="exact"/>
        <w:rPr>
          <w:sz w:val="24"/>
          <w:szCs w:val="24"/>
          <w:color w:val="auto"/>
        </w:rPr>
      </w:pPr>
    </w:p>
    <w:p>
      <w:pPr>
        <w:ind w:left="168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2">
            <w:col w:w="6560" w:space="720"/>
            <w:col w:w="2960"/>
          </w:cols>
          <w:pgMar w:left="820" w:top="665" w:right="839" w:bottom="1440" w:gutter="0" w:footer="0" w:header="0"/>
          <w:type w:val="continuous"/>
        </w:sectPr>
      </w:pPr>
    </w:p>
    <w:p>
      <w:pPr>
        <w:spacing w:after="0" w:line="44" w:lineRule="exact"/>
        <w:rPr>
          <w:sz w:val="24"/>
          <w:szCs w:val="24"/>
          <w:color w:val="auto"/>
        </w:rPr>
      </w:pPr>
    </w:p>
    <w:p>
      <w:pPr>
        <w:ind w:left="172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9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2">
            <w:col w:w="6200" w:space="720"/>
            <w:col w:w="3320"/>
          </w:cols>
          <w:pgMar w:left="820" w:top="665" w:right="839" w:bottom="1440" w:gutter="0" w:footer="0" w:header="0"/>
          <w:type w:val="continuous"/>
        </w:sectPr>
      </w:pPr>
    </w:p>
    <w:p>
      <w:pPr>
        <w:spacing w:after="0" w:line="3" w:lineRule="exact"/>
        <w:rPr>
          <w:sz w:val="24"/>
          <w:szCs w:val="24"/>
          <w:color w:val="auto"/>
        </w:rPr>
      </w:pPr>
    </w:p>
    <w:p>
      <w:pPr>
        <w:ind w:left="20" w:right="8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highlight w:val="black"/>
        </w:rPr>
        <w:t>☐</w:t>
      </w:r>
    </w:p>
    <w:p>
      <w:pPr>
        <w:spacing w:after="0" w:line="1" w:lineRule="exact"/>
        <w:rPr>
          <w:sz w:val="24"/>
          <w:szCs w:val="24"/>
          <w:color w:val="auto"/>
        </w:rPr>
      </w:pPr>
    </w:p>
    <w:p>
      <w:pPr>
        <w:ind w:left="2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97" w:lineRule="exact"/>
        <w:rPr>
          <w:sz w:val="24"/>
          <w:szCs w:val="24"/>
          <w:color w:val="auto"/>
        </w:rPr>
      </w:pPr>
    </w:p>
    <w:p>
      <w:pPr>
        <w:ind w:left="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80" w:type="dxa"/>
            <w:vAlign w:val="bottom"/>
          </w:tcPr>
          <w:p>
            <w:pPr>
              <w:spacing w:after="0"/>
              <w:rPr>
                <w:sz w:val="14"/>
                <w:szCs w:val="14"/>
                <w:color w:val="auto"/>
              </w:rPr>
            </w:pP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Trading Symbol</w:t>
            </w:r>
          </w:p>
        </w:tc>
        <w:tc>
          <w:tcPr>
            <w:tcW w:w="200" w:type="dxa"/>
            <w:vAlign w:val="bottom"/>
          </w:tcPr>
          <w:p>
            <w:pPr>
              <w:spacing w:after="0"/>
              <w:rPr>
                <w:sz w:val="14"/>
                <w:szCs w:val="14"/>
                <w:color w:val="auto"/>
              </w:rPr>
            </w:pP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76"/>
        </w:trPr>
        <w:tc>
          <w:tcPr>
            <w:tcW w:w="3400" w:type="dxa"/>
            <w:vAlign w:val="bottom"/>
          </w:tcPr>
          <w:p>
            <w:pPr>
              <w:jc w:val="center"/>
              <w:spacing w:after="0"/>
              <w:rPr>
                <w:sz w:val="20"/>
                <w:szCs w:val="20"/>
                <w:color w:val="auto"/>
              </w:rPr>
            </w:pPr>
            <w:r>
              <w:rPr>
                <w:rFonts w:ascii="Arial" w:cs="Arial" w:eastAsia="Arial" w:hAnsi="Arial"/>
                <w:sz w:val="14"/>
                <w:szCs w:val="14"/>
                <w:color w:val="auto"/>
                <w:w w:val="93"/>
              </w:rPr>
              <w:t>Common Stock ($0.001 par value)</w:t>
            </w:r>
          </w:p>
        </w:tc>
        <w:tc>
          <w:tcPr>
            <w:tcW w:w="180" w:type="dxa"/>
            <w:vAlign w:val="bottom"/>
          </w:tcPr>
          <w:p>
            <w:pPr>
              <w:spacing w:after="0"/>
              <w:rPr>
                <w:sz w:val="15"/>
                <w:szCs w:val="15"/>
                <w:color w:val="auto"/>
              </w:rPr>
            </w:pPr>
          </w:p>
        </w:tc>
        <w:tc>
          <w:tcPr>
            <w:tcW w:w="3080" w:type="dxa"/>
            <w:vAlign w:val="bottom"/>
          </w:tcPr>
          <w:p>
            <w:pPr>
              <w:jc w:val="center"/>
              <w:spacing w:after="0"/>
              <w:rPr>
                <w:sz w:val="20"/>
                <w:szCs w:val="20"/>
                <w:color w:val="auto"/>
              </w:rPr>
            </w:pPr>
            <w:r>
              <w:rPr>
                <w:rFonts w:ascii="Arial" w:cs="Arial" w:eastAsia="Arial" w:hAnsi="Arial"/>
                <w:sz w:val="14"/>
                <w:szCs w:val="14"/>
                <w:color w:val="auto"/>
                <w:w w:val="99"/>
              </w:rPr>
              <w:t>LEGH</w:t>
            </w:r>
          </w:p>
        </w:tc>
        <w:tc>
          <w:tcPr>
            <w:tcW w:w="200" w:type="dxa"/>
            <w:vAlign w:val="bottom"/>
          </w:tcPr>
          <w:p>
            <w:pPr>
              <w:spacing w:after="0"/>
              <w:rPr>
                <w:sz w:val="15"/>
                <w:szCs w:val="15"/>
                <w:color w:val="auto"/>
              </w:rPr>
            </w:pPr>
          </w:p>
        </w:tc>
        <w:tc>
          <w:tcPr>
            <w:tcW w:w="3380" w:type="dxa"/>
            <w:vAlign w:val="bottom"/>
          </w:tcPr>
          <w:p>
            <w:pPr>
              <w:jc w:val="center"/>
              <w:spacing w:after="0"/>
              <w:rPr>
                <w:sz w:val="20"/>
                <w:szCs w:val="20"/>
                <w:color w:val="auto"/>
              </w:rPr>
            </w:pPr>
            <w:r>
              <w:rPr>
                <w:rFonts w:ascii="Arial" w:cs="Arial" w:eastAsia="Arial" w:hAnsi="Arial"/>
                <w:sz w:val="14"/>
                <w:szCs w:val="14"/>
                <w:color w:val="auto"/>
                <w:w w:val="98"/>
              </w:rPr>
              <w:t>NASDAQ Global Market</w:t>
            </w:r>
          </w:p>
        </w:tc>
      </w:tr>
    </w:tbl>
    <w:p>
      <w:pPr>
        <w:spacing w:after="0" w:line="24" w:lineRule="exact"/>
        <w:rPr>
          <w:sz w:val="24"/>
          <w:szCs w:val="24"/>
          <w:color w:val="auto"/>
        </w:rPr>
      </w:pPr>
    </w:p>
    <w:p>
      <w:pPr>
        <w:ind w:left="660"/>
        <w:spacing w:after="0"/>
        <w:rPr>
          <w:sz w:val="20"/>
          <w:szCs w:val="20"/>
          <w:color w:val="auto"/>
        </w:rPr>
      </w:pPr>
      <w:r>
        <w:rPr>
          <w:rFonts w:ascii="Arial" w:cs="Arial" w:eastAsia="Arial" w:hAnsi="Arial"/>
          <w:sz w:val="16"/>
          <w:szCs w:val="16"/>
          <w:color w:val="auto"/>
        </w:rPr>
        <w:t>There were 24,391,596 shares of Common Stock ($0.001 par value) outstanding as of August 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566420</wp:posOffset>
            </wp:positionV>
            <wp:extent cx="649795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95250</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129540</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20" w:top="665" w:right="839" w:bottom="144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07"/>
        </w:trPr>
        <w:tc>
          <w:tcPr>
            <w:tcW w:w="7440" w:type="dxa"/>
            <w:vAlign w:val="bottom"/>
            <w:gridSpan w:val="15"/>
          </w:tcPr>
          <w:p>
            <w:pPr>
              <w:ind w:left="20"/>
              <w:spacing w:after="0"/>
              <w:rPr>
                <w:sz w:val="20"/>
                <w:szCs w:val="20"/>
                <w:color w:val="auto"/>
              </w:rPr>
            </w:pPr>
            <w:r>
              <w:rPr>
                <w:rFonts w:ascii="Arial" w:cs="Arial" w:eastAsia="Arial" w:hAnsi="Arial"/>
                <w:sz w:val="18"/>
                <w:szCs w:val="18"/>
                <w:color w:val="0000EE"/>
              </w:rPr>
              <w:t>Table of Contents</w:t>
            </w: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763"/>
        </w:trPr>
        <w:tc>
          <w:tcPr>
            <w:tcW w:w="2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80" w:type="dxa"/>
            <w:vAlign w:val="bottom"/>
            <w:gridSpan w:val="5"/>
          </w:tcPr>
          <w:p>
            <w:pPr>
              <w:jc w:val="center"/>
              <w:ind w:right="1260"/>
              <w:spacing w:after="0"/>
              <w:rPr>
                <w:sz w:val="20"/>
                <w:szCs w:val="20"/>
                <w:color w:val="auto"/>
              </w:rPr>
            </w:pPr>
            <w:r>
              <w:rPr>
                <w:rFonts w:ascii="Arial" w:cs="Arial" w:eastAsia="Arial" w:hAnsi="Arial"/>
                <w:sz w:val="18"/>
                <w:szCs w:val="18"/>
                <w:b w:val="1"/>
                <w:bCs w:val="1"/>
                <w:color w:val="auto"/>
              </w:rPr>
              <w:t>LEGACY HOUSING CORPORATION</w:t>
            </w: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40" w:type="dxa"/>
            <w:vAlign w:val="bottom"/>
            <w:gridSpan w:val="2"/>
          </w:tcPr>
          <w:p>
            <w:pPr>
              <w:jc w:val="center"/>
              <w:ind w:right="1920"/>
              <w:spacing w:after="0"/>
              <w:rPr>
                <w:sz w:val="20"/>
                <w:szCs w:val="20"/>
                <w:color w:val="auto"/>
              </w:rPr>
            </w:pPr>
            <w:r>
              <w:rPr>
                <w:rFonts w:ascii="Arial" w:cs="Arial" w:eastAsia="Arial" w:hAnsi="Arial"/>
                <w:sz w:val="18"/>
                <w:szCs w:val="18"/>
                <w:b w:val="1"/>
                <w:bCs w:val="1"/>
                <w:color w:val="auto"/>
                <w:w w:val="98"/>
              </w:rPr>
              <w:t>TABLE OF CONTENTS</w:t>
            </w: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94"/>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Page</w:t>
            </w:r>
          </w:p>
        </w:tc>
      </w:tr>
      <w:tr>
        <w:trPr>
          <w:trHeight w:val="20"/>
        </w:trPr>
        <w:tc>
          <w:tcPr>
            <w:tcW w:w="2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7440" w:type="dxa"/>
            <w:vAlign w:val="bottom"/>
            <w:gridSpan w:val="15"/>
          </w:tcPr>
          <w:p>
            <w:pPr>
              <w:ind w:left="20"/>
              <w:spacing w:after="0" w:line="196" w:lineRule="exact"/>
              <w:rPr>
                <w:sz w:val="20"/>
                <w:szCs w:val="20"/>
                <w:color w:val="auto"/>
              </w:rPr>
            </w:pPr>
            <w:r>
              <w:rPr>
                <w:rFonts w:ascii="Arial" w:cs="Arial" w:eastAsia="Arial" w:hAnsi="Arial"/>
                <w:sz w:val="18"/>
                <w:szCs w:val="18"/>
                <w:color w:val="0000EE"/>
              </w:rPr>
              <w:t>PART I - FINANCIAL INFORMATION</w:t>
            </w:r>
          </w:p>
        </w:tc>
        <w:tc>
          <w:tcPr>
            <w:tcW w:w="1060" w:type="dxa"/>
            <w:vAlign w:val="bottom"/>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180" w:type="dxa"/>
            <w:vAlign w:val="bottom"/>
            <w:gridSpan w:val="13"/>
          </w:tcPr>
          <w:p>
            <w:pPr>
              <w:spacing w:after="0"/>
              <w:rPr>
                <w:sz w:val="20"/>
                <w:szCs w:val="20"/>
                <w:color w:val="auto"/>
              </w:rPr>
            </w:pPr>
            <w:r>
              <w:rPr>
                <w:rFonts w:ascii="Arial" w:cs="Arial" w:eastAsia="Arial" w:hAnsi="Arial"/>
                <w:sz w:val="18"/>
                <w:szCs w:val="18"/>
                <w:color w:val="0000EE"/>
              </w:rPr>
              <w:t>Item 1.   Financial Statements (Unaudited)</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180" w:type="dxa"/>
            <w:vAlign w:val="bottom"/>
            <w:gridSpan w:val="13"/>
          </w:tcPr>
          <w:p>
            <w:pPr>
              <w:spacing w:after="0"/>
              <w:rPr>
                <w:sz w:val="20"/>
                <w:szCs w:val="20"/>
                <w:color w:val="auto"/>
              </w:rPr>
            </w:pPr>
            <w:r>
              <w:rPr>
                <w:rFonts w:ascii="Arial" w:cs="Arial" w:eastAsia="Arial" w:hAnsi="Arial"/>
                <w:sz w:val="18"/>
                <w:szCs w:val="18"/>
                <w:color w:val="0000EE"/>
                <w:w w:val="91"/>
              </w:rPr>
              <w:t>Item 2.   Management’s Discussion and Analysis of Financial Condition and Results of Operations</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00" w:type="dxa"/>
            <w:vAlign w:val="bottom"/>
            <w:tcBorders>
              <w:left w:val="single" w:sz="8" w:color="0000EE"/>
            </w:tcBorders>
            <w:shd w:val="clear" w:color="auto" w:fill="0000EE"/>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180" w:type="dxa"/>
            <w:vAlign w:val="bottom"/>
            <w:gridSpan w:val="13"/>
          </w:tcPr>
          <w:p>
            <w:pPr>
              <w:spacing w:after="0"/>
              <w:rPr>
                <w:sz w:val="20"/>
                <w:szCs w:val="20"/>
                <w:color w:val="auto"/>
              </w:rPr>
            </w:pPr>
            <w:r>
              <w:rPr>
                <w:rFonts w:ascii="Arial" w:cs="Arial" w:eastAsia="Arial" w:hAnsi="Arial"/>
                <w:sz w:val="18"/>
                <w:szCs w:val="18"/>
                <w:color w:val="0000EE"/>
              </w:rPr>
              <w:t>Item 3.   Quantitative and Qualitative Disclosures About Market Risk</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00" w:type="dxa"/>
            <w:vAlign w:val="bottom"/>
            <w:tcBorders>
              <w:left w:val="single" w:sz="8" w:color="0000EE"/>
            </w:tcBorders>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180" w:type="dxa"/>
            <w:vAlign w:val="bottom"/>
            <w:gridSpan w:val="13"/>
          </w:tcPr>
          <w:p>
            <w:pPr>
              <w:spacing w:after="0"/>
              <w:rPr>
                <w:sz w:val="20"/>
                <w:szCs w:val="20"/>
                <w:color w:val="auto"/>
              </w:rPr>
            </w:pPr>
            <w:r>
              <w:rPr>
                <w:rFonts w:ascii="Arial" w:cs="Arial" w:eastAsia="Arial" w:hAnsi="Arial"/>
                <w:sz w:val="18"/>
                <w:szCs w:val="18"/>
                <w:color w:val="0000EE"/>
              </w:rPr>
              <w:t>Item 4.   Controls and Procedures</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260" w:type="dxa"/>
            <w:vAlign w:val="bottom"/>
            <w:gridSpan w:val="2"/>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r>
      <w:tr>
        <w:trPr>
          <w:trHeight w:val="412"/>
        </w:trPr>
        <w:tc>
          <w:tcPr>
            <w:tcW w:w="7440" w:type="dxa"/>
            <w:vAlign w:val="bottom"/>
            <w:gridSpan w:val="15"/>
          </w:tcPr>
          <w:p>
            <w:pPr>
              <w:ind w:left="20"/>
              <w:spacing w:after="0"/>
              <w:rPr>
                <w:sz w:val="20"/>
                <w:szCs w:val="20"/>
                <w:color w:val="auto"/>
              </w:rPr>
            </w:pPr>
            <w:r>
              <w:rPr>
                <w:rFonts w:ascii="Arial" w:cs="Arial" w:eastAsia="Arial" w:hAnsi="Arial"/>
                <w:sz w:val="18"/>
                <w:szCs w:val="18"/>
                <w:color w:val="0000EE"/>
              </w:rPr>
              <w:t>PART II - OTHER INFORMATION</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34</w:t>
            </w:r>
          </w:p>
        </w:tc>
      </w:tr>
      <w:tr>
        <w:trPr>
          <w:trHeight w:val="412"/>
        </w:trPr>
        <w:tc>
          <w:tcPr>
            <w:tcW w:w="2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87"/>
              </w:rPr>
              <w:t>Item 1.</w:t>
            </w:r>
          </w:p>
        </w:tc>
        <w:tc>
          <w:tcPr>
            <w:tcW w:w="240" w:type="dxa"/>
            <w:vAlign w:val="bottom"/>
            <w:tcBorders>
              <w:top w:val="single" w:sz="8" w:color="0000EE"/>
            </w:tcBorders>
          </w:tcPr>
          <w:p>
            <w:pPr>
              <w:spacing w:after="0"/>
              <w:rPr>
                <w:sz w:val="24"/>
                <w:szCs w:val="24"/>
                <w:color w:val="auto"/>
              </w:rPr>
            </w:pPr>
          </w:p>
        </w:tc>
        <w:tc>
          <w:tcPr>
            <w:tcW w:w="164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0000EE"/>
              </w:rPr>
              <w:t>Legal Proceedings</w:t>
            </w:r>
          </w:p>
        </w:tc>
        <w:tc>
          <w:tcPr>
            <w:tcW w:w="4800" w:type="dxa"/>
            <w:vAlign w:val="bottom"/>
            <w:gridSpan w:val="6"/>
          </w:tcPr>
          <w:p>
            <w:pPr>
              <w:spacing w:after="0"/>
              <w:rPr>
                <w:sz w:val="24"/>
                <w:szCs w:val="24"/>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180" w:type="dxa"/>
            <w:vAlign w:val="bottom"/>
            <w:gridSpan w:val="13"/>
          </w:tcPr>
          <w:p>
            <w:pPr>
              <w:spacing w:after="0"/>
              <w:rPr>
                <w:sz w:val="20"/>
                <w:szCs w:val="20"/>
                <w:color w:val="auto"/>
              </w:rPr>
            </w:pPr>
            <w:r>
              <w:rPr>
                <w:rFonts w:ascii="Arial" w:cs="Arial" w:eastAsia="Arial" w:hAnsi="Arial"/>
                <w:sz w:val="18"/>
                <w:szCs w:val="18"/>
                <w:color w:val="0000EE"/>
              </w:rPr>
              <w:t>Item 2.   Unregistered Sales of Equity Securities and Use of Proceeds</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180" w:type="dxa"/>
            <w:vAlign w:val="bottom"/>
            <w:gridSpan w:val="13"/>
          </w:tcPr>
          <w:p>
            <w:pPr>
              <w:spacing w:after="0"/>
              <w:rPr>
                <w:sz w:val="20"/>
                <w:szCs w:val="20"/>
                <w:color w:val="auto"/>
              </w:rPr>
            </w:pPr>
            <w:r>
              <w:rPr>
                <w:rFonts w:ascii="Arial" w:cs="Arial" w:eastAsia="Arial" w:hAnsi="Arial"/>
                <w:sz w:val="18"/>
                <w:szCs w:val="18"/>
                <w:color w:val="0000EE"/>
              </w:rPr>
              <w:t>Item 3.   Defaults Upon Senior Securities</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34</w:t>
            </w:r>
          </w:p>
        </w:tc>
      </w:tr>
      <w:tr>
        <w:trPr>
          <w:trHeight w:val="41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87"/>
              </w:rPr>
              <w:t>Item 4.</w:t>
            </w:r>
          </w:p>
        </w:tc>
        <w:tc>
          <w:tcPr>
            <w:tcW w:w="240" w:type="dxa"/>
            <w:vAlign w:val="bottom"/>
          </w:tcPr>
          <w:p>
            <w:pPr>
              <w:spacing w:after="0"/>
              <w:rPr>
                <w:sz w:val="24"/>
                <w:szCs w:val="24"/>
                <w:color w:val="auto"/>
              </w:rPr>
            </w:pPr>
          </w:p>
        </w:tc>
        <w:tc>
          <w:tcPr>
            <w:tcW w:w="176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color w:val="0000EE"/>
                <w:w w:val="90"/>
              </w:rPr>
              <w:t>Mine Safety Disclosures</w:t>
            </w:r>
          </w:p>
        </w:tc>
        <w:tc>
          <w:tcPr>
            <w:tcW w:w="560" w:type="dxa"/>
            <w:vAlign w:val="bottom"/>
            <w:tcBorders>
              <w:top w:val="single" w:sz="8" w:color="0000EE"/>
            </w:tcBorders>
            <w:gridSpan w:val="2"/>
          </w:tcPr>
          <w:p>
            <w:pPr>
              <w:spacing w:after="0"/>
              <w:rPr>
                <w:sz w:val="24"/>
                <w:szCs w:val="24"/>
                <w:color w:val="auto"/>
              </w:rPr>
            </w:pPr>
          </w:p>
        </w:tc>
        <w:tc>
          <w:tcPr>
            <w:tcW w:w="4120" w:type="dxa"/>
            <w:vAlign w:val="bottom"/>
            <w:gridSpan w:val="3"/>
          </w:tcPr>
          <w:p>
            <w:pPr>
              <w:spacing w:after="0"/>
              <w:rPr>
                <w:sz w:val="24"/>
                <w:szCs w:val="24"/>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34</w:t>
            </w:r>
          </w:p>
        </w:tc>
      </w:tr>
      <w:tr>
        <w:trPr>
          <w:trHeight w:val="41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8"/>
                <w:szCs w:val="18"/>
                <w:color w:val="0000EE"/>
                <w:w w:val="87"/>
              </w:rPr>
              <w:t>Item 5.</w:t>
            </w:r>
          </w:p>
        </w:tc>
        <w:tc>
          <w:tcPr>
            <w:tcW w:w="240" w:type="dxa"/>
            <w:vAlign w:val="bottom"/>
          </w:tcPr>
          <w:p>
            <w:pPr>
              <w:spacing w:after="0"/>
              <w:rPr>
                <w:sz w:val="24"/>
                <w:szCs w:val="24"/>
                <w:color w:val="auto"/>
              </w:rPr>
            </w:pPr>
          </w:p>
        </w:tc>
        <w:tc>
          <w:tcPr>
            <w:tcW w:w="6440" w:type="dxa"/>
            <w:vAlign w:val="bottom"/>
            <w:gridSpan w:val="11"/>
          </w:tcPr>
          <w:p>
            <w:pPr>
              <w:spacing w:after="0"/>
              <w:rPr>
                <w:sz w:val="20"/>
                <w:szCs w:val="20"/>
                <w:color w:val="auto"/>
              </w:rPr>
            </w:pPr>
            <w:r>
              <w:rPr>
                <w:rFonts w:ascii="Arial" w:cs="Arial" w:eastAsia="Arial" w:hAnsi="Arial"/>
                <w:sz w:val="18"/>
                <w:szCs w:val="18"/>
                <w:color w:val="0000EE"/>
              </w:rPr>
              <w:t>Other Information</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34</w:t>
            </w:r>
          </w:p>
        </w:tc>
      </w:tr>
      <w:tr>
        <w:trPr>
          <w:trHeight w:val="41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87"/>
              </w:rPr>
              <w:t>Item 6.</w:t>
            </w:r>
          </w:p>
        </w:tc>
        <w:tc>
          <w:tcPr>
            <w:tcW w:w="240" w:type="dxa"/>
            <w:vAlign w:val="bottom"/>
          </w:tcPr>
          <w:p>
            <w:pPr>
              <w:spacing w:after="0"/>
              <w:rPr>
                <w:sz w:val="24"/>
                <w:szCs w:val="24"/>
                <w:color w:val="auto"/>
              </w:rPr>
            </w:pPr>
          </w:p>
        </w:tc>
        <w:tc>
          <w:tcPr>
            <w:tcW w:w="60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91"/>
              </w:rPr>
              <w:t>Exhibits</w:t>
            </w:r>
          </w:p>
        </w:tc>
        <w:tc>
          <w:tcPr>
            <w:tcW w:w="720" w:type="dxa"/>
            <w:vAlign w:val="bottom"/>
            <w:tcBorders>
              <w:top w:val="single" w:sz="8" w:color="0000EE"/>
            </w:tcBorders>
          </w:tcPr>
          <w:p>
            <w:pPr>
              <w:spacing w:after="0"/>
              <w:rPr>
                <w:sz w:val="24"/>
                <w:szCs w:val="24"/>
                <w:color w:val="auto"/>
              </w:rPr>
            </w:pPr>
          </w:p>
        </w:tc>
        <w:tc>
          <w:tcPr>
            <w:tcW w:w="5120" w:type="dxa"/>
            <w:vAlign w:val="bottom"/>
            <w:gridSpan w:val="7"/>
          </w:tcPr>
          <w:p>
            <w:pPr>
              <w:spacing w:after="0"/>
              <w:rPr>
                <w:sz w:val="24"/>
                <w:szCs w:val="24"/>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35</w:t>
            </w:r>
          </w:p>
        </w:tc>
      </w:tr>
      <w:tr>
        <w:trPr>
          <w:trHeight w:val="412"/>
        </w:trPr>
        <w:tc>
          <w:tcPr>
            <w:tcW w:w="7440" w:type="dxa"/>
            <w:vAlign w:val="bottom"/>
            <w:gridSpan w:val="15"/>
          </w:tcPr>
          <w:p>
            <w:pPr>
              <w:ind w:left="20"/>
              <w:spacing w:after="0"/>
              <w:rPr>
                <w:sz w:val="20"/>
                <w:szCs w:val="20"/>
                <w:color w:val="auto"/>
              </w:rPr>
            </w:pPr>
            <w:r>
              <w:rPr>
                <w:rFonts w:ascii="Arial" w:cs="Arial" w:eastAsia="Arial" w:hAnsi="Arial"/>
                <w:sz w:val="18"/>
                <w:szCs w:val="18"/>
                <w:color w:val="0000EE"/>
              </w:rPr>
              <w:t>SIGNATURES</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36</w:t>
            </w:r>
          </w:p>
        </w:tc>
      </w:tr>
      <w:tr>
        <w:trPr>
          <w:trHeight w:val="1675"/>
        </w:trPr>
        <w:tc>
          <w:tcPr>
            <w:tcW w:w="20" w:type="dxa"/>
            <w:vAlign w:val="bottom"/>
            <w:tcBorders>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00"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 FINANCIAL INFORMATION</w:t>
      </w:r>
    </w:p>
    <w:p>
      <w:pPr>
        <w:spacing w:after="0" w:line="1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104"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LEGACY HOUSING CORPORATION</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CONDENSED BALANCE SHEETS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179"/>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02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66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2022</w:t>
            </w:r>
          </w:p>
        </w:tc>
      </w:tr>
      <w:tr>
        <w:trPr>
          <w:trHeight w:val="196"/>
        </w:trPr>
        <w:tc>
          <w:tcPr>
            <w:tcW w:w="6680" w:type="dxa"/>
            <w:vAlign w:val="bottom"/>
            <w:shd w:val="clear" w:color="auto" w:fill="CCEEFF"/>
          </w:tcPr>
          <w:p>
            <w:pPr>
              <w:ind w:left="3040"/>
              <w:spacing w:after="0"/>
              <w:rPr>
                <w:sz w:val="20"/>
                <w:szCs w:val="20"/>
                <w:color w:val="auto"/>
              </w:rPr>
            </w:pPr>
            <w:r>
              <w:rPr>
                <w:rFonts w:ascii="Arial" w:cs="Arial" w:eastAsia="Arial" w:hAnsi="Arial"/>
                <w:sz w:val="16"/>
                <w:szCs w:val="16"/>
                <w:b w:val="1"/>
                <w:bCs w:val="1"/>
                <w:color w:val="auto"/>
              </w:rPr>
              <w:t>Assets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(unaudited)</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66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6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1,531</w:t>
            </w:r>
          </w:p>
        </w:tc>
        <w:tc>
          <w:tcPr>
            <w:tcW w:w="420" w:type="dxa"/>
            <w:vAlign w:val="bottom"/>
            <w:gridSpan w:val="2"/>
            <w:shd w:val="clear" w:color="auto" w:fill="CCEEFF"/>
          </w:tcPr>
          <w:p>
            <w:pPr>
              <w:jc w:val="right"/>
              <w:ind w:right="66"/>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2,818</w:t>
            </w:r>
          </w:p>
        </w:tc>
      </w:tr>
      <w:tr>
        <w:trPr>
          <w:trHeight w:val="203"/>
        </w:trPr>
        <w:tc>
          <w:tcPr>
            <w:tcW w:w="6680" w:type="dxa"/>
            <w:vAlign w:val="bottom"/>
          </w:tcPr>
          <w:p>
            <w:pPr>
              <w:ind w:left="120"/>
              <w:spacing w:after="0"/>
              <w:rPr>
                <w:sz w:val="20"/>
                <w:szCs w:val="20"/>
                <w:color w:val="auto"/>
              </w:rPr>
            </w:pPr>
            <w:r>
              <w:rPr>
                <w:rFonts w:ascii="Arial" w:cs="Arial" w:eastAsia="Arial" w:hAnsi="Arial"/>
                <w:sz w:val="16"/>
                <w:szCs w:val="16"/>
                <w:color w:val="auto"/>
              </w:rPr>
              <w:t>Held to maturity securities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8,412</w:t>
            </w:r>
          </w:p>
        </w:tc>
      </w:tr>
      <w:tr>
        <w:trPr>
          <w:trHeight w:val="203"/>
        </w:trPr>
        <w:tc>
          <w:tcPr>
            <w:tcW w:w="6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Accounts receivable, net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5,514</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4,873</w:t>
            </w:r>
          </w:p>
        </w:tc>
      </w:tr>
      <w:tr>
        <w:trPr>
          <w:trHeight w:val="203"/>
        </w:trPr>
        <w:tc>
          <w:tcPr>
            <w:tcW w:w="6680" w:type="dxa"/>
            <w:vAlign w:val="bottom"/>
          </w:tcPr>
          <w:p>
            <w:pPr>
              <w:ind w:left="120"/>
              <w:spacing w:after="0"/>
              <w:rPr>
                <w:sz w:val="20"/>
                <w:szCs w:val="20"/>
                <w:color w:val="auto"/>
              </w:rPr>
            </w:pPr>
            <w:r>
              <w:rPr>
                <w:rFonts w:ascii="Arial" w:cs="Arial" w:eastAsia="Arial" w:hAnsi="Arial"/>
                <w:sz w:val="16"/>
                <w:szCs w:val="16"/>
                <w:color w:val="auto"/>
              </w:rPr>
              <w:t>Current portion of contracts - dealer financed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23,589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29,441</w:t>
            </w:r>
          </w:p>
        </w:tc>
      </w:tr>
      <w:tr>
        <w:trPr>
          <w:trHeight w:val="203"/>
        </w:trPr>
        <w:tc>
          <w:tcPr>
            <w:tcW w:w="6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Current portion of consumer loans receivable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7,144</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6,801</w:t>
            </w:r>
          </w:p>
        </w:tc>
      </w:tr>
      <w:tr>
        <w:trPr>
          <w:trHeight w:val="203"/>
        </w:trPr>
        <w:tc>
          <w:tcPr>
            <w:tcW w:w="6680" w:type="dxa"/>
            <w:vAlign w:val="bottom"/>
          </w:tcPr>
          <w:p>
            <w:pPr>
              <w:ind w:left="120"/>
              <w:spacing w:after="0"/>
              <w:rPr>
                <w:sz w:val="20"/>
                <w:szCs w:val="20"/>
                <w:color w:val="auto"/>
              </w:rPr>
            </w:pPr>
            <w:r>
              <w:rPr>
                <w:rFonts w:ascii="Arial" w:cs="Arial" w:eastAsia="Arial" w:hAnsi="Arial"/>
                <w:sz w:val="16"/>
                <w:szCs w:val="16"/>
                <w:color w:val="auto"/>
              </w:rPr>
              <w:t>Current portion of notes receivable from mobile home parks (“MHP”)</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12,499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9,670</w:t>
            </w:r>
          </w:p>
        </w:tc>
      </w:tr>
      <w:tr>
        <w:trPr>
          <w:trHeight w:val="203"/>
        </w:trPr>
        <w:tc>
          <w:tcPr>
            <w:tcW w:w="6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Current portion of other notes receivable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4,446</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8,927</w:t>
            </w:r>
          </w:p>
        </w:tc>
      </w:tr>
      <w:tr>
        <w:trPr>
          <w:trHeight w:val="211"/>
        </w:trPr>
        <w:tc>
          <w:tcPr>
            <w:tcW w:w="6680" w:type="dxa"/>
            <w:vAlign w:val="bottom"/>
          </w:tcPr>
          <w:p>
            <w:pPr>
              <w:ind w:left="120"/>
              <w:spacing w:after="0"/>
              <w:rPr>
                <w:sz w:val="20"/>
                <w:szCs w:val="20"/>
                <w:color w:val="auto"/>
              </w:rPr>
            </w:pPr>
            <w:r>
              <w:rPr>
                <w:rFonts w:ascii="Arial" w:cs="Arial" w:eastAsia="Arial" w:hAnsi="Arial"/>
                <w:sz w:val="16"/>
                <w:szCs w:val="16"/>
                <w:color w:val="auto"/>
              </w:rPr>
              <w:t>Inventories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33,735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32,075</w:t>
            </w:r>
          </w:p>
        </w:tc>
      </w:tr>
      <w:tr>
        <w:trPr>
          <w:trHeight w:val="207"/>
        </w:trPr>
        <w:tc>
          <w:tcPr>
            <w:tcW w:w="6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4,238</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4,064</w:t>
            </w:r>
          </w:p>
        </w:tc>
      </w:tr>
      <w:tr>
        <w:trPr>
          <w:trHeight w:val="196"/>
        </w:trPr>
        <w:tc>
          <w:tcPr>
            <w:tcW w:w="6680" w:type="dxa"/>
            <w:vAlign w:val="bottom"/>
          </w:tcPr>
          <w:p>
            <w:pPr>
              <w:ind w:left="340"/>
              <w:spacing w:after="0"/>
              <w:rPr>
                <w:sz w:val="20"/>
                <w:szCs w:val="20"/>
                <w:color w:val="auto"/>
              </w:rPr>
            </w:pPr>
            <w:r>
              <w:rPr>
                <w:rFonts w:ascii="Arial" w:cs="Arial" w:eastAsia="Arial" w:hAnsi="Arial"/>
                <w:sz w:val="16"/>
                <w:szCs w:val="16"/>
                <w:color w:val="auto"/>
              </w:rPr>
              <w:t>Total current assets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92,696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107,081</w:t>
            </w:r>
          </w:p>
        </w:tc>
      </w:tr>
      <w:tr>
        <w:trPr>
          <w:trHeight w:val="203"/>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Contracts - dealer financed, net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8,528</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w:t>
            </w:r>
          </w:p>
        </w:tc>
      </w:tr>
      <w:tr>
        <w:trPr>
          <w:trHeight w:val="203"/>
        </w:trPr>
        <w:tc>
          <w:tcPr>
            <w:tcW w:w="6680" w:type="dxa"/>
            <w:vAlign w:val="bottom"/>
          </w:tcPr>
          <w:p>
            <w:pPr>
              <w:ind w:left="20"/>
              <w:spacing w:after="0"/>
              <w:rPr>
                <w:sz w:val="20"/>
                <w:szCs w:val="20"/>
                <w:color w:val="auto"/>
              </w:rPr>
            </w:pPr>
            <w:r>
              <w:rPr>
                <w:rFonts w:ascii="Arial" w:cs="Arial" w:eastAsia="Arial" w:hAnsi="Arial"/>
                <w:sz w:val="16"/>
                <w:szCs w:val="16"/>
                <w:color w:val="auto"/>
              </w:rPr>
              <w:t>Consumer loans receivable, net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138,866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132,208</w:t>
            </w:r>
          </w:p>
        </w:tc>
      </w:tr>
      <w:tr>
        <w:trPr>
          <w:trHeight w:val="203"/>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receivable from MHP, net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153,643</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133,072</w:t>
            </w:r>
          </w:p>
        </w:tc>
      </w:tr>
      <w:tr>
        <w:trPr>
          <w:trHeight w:val="203"/>
        </w:trPr>
        <w:tc>
          <w:tcPr>
            <w:tcW w:w="6680" w:type="dxa"/>
            <w:vAlign w:val="bottom"/>
          </w:tcPr>
          <w:p>
            <w:pPr>
              <w:ind w:left="20"/>
              <w:spacing w:after="0"/>
              <w:rPr>
                <w:sz w:val="20"/>
                <w:szCs w:val="20"/>
                <w:color w:val="auto"/>
              </w:rPr>
            </w:pPr>
            <w:r>
              <w:rPr>
                <w:rFonts w:ascii="Arial" w:cs="Arial" w:eastAsia="Arial" w:hAnsi="Arial"/>
                <w:sz w:val="16"/>
                <w:szCs w:val="16"/>
                <w:color w:val="auto"/>
              </w:rPr>
              <w:t>Other notes receivable, net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22,294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13,795</w:t>
            </w:r>
          </w:p>
        </w:tc>
      </w:tr>
      <w:tr>
        <w:trPr>
          <w:trHeight w:val="203"/>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Inventories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7,091</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6,987</w:t>
            </w:r>
          </w:p>
        </w:tc>
      </w:tr>
      <w:tr>
        <w:trPr>
          <w:trHeight w:val="203"/>
        </w:trPr>
        <w:tc>
          <w:tcPr>
            <w:tcW w:w="6680" w:type="dxa"/>
            <w:vAlign w:val="bottom"/>
          </w:tcPr>
          <w:p>
            <w:pPr>
              <w:ind w:left="20"/>
              <w:spacing w:after="0"/>
              <w:rPr>
                <w:sz w:val="20"/>
                <w:szCs w:val="20"/>
                <w:color w:val="auto"/>
              </w:rPr>
            </w:pPr>
            <w:r>
              <w:rPr>
                <w:rFonts w:ascii="Arial" w:cs="Arial" w:eastAsia="Arial" w:hAnsi="Arial"/>
                <w:sz w:val="16"/>
                <w:szCs w:val="16"/>
                <w:color w:val="auto"/>
              </w:rPr>
              <w:t>Other assets - leased mobile homes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7,916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8,824</w:t>
            </w:r>
          </w:p>
        </w:tc>
      </w:tr>
      <w:tr>
        <w:trPr>
          <w:trHeight w:val="203"/>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ROU assets - operating leases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2,073</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2,663</w:t>
            </w:r>
          </w:p>
        </w:tc>
      </w:tr>
      <w:tr>
        <w:trPr>
          <w:trHeight w:val="202"/>
        </w:trPr>
        <w:tc>
          <w:tcPr>
            <w:tcW w:w="668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1,560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1,482</w:t>
            </w:r>
          </w:p>
        </w:tc>
      </w:tr>
      <w:tr>
        <w:trPr>
          <w:trHeight w:val="203"/>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31,112</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30,106</w:t>
            </w:r>
          </w:p>
        </w:tc>
      </w:tr>
      <w:tr>
        <w:trPr>
          <w:trHeight w:val="196"/>
        </w:trPr>
        <w:tc>
          <w:tcPr>
            <w:tcW w:w="6680" w:type="dxa"/>
            <w:vAlign w:val="bottom"/>
          </w:tcPr>
          <w:p>
            <w:pPr>
              <w:ind w:left="340"/>
              <w:spacing w:after="0"/>
              <w:rPr>
                <w:sz w:val="20"/>
                <w:szCs w:val="20"/>
                <w:color w:val="auto"/>
              </w:rPr>
            </w:pPr>
            <w:r>
              <w:rPr>
                <w:rFonts w:ascii="Arial" w:cs="Arial" w:eastAsia="Arial" w:hAnsi="Arial"/>
                <w:sz w:val="16"/>
                <w:szCs w:val="16"/>
                <w:color w:val="auto"/>
              </w:rPr>
              <w:t>Total assets</w:t>
            </w: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465,779</w:t>
            </w:r>
          </w:p>
        </w:tc>
        <w:tc>
          <w:tcPr>
            <w:tcW w:w="420" w:type="dxa"/>
            <w:vAlign w:val="bottom"/>
            <w:gridSpan w:val="2"/>
          </w:tcPr>
          <w:p>
            <w:pPr>
              <w:jc w:val="right"/>
              <w:ind w:right="66"/>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436,813</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6680" w:type="dxa"/>
            <w:vAlign w:val="bottom"/>
            <w:shd w:val="clear" w:color="auto" w:fill="CCEEFF"/>
          </w:tcPr>
          <w:p>
            <w:pPr>
              <w:ind w:left="2000"/>
              <w:spacing w:after="0"/>
              <w:rPr>
                <w:sz w:val="20"/>
                <w:szCs w:val="20"/>
                <w:color w:val="auto"/>
              </w:rPr>
            </w:pPr>
            <w:r>
              <w:rPr>
                <w:rFonts w:ascii="Arial" w:cs="Arial" w:eastAsia="Arial" w:hAnsi="Arial"/>
                <w:sz w:val="16"/>
                <w:szCs w:val="16"/>
                <w:b w:val="1"/>
                <w:bCs w:val="1"/>
                <w:color w:val="auto"/>
              </w:rPr>
              <w:t>Liabilities and Stockholders' Equity</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03"/>
        </w:trPr>
        <w:tc>
          <w:tcPr>
            <w:tcW w:w="66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6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Accounts payable</w:t>
            </w: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3,972</w:t>
            </w:r>
          </w:p>
        </w:tc>
        <w:tc>
          <w:tcPr>
            <w:tcW w:w="420" w:type="dxa"/>
            <w:vAlign w:val="bottom"/>
            <w:gridSpan w:val="2"/>
            <w:shd w:val="clear" w:color="auto" w:fill="CCEEFF"/>
          </w:tcPr>
          <w:p>
            <w:pPr>
              <w:jc w:val="right"/>
              <w:ind w:right="66"/>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4,549</w:t>
            </w:r>
          </w:p>
        </w:tc>
      </w:tr>
      <w:tr>
        <w:trPr>
          <w:trHeight w:val="211"/>
        </w:trPr>
        <w:tc>
          <w:tcPr>
            <w:tcW w:w="6680" w:type="dxa"/>
            <w:vAlign w:val="bottom"/>
          </w:tcPr>
          <w:p>
            <w:pPr>
              <w:ind w:left="120"/>
              <w:spacing w:after="0"/>
              <w:rPr>
                <w:sz w:val="20"/>
                <w:szCs w:val="20"/>
                <w:color w:val="auto"/>
              </w:rPr>
            </w:pPr>
            <w:r>
              <w:rPr>
                <w:rFonts w:ascii="Arial" w:cs="Arial" w:eastAsia="Arial" w:hAnsi="Arial"/>
                <w:sz w:val="16"/>
                <w:szCs w:val="16"/>
                <w:color w:val="auto"/>
              </w:rPr>
              <w:t>Accrued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15,579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16,895</w:t>
            </w:r>
          </w:p>
        </w:tc>
      </w:tr>
      <w:tr>
        <w:trPr>
          <w:trHeight w:val="207"/>
        </w:trPr>
        <w:tc>
          <w:tcPr>
            <w:tcW w:w="6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Customer deposits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9,715</w:t>
            </w:r>
          </w:p>
        </w:tc>
      </w:tr>
      <w:tr>
        <w:trPr>
          <w:trHeight w:val="203"/>
        </w:trPr>
        <w:tc>
          <w:tcPr>
            <w:tcW w:w="6680" w:type="dxa"/>
            <w:vAlign w:val="bottom"/>
          </w:tcPr>
          <w:p>
            <w:pPr>
              <w:ind w:left="120"/>
              <w:spacing w:after="0"/>
              <w:rPr>
                <w:sz w:val="20"/>
                <w:szCs w:val="20"/>
                <w:color w:val="auto"/>
              </w:rPr>
            </w:pPr>
            <w:r>
              <w:rPr>
                <w:rFonts w:ascii="Arial" w:cs="Arial" w:eastAsia="Arial" w:hAnsi="Arial"/>
                <w:sz w:val="16"/>
                <w:szCs w:val="16"/>
                <w:color w:val="auto"/>
              </w:rPr>
              <w:t>Escrow liability</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10,022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9,653</w:t>
            </w:r>
          </w:p>
        </w:tc>
      </w:tr>
      <w:tr>
        <w:trPr>
          <w:trHeight w:val="203"/>
        </w:trPr>
        <w:tc>
          <w:tcPr>
            <w:tcW w:w="6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 obligations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w:t>
            </w:r>
          </w:p>
        </w:tc>
      </w:tr>
      <w:tr>
        <w:trPr>
          <w:trHeight w:val="203"/>
        </w:trPr>
        <w:tc>
          <w:tcPr>
            <w:tcW w:w="6680" w:type="dxa"/>
            <w:vAlign w:val="bottom"/>
          </w:tcPr>
          <w:p>
            <w:pPr>
              <w:ind w:left="120"/>
              <w:spacing w:after="0"/>
              <w:rPr>
                <w:sz w:val="20"/>
                <w:szCs w:val="20"/>
                <w:color w:val="auto"/>
              </w:rPr>
            </w:pPr>
            <w:r>
              <w:rPr>
                <w:rFonts w:ascii="Arial" w:cs="Arial" w:eastAsia="Arial" w:hAnsi="Arial"/>
                <w:sz w:val="16"/>
                <w:szCs w:val="16"/>
                <w:color w:val="auto"/>
              </w:rPr>
              <w:t>Lines of credit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4,685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6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43,093</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41,462</w:t>
            </w:r>
          </w:p>
        </w:tc>
      </w:tr>
      <w:tr>
        <w:trPr>
          <w:trHeight w:val="203"/>
        </w:trPr>
        <w:tc>
          <w:tcPr>
            <w:tcW w:w="6680" w:type="dxa"/>
            <w:vAlign w:val="bottom"/>
          </w:tcPr>
          <w:p>
            <w:pPr>
              <w:ind w:left="20"/>
              <w:spacing w:after="0" w:line="184" w:lineRule="exact"/>
              <w:rPr>
                <w:sz w:val="20"/>
                <w:szCs w:val="20"/>
                <w:color w:val="auto"/>
              </w:rPr>
            </w:pPr>
            <w:r>
              <w:rPr>
                <w:rFonts w:ascii="Arial" w:cs="Arial" w:eastAsia="Arial" w:hAnsi="Arial"/>
                <w:sz w:val="16"/>
                <w:szCs w:val="16"/>
                <w:color w:val="auto"/>
              </w:rPr>
              <w:t>Long</w:t>
            </w:r>
            <w:r>
              <w:rPr>
                <w:rFonts w:ascii="MS PGothic" w:cs="MS PGothic" w:eastAsia="MS PGothic" w:hAnsi="MS PGothic"/>
                <w:sz w:val="16"/>
                <w:szCs w:val="16"/>
                <w:color w:val="auto"/>
              </w:rPr>
              <w:t>‑</w:t>
            </w:r>
            <w:r>
              <w:rPr>
                <w:rFonts w:ascii="Arial" w:cs="Arial" w:eastAsia="Arial" w:hAnsi="Arial"/>
                <w:sz w:val="16"/>
                <w:szCs w:val="16"/>
                <w:color w:val="auto"/>
              </w:rPr>
              <w:t>term liabilities: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6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 obligations, less current portion</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2,121</w:t>
            </w:r>
          </w:p>
        </w:tc>
      </w:tr>
      <w:tr>
        <w:trPr>
          <w:trHeight w:val="203"/>
        </w:trPr>
        <w:tc>
          <w:tcPr>
            <w:tcW w:w="6680" w:type="dxa"/>
            <w:vAlign w:val="bottom"/>
          </w:tcPr>
          <w:p>
            <w:pPr>
              <w:ind w:left="120"/>
              <w:spacing w:after="0"/>
              <w:rPr>
                <w:sz w:val="20"/>
                <w:szCs w:val="20"/>
                <w:color w:val="auto"/>
              </w:rPr>
            </w:pPr>
            <w:r>
              <w:rPr>
                <w:rFonts w:ascii="Arial" w:cs="Arial" w:eastAsia="Arial" w:hAnsi="Arial"/>
                <w:sz w:val="16"/>
                <w:szCs w:val="16"/>
                <w:color w:val="auto"/>
              </w:rPr>
              <w:t>Lines of credit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2,545</w:t>
            </w:r>
          </w:p>
        </w:tc>
      </w:tr>
      <w:tr>
        <w:trPr>
          <w:trHeight w:val="203"/>
        </w:trPr>
        <w:tc>
          <w:tcPr>
            <w:tcW w:w="6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income taxes, net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3,065</w:t>
            </w:r>
          </w:p>
        </w:tc>
      </w:tr>
      <w:tr>
        <w:trPr>
          <w:trHeight w:val="203"/>
        </w:trPr>
        <w:tc>
          <w:tcPr>
            <w:tcW w:w="6680" w:type="dxa"/>
            <w:vAlign w:val="bottom"/>
          </w:tcPr>
          <w:p>
            <w:pPr>
              <w:ind w:left="120"/>
              <w:spacing w:after="0"/>
              <w:rPr>
                <w:sz w:val="20"/>
                <w:szCs w:val="20"/>
                <w:color w:val="auto"/>
              </w:rPr>
            </w:pPr>
            <w:r>
              <w:rPr>
                <w:rFonts w:ascii="Arial" w:cs="Arial" w:eastAsia="Arial" w:hAnsi="Arial"/>
                <w:sz w:val="16"/>
                <w:szCs w:val="16"/>
                <w:color w:val="auto"/>
              </w:rPr>
              <w:t>Dealer incentive liability</w:t>
            </w: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5,020</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5,516</w:t>
            </w:r>
          </w:p>
        </w:tc>
      </w:tr>
      <w:tr>
        <w:trPr>
          <w:trHeight w:val="196"/>
        </w:trPr>
        <w:tc>
          <w:tcPr>
            <w:tcW w:w="6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liabilities</w:t>
            </w: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52,590</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54,709</w:t>
            </w:r>
          </w:p>
        </w:tc>
      </w:tr>
      <w:tr>
        <w:trPr>
          <w:trHeight w:val="196"/>
        </w:trPr>
        <w:tc>
          <w:tcPr>
            <w:tcW w:w="6680" w:type="dxa"/>
            <w:vAlign w:val="bottom"/>
          </w:tcPr>
          <w:p>
            <w:pPr>
              <w:ind w:left="120"/>
              <w:spacing w:after="0"/>
              <w:rPr>
                <w:sz w:val="20"/>
                <w:szCs w:val="20"/>
                <w:color w:val="auto"/>
              </w:rPr>
            </w:pPr>
            <w:r>
              <w:rPr>
                <w:rFonts w:ascii="Arial" w:cs="Arial" w:eastAsia="Arial" w:hAnsi="Arial"/>
                <w:sz w:val="16"/>
                <w:szCs w:val="16"/>
                <w:color w:val="auto"/>
              </w:rPr>
              <w:t>Commitments and contingencies (Note 14)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6680" w:type="dxa"/>
            <w:vAlign w:val="bottom"/>
          </w:tcPr>
          <w:p>
            <w:pPr>
              <w:ind w:left="120"/>
              <w:spacing w:after="0"/>
              <w:rPr>
                <w:sz w:val="20"/>
                <w:szCs w:val="20"/>
                <w:color w:val="auto"/>
              </w:rPr>
            </w:pPr>
            <w:r>
              <w:rPr>
                <w:rFonts w:ascii="Arial" w:cs="Arial" w:eastAsia="Arial" w:hAnsi="Arial"/>
                <w:sz w:val="16"/>
                <w:szCs w:val="16"/>
                <w:color w:val="auto"/>
                <w:w w:val="95"/>
              </w:rPr>
              <w:t>Preferred stock, $.001 par value, 10,000,000 shares authorized: no shares issued or outstanding</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3"/>
        </w:trPr>
        <w:tc>
          <w:tcPr>
            <w:tcW w:w="66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3"/>
              </w:rPr>
              <w:t>Common stock, $.001 par value, 90,000,000 shares authorized; 24,836,862 and 24,814,695 issued</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03"/>
        </w:trPr>
        <w:tc>
          <w:tcPr>
            <w:tcW w:w="6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and 24,391,797 and 24,369,630 outstanding at June 30, 2023 and December 31, 2022,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2"/>
        </w:trPr>
        <w:tc>
          <w:tcPr>
            <w:tcW w:w="6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respectively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1"/>
        </w:trPr>
        <w:tc>
          <w:tcPr>
            <w:tcW w:w="6680" w:type="dxa"/>
            <w:vAlign w:val="bottom"/>
          </w:tcPr>
          <w:p>
            <w:pPr>
              <w:ind w:left="120"/>
              <w:spacing w:after="0"/>
              <w:rPr>
                <w:sz w:val="20"/>
                <w:szCs w:val="20"/>
                <w:color w:val="auto"/>
              </w:rPr>
            </w:pPr>
            <w:r>
              <w:rPr>
                <w:rFonts w:ascii="Arial" w:cs="Arial" w:eastAsia="Arial" w:hAnsi="Arial"/>
                <w:sz w:val="16"/>
                <w:szCs w:val="16"/>
                <w:color w:val="auto"/>
              </w:rPr>
              <w:t>Treasury stock at cost, 445,065 shares at June 30, 2023 and December 31, 2022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(4,477)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(4,477)</w:t>
            </w:r>
          </w:p>
        </w:tc>
      </w:tr>
      <w:tr>
        <w:trPr>
          <w:trHeight w:val="207"/>
        </w:trPr>
        <w:tc>
          <w:tcPr>
            <w:tcW w:w="6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Additional paid-in-capital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181,042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180,555</w:t>
            </w:r>
          </w:p>
        </w:tc>
      </w:tr>
      <w:tr>
        <w:trPr>
          <w:trHeight w:val="203"/>
        </w:trPr>
        <w:tc>
          <w:tcPr>
            <w:tcW w:w="66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Retained earnings</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236,594</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205,996</w:t>
            </w:r>
          </w:p>
        </w:tc>
      </w:tr>
      <w:tr>
        <w:trPr>
          <w:trHeight w:val="196"/>
        </w:trPr>
        <w:tc>
          <w:tcPr>
            <w:tcW w:w="6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stockholders' equity</w:t>
            </w: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413,189</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382,104</w:t>
            </w:r>
          </w:p>
        </w:tc>
      </w:tr>
      <w:tr>
        <w:trPr>
          <w:trHeight w:val="196"/>
        </w:trPr>
        <w:tc>
          <w:tcPr>
            <w:tcW w:w="6680" w:type="dxa"/>
            <w:vAlign w:val="bottom"/>
          </w:tcPr>
          <w:p>
            <w:pPr>
              <w:ind w:left="340"/>
              <w:spacing w:after="0"/>
              <w:rPr>
                <w:sz w:val="20"/>
                <w:szCs w:val="20"/>
                <w:color w:val="auto"/>
              </w:rPr>
            </w:pPr>
            <w:r>
              <w:rPr>
                <w:rFonts w:ascii="Arial" w:cs="Arial" w:eastAsia="Arial" w:hAnsi="Arial"/>
                <w:sz w:val="16"/>
                <w:szCs w:val="16"/>
                <w:color w:val="auto"/>
              </w:rPr>
              <w:t>Total liabilities and stockholders' equity</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465,779</w:t>
            </w:r>
          </w:p>
        </w:tc>
        <w:tc>
          <w:tcPr>
            <w:tcW w:w="200" w:type="dxa"/>
            <w:vAlign w:val="bottom"/>
          </w:tcPr>
          <w:p>
            <w:pPr>
              <w:spacing w:after="0"/>
              <w:rPr>
                <w:sz w:val="17"/>
                <w:szCs w:val="17"/>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436,813</w:t>
            </w:r>
          </w:p>
        </w:tc>
      </w:tr>
      <w:tr>
        <w:trPr>
          <w:trHeight w:val="20"/>
        </w:trPr>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See accompanying notes to unaudited condensed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LEGACY HOUSING CORPORATION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STATEMENTS OF INCOME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3"/>
          </w:tcPr>
          <w:p>
            <w:pPr>
              <w:jc w:val="right"/>
              <w:ind w:right="71"/>
              <w:spacing w:after="0"/>
              <w:rPr>
                <w:sz w:val="20"/>
                <w:szCs w:val="20"/>
                <w:color w:val="auto"/>
              </w:rPr>
            </w:pPr>
            <w:r>
              <w:rPr>
                <w:rFonts w:ascii="Arial" w:cs="Arial" w:eastAsia="Arial" w:hAnsi="Arial"/>
                <w:sz w:val="14"/>
                <w:szCs w:val="14"/>
                <w:b w:val="1"/>
                <w:bCs w:val="1"/>
                <w:color w:val="auto"/>
                <w:w w:val="91"/>
              </w:rPr>
              <w:t>Three months ended June 30,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5"/>
          </w:tcPr>
          <w:p>
            <w:pPr>
              <w:jc w:val="right"/>
              <w:ind w:right="251"/>
              <w:spacing w:after="0"/>
              <w:rPr>
                <w:sz w:val="20"/>
                <w:szCs w:val="20"/>
                <w:color w:val="auto"/>
              </w:rPr>
            </w:pPr>
            <w:r>
              <w:rPr>
                <w:rFonts w:ascii="Arial" w:cs="Arial" w:eastAsia="Arial" w:hAnsi="Arial"/>
                <w:sz w:val="14"/>
                <w:szCs w:val="14"/>
                <w:b w:val="1"/>
                <w:bCs w:val="1"/>
                <w:color w:val="auto"/>
                <w:w w:val="96"/>
              </w:rPr>
              <w:t>Six months ended June 30,</w:t>
            </w:r>
          </w:p>
        </w:tc>
      </w:tr>
      <w:tr>
        <w:trPr>
          <w:trHeight w:val="142"/>
        </w:trPr>
        <w:tc>
          <w:tcPr>
            <w:tcW w:w="3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2022</w:t>
            </w:r>
          </w:p>
        </w:tc>
      </w:tr>
      <w:tr>
        <w:trPr>
          <w:trHeight w:val="20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r>
      <w:tr>
        <w:trPr>
          <w:trHeight w:val="216"/>
        </w:trPr>
        <w:tc>
          <w:tcPr>
            <w:tcW w:w="3900" w:type="dxa"/>
            <w:vAlign w:val="bottom"/>
          </w:tcPr>
          <w:p>
            <w:pPr>
              <w:ind w:left="120"/>
              <w:spacing w:after="0"/>
              <w:rPr>
                <w:sz w:val="20"/>
                <w:szCs w:val="20"/>
                <w:color w:val="auto"/>
              </w:rPr>
            </w:pPr>
            <w:r>
              <w:rPr>
                <w:rFonts w:ascii="Arial" w:cs="Arial" w:eastAsia="Arial" w:hAnsi="Arial"/>
                <w:sz w:val="18"/>
                <w:szCs w:val="18"/>
                <w:color w:val="auto"/>
              </w:rPr>
              <w:t>Product sales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42,316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55,098</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85,497</w:t>
            </w:r>
          </w:p>
        </w:tc>
        <w:tc>
          <w:tcPr>
            <w:tcW w:w="8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106,885</w:t>
            </w:r>
          </w:p>
        </w:tc>
      </w:tr>
      <w:tr>
        <w:trPr>
          <w:trHeight w:val="216"/>
        </w:trPr>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Consumer and MHP loans interest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8,488</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14,262</w:t>
            </w:r>
          </w:p>
        </w:tc>
      </w:tr>
      <w:tr>
        <w:trPr>
          <w:trHeight w:val="216"/>
        </w:trPr>
        <w:tc>
          <w:tcPr>
            <w:tcW w:w="3900" w:type="dxa"/>
            <w:vAlign w:val="bottom"/>
          </w:tcPr>
          <w:p>
            <w:pPr>
              <w:ind w:left="120"/>
              <w:spacing w:after="0"/>
              <w:rPr>
                <w:sz w:val="20"/>
                <w:szCs w:val="20"/>
                <w:color w:val="auto"/>
              </w:rPr>
            </w:pPr>
            <w:r>
              <w:rPr>
                <w:rFonts w:ascii="Arial" w:cs="Arial" w:eastAsia="Arial" w:hAnsi="Arial"/>
                <w:sz w:val="18"/>
                <w:szCs w:val="18"/>
                <w:color w:val="auto"/>
              </w:rPr>
              <w:t>Other</w:t>
            </w:r>
          </w:p>
        </w:tc>
        <w:tc>
          <w:tcPr>
            <w:tcW w:w="5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1,832</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2,992</w:t>
            </w:r>
          </w:p>
        </w:tc>
      </w:tr>
      <w:tr>
        <w:trPr>
          <w:trHeight w:val="209"/>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revenue</w:t>
            </w: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52,636</w:t>
            </w: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64,211</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105,493</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124,139</w:t>
            </w:r>
          </w:p>
        </w:tc>
      </w:tr>
      <w:tr>
        <w:trPr>
          <w:trHeight w:val="210"/>
        </w:trPr>
        <w:tc>
          <w:tcPr>
            <w:tcW w:w="39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product sales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29,709</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58,670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71,138</w:t>
            </w:r>
          </w:p>
        </w:tc>
      </w:tr>
      <w:tr>
        <w:trPr>
          <w:trHeight w:val="216"/>
        </w:trPr>
        <w:tc>
          <w:tcPr>
            <w:tcW w:w="3900" w:type="dxa"/>
            <w:vAlign w:val="bottom"/>
          </w:tcPr>
          <w:p>
            <w:pPr>
              <w:ind w:left="120"/>
              <w:spacing w:after="0"/>
              <w:rPr>
                <w:sz w:val="20"/>
                <w:szCs w:val="20"/>
                <w:color w:val="auto"/>
              </w:rPr>
            </w:pPr>
            <w:r>
              <w:rPr>
                <w:rFonts w:ascii="Arial" w:cs="Arial" w:eastAsia="Arial" w:hAnsi="Arial"/>
                <w:sz w:val="18"/>
                <w:szCs w:val="18"/>
                <w:color w:val="auto"/>
              </w:rPr>
              <w:t>Selling, general and administrative expenses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5,527</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10,938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13,560</w:t>
            </w:r>
          </w:p>
        </w:tc>
      </w:tr>
      <w:tr>
        <w:trPr>
          <w:trHeight w:val="216"/>
        </w:trPr>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Dealer incentive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713</w:t>
            </w:r>
          </w:p>
        </w:tc>
      </w:tr>
      <w:tr>
        <w:trPr>
          <w:trHeight w:val="210"/>
        </w:trPr>
        <w:tc>
          <w:tcPr>
            <w:tcW w:w="390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Income from operations</w:t>
            </w: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17,500</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20,460</w:t>
            </w: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35,853</w:t>
            </w: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38,728</w:t>
            </w:r>
          </w:p>
        </w:tc>
      </w:tr>
      <w:tr>
        <w:trPr>
          <w:trHeight w:val="216"/>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r>
      <w:tr>
        <w:trPr>
          <w:trHeight w:val="216"/>
        </w:trPr>
        <w:tc>
          <w:tcPr>
            <w:tcW w:w="3900" w:type="dxa"/>
            <w:vAlign w:val="bottom"/>
          </w:tcPr>
          <w:p>
            <w:pPr>
              <w:ind w:left="120"/>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operating interest income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1,635</w:t>
            </w:r>
          </w:p>
        </w:tc>
      </w:tr>
      <w:tr>
        <w:trPr>
          <w:trHeight w:val="216"/>
        </w:trPr>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Miscellaneous, net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603</w:t>
            </w:r>
          </w:p>
        </w:tc>
      </w:tr>
      <w:tr>
        <w:trPr>
          <w:trHeight w:val="216"/>
        </w:trPr>
        <w:tc>
          <w:tcPr>
            <w:tcW w:w="390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09"/>
        </w:trPr>
        <w:tc>
          <w:tcPr>
            <w:tcW w:w="3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other</w:t>
            </w: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590</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1,999</w:t>
            </w:r>
          </w:p>
        </w:tc>
      </w:tr>
      <w:tr>
        <w:trPr>
          <w:trHeight w:val="209"/>
        </w:trPr>
        <w:tc>
          <w:tcPr>
            <w:tcW w:w="3900" w:type="dxa"/>
            <w:vAlign w:val="bottom"/>
          </w:tcPr>
          <w:p>
            <w:pPr>
              <w:ind w:left="220"/>
              <w:spacing w:after="0"/>
              <w:rPr>
                <w:sz w:val="20"/>
                <w:szCs w:val="20"/>
                <w:color w:val="auto"/>
              </w:rPr>
            </w:pPr>
            <w:r>
              <w:rPr>
                <w:rFonts w:ascii="Arial" w:cs="Arial" w:eastAsia="Arial" w:hAnsi="Arial"/>
                <w:sz w:val="18"/>
                <w:szCs w:val="18"/>
                <w:color w:val="auto"/>
              </w:rPr>
              <w:t>Income before income tax expense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18,090</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21,077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37,801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40,727</w:t>
            </w:r>
          </w:p>
        </w:tc>
      </w:tr>
      <w:tr>
        <w:trPr>
          <w:trHeight w:val="216"/>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(7,375)</w:t>
            </w:r>
          </w:p>
        </w:tc>
      </w:tr>
      <w:tr>
        <w:trPr>
          <w:trHeight w:val="20"/>
        </w:trPr>
        <w:tc>
          <w:tcPr>
            <w:tcW w:w="39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r>
      <w:tr>
        <w:trPr>
          <w:trHeight w:val="209"/>
        </w:trPr>
        <w:tc>
          <w:tcPr>
            <w:tcW w:w="39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15,020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17,261</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31,296</w:t>
            </w:r>
          </w:p>
        </w:tc>
        <w:tc>
          <w:tcPr>
            <w:tcW w:w="8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33,352</w:t>
            </w: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39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shares outstanding:</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r>
      <w:tr>
        <w:trPr>
          <w:trHeight w:val="216"/>
        </w:trPr>
        <w:tc>
          <w:tcPr>
            <w:tcW w:w="3900" w:type="dxa"/>
            <w:vAlign w:val="bottom"/>
          </w:tcPr>
          <w:p>
            <w:pPr>
              <w:ind w:left="120"/>
              <w:spacing w:after="0"/>
              <w:rPr>
                <w:sz w:val="20"/>
                <w:szCs w:val="20"/>
                <w:color w:val="auto"/>
              </w:rPr>
            </w:pPr>
            <w:r>
              <w:rPr>
                <w:rFonts w:ascii="Arial" w:cs="Arial" w:eastAsia="Arial" w:hAnsi="Arial"/>
                <w:sz w:val="18"/>
                <w:szCs w:val="18"/>
                <w:color w:val="auto"/>
              </w:rPr>
              <w:t>Basic</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w w:val="93"/>
              </w:rPr>
              <w:t>24,380,894</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24,406,020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0"/>
              </w:rPr>
              <w:t>24,377,803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w w:val="90"/>
              </w:rPr>
              <w:t>24,355,412</w:t>
            </w:r>
          </w:p>
        </w:tc>
      </w:tr>
      <w:tr>
        <w:trPr>
          <w:trHeight w:val="216"/>
        </w:trPr>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3"/>
              </w:rPr>
              <w:t>25,101,937</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24,922,125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25,085,158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0"/>
              </w:rPr>
              <w:t>24,773,345</w:t>
            </w:r>
          </w:p>
        </w:tc>
      </w:tr>
      <w:tr>
        <w:trPr>
          <w:trHeight w:val="216"/>
        </w:trPr>
        <w:tc>
          <w:tcPr>
            <w:tcW w:w="3900" w:type="dxa"/>
            <w:vAlign w:val="bottom"/>
          </w:tcPr>
          <w:p>
            <w:pPr>
              <w:ind w:left="20"/>
              <w:spacing w:after="0"/>
              <w:rPr>
                <w:sz w:val="20"/>
                <w:szCs w:val="20"/>
                <w:color w:val="auto"/>
              </w:rPr>
            </w:pPr>
            <w:r>
              <w:rPr>
                <w:rFonts w:ascii="Arial" w:cs="Arial" w:eastAsia="Arial" w:hAnsi="Arial"/>
                <w:sz w:val="18"/>
                <w:szCs w:val="18"/>
                <w:color w:val="auto"/>
              </w:rPr>
              <w:t>Net income per share: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w:t>
            </w:r>
          </w:p>
        </w:tc>
      </w:tr>
      <w:tr>
        <w:trPr>
          <w:trHeight w:val="230"/>
        </w:trPr>
        <w:tc>
          <w:tcPr>
            <w:tcW w:w="3900" w:type="dxa"/>
            <w:vAlign w:val="bottom"/>
          </w:tcPr>
          <w:p>
            <w:pPr>
              <w:ind w:left="120"/>
              <w:spacing w:after="0"/>
              <w:rPr>
                <w:sz w:val="20"/>
                <w:szCs w:val="20"/>
                <w:color w:val="auto"/>
              </w:rPr>
            </w:pPr>
            <w:r>
              <w:rPr>
                <w:rFonts w:ascii="Arial" w:cs="Arial" w:eastAsia="Arial" w:hAnsi="Arial"/>
                <w:sz w:val="18"/>
                <w:szCs w:val="18"/>
                <w:color w:val="auto"/>
              </w:rPr>
              <w:t>Diluted</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0.60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0.69</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20"/>
                <w:szCs w:val="20"/>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1.35</w:t>
            </w:r>
          </w:p>
        </w:tc>
      </w:tr>
    </w:tbl>
    <w:p>
      <w:pPr>
        <w:spacing w:after="0" w:line="187"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See accompanying 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18"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LEGACY HOUSING CORPORATION</w:t>
      </w:r>
    </w:p>
    <w:p>
      <w:pPr>
        <w:spacing w:after="0" w:line="79"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CONDENSED STATEMENTS OF CASH FLOWS</w:t>
      </w:r>
    </w:p>
    <w:p>
      <w:pPr>
        <w:jc w:val="center"/>
        <w:ind w:right="19"/>
        <w:spacing w:after="0"/>
        <w:rPr>
          <w:sz w:val="20"/>
          <w:szCs w:val="20"/>
          <w:color w:val="auto"/>
        </w:rPr>
      </w:pPr>
      <w:r>
        <w:rPr>
          <w:rFonts w:ascii="Arial" w:cs="Arial" w:eastAsia="Arial" w:hAnsi="Arial"/>
          <w:sz w:val="18"/>
          <w:szCs w:val="18"/>
          <w:b w:val="1"/>
          <w:bCs w:val="1"/>
          <w:color w:val="auto"/>
        </w:rPr>
        <w:t>(unaudited, in thousands)</w:t>
      </w:r>
    </w:p>
    <w:p>
      <w:pPr>
        <w:spacing w:after="0" w:line="9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5"/>
          </w:tcPr>
          <w:p>
            <w:pPr>
              <w:ind w:left="8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66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0"/>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r>
      <w:tr>
        <w:trPr>
          <w:trHeight w:val="21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31,296</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33,352</w:t>
            </w:r>
          </w:p>
        </w:tc>
        <w:tc>
          <w:tcPr>
            <w:tcW w:w="140" w:type="dxa"/>
            <w:vAlign w:val="bottom"/>
          </w:tcPr>
          <w:p>
            <w:pPr>
              <w:spacing w:after="0"/>
              <w:rPr>
                <w:sz w:val="18"/>
                <w:szCs w:val="18"/>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620" w:type="dxa"/>
            <w:vAlign w:val="bottom"/>
          </w:tcPr>
          <w:p>
            <w:pPr>
              <w:ind w:left="120"/>
              <w:spacing w:after="0"/>
              <w:rPr>
                <w:sz w:val="20"/>
                <w:szCs w:val="20"/>
                <w:color w:val="auto"/>
              </w:rPr>
            </w:pPr>
            <w:r>
              <w:rPr>
                <w:rFonts w:ascii="Arial" w:cs="Arial" w:eastAsia="Arial" w:hAnsi="Arial"/>
                <w:sz w:val="18"/>
                <w:szCs w:val="18"/>
                <w:color w:val="auto"/>
              </w:rPr>
              <w:t>Depreciation and amortization expense</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880</w:t>
            </w:r>
          </w:p>
        </w:tc>
        <w:tc>
          <w:tcPr>
            <w:tcW w:w="140" w:type="dxa"/>
            <w:vAlign w:val="bottom"/>
          </w:tcPr>
          <w:p>
            <w:pPr>
              <w:spacing w:after="0"/>
              <w:rPr>
                <w:sz w:val="18"/>
                <w:szCs w:val="18"/>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deferred revenue</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(573)</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(727)</w:t>
            </w:r>
          </w:p>
        </w:tc>
      </w:tr>
      <w:tr>
        <w:trPr>
          <w:trHeight w:val="216"/>
        </w:trPr>
        <w:tc>
          <w:tcPr>
            <w:tcW w:w="6620" w:type="dxa"/>
            <w:vAlign w:val="bottom"/>
          </w:tcPr>
          <w:p>
            <w:pPr>
              <w:ind w:left="120"/>
              <w:spacing w:after="0"/>
              <w:rPr>
                <w:sz w:val="20"/>
                <w:szCs w:val="20"/>
                <w:color w:val="auto"/>
              </w:rPr>
            </w:pPr>
            <w:r>
              <w:rPr>
                <w:rFonts w:ascii="Arial" w:cs="Arial" w:eastAsia="Arial" w:hAnsi="Arial"/>
                <w:sz w:val="18"/>
                <w:szCs w:val="18"/>
                <w:color w:val="auto"/>
              </w:rPr>
              <w:t>Amortization of treasury note discount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lines of credit cost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tcPr>
          <w:p>
            <w:pPr>
              <w:ind w:left="120"/>
              <w:spacing w:after="0"/>
              <w:rPr>
                <w:sz w:val="20"/>
                <w:szCs w:val="20"/>
                <w:color w:val="auto"/>
              </w:rPr>
            </w:pPr>
            <w:r>
              <w:rPr>
                <w:rFonts w:ascii="Arial" w:cs="Arial" w:eastAsia="Arial" w:hAnsi="Arial"/>
                <w:sz w:val="18"/>
                <w:szCs w:val="18"/>
                <w:color w:val="auto"/>
              </w:rPr>
              <w:t>Provision for accounts and notes receivable</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Provision for inventory</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w:t>
            </w:r>
          </w:p>
        </w:tc>
      </w:tr>
      <w:tr>
        <w:trPr>
          <w:trHeight w:val="216"/>
        </w:trPr>
        <w:tc>
          <w:tcPr>
            <w:tcW w:w="6620" w:type="dxa"/>
            <w:vAlign w:val="bottom"/>
          </w:tcPr>
          <w:p>
            <w:pPr>
              <w:ind w:left="120"/>
              <w:spacing w:after="0"/>
              <w:rPr>
                <w:sz w:val="20"/>
                <w:szCs w:val="20"/>
                <w:color w:val="auto"/>
              </w:rPr>
            </w:pPr>
            <w:r>
              <w:rPr>
                <w:rFonts w:ascii="Arial" w:cs="Arial" w:eastAsia="Arial" w:hAnsi="Arial"/>
                <w:sz w:val="18"/>
                <w:szCs w:val="18"/>
                <w:color w:val="auto"/>
              </w:rPr>
              <w:t>Gain from sale of leased property</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(507)</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operating lease right of use asset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tcPr>
          <w:p>
            <w:pPr>
              <w:ind w:left="120"/>
              <w:spacing w:after="0"/>
              <w:rPr>
                <w:sz w:val="20"/>
                <w:szCs w:val="20"/>
                <w:color w:val="auto"/>
              </w:rPr>
            </w:pPr>
            <w:r>
              <w:rPr>
                <w:rFonts w:ascii="Arial" w:cs="Arial" w:eastAsia="Arial" w:hAnsi="Arial"/>
                <w:sz w:val="18"/>
                <w:szCs w:val="18"/>
                <w:color w:val="auto"/>
              </w:rPr>
              <w:t>Gain on disposal of treasury note</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Share-based payment expense</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4,313</w:t>
            </w:r>
          </w:p>
        </w:tc>
        <w:tc>
          <w:tcPr>
            <w:tcW w:w="140" w:type="dxa"/>
            <w:vAlign w:val="bottom"/>
            <w:shd w:val="clear" w:color="auto" w:fill="CCEEFF"/>
          </w:tcPr>
          <w:p>
            <w:pPr>
              <w:spacing w:after="0"/>
              <w:rPr>
                <w:sz w:val="18"/>
                <w:szCs w:val="18"/>
                <w:color w:val="auto"/>
              </w:rPr>
            </w:pPr>
          </w:p>
        </w:tc>
      </w:tr>
      <w:tr>
        <w:trPr>
          <w:trHeight w:val="216"/>
        </w:trPr>
        <w:tc>
          <w:tcPr>
            <w:tcW w:w="6620" w:type="dxa"/>
            <w:vAlign w:val="bottom"/>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(695)</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(684)</w:t>
            </w: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Consumer loans activity, net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(7,000)</w:t>
            </w: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(5,205)</w:t>
            </w: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Notes receivable MHP activity, net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(23,339)</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(19,169)</w:t>
            </w: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Dealer inventory loan activity, net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(2,386)</w:t>
            </w: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(6,937)</w:t>
            </w: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(1,810)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(7,122)</w:t>
            </w: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(288)</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w:t>
            </w:r>
          </w:p>
        </w:tc>
        <w:tc>
          <w:tcPr>
            <w:tcW w:w="140" w:type="dxa"/>
            <w:vAlign w:val="bottom"/>
          </w:tcPr>
          <w:p>
            <w:pPr>
              <w:spacing w:after="0"/>
              <w:rPr>
                <w:sz w:val="18"/>
                <w:szCs w:val="18"/>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(4,265)</w:t>
            </w: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Accounts payable and accrued liabilities</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(1,894)</w:t>
            </w: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(3,939)</w:t>
            </w: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Right of use activity, net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Customer deposits</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(1,441)</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4,185</w:t>
            </w:r>
          </w:p>
        </w:tc>
        <w:tc>
          <w:tcPr>
            <w:tcW w:w="140" w:type="dxa"/>
            <w:vAlign w:val="bottom"/>
          </w:tcPr>
          <w:p>
            <w:pPr>
              <w:spacing w:after="0"/>
              <w:rPr>
                <w:sz w:val="18"/>
                <w:szCs w:val="18"/>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Escrow liability</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40" w:type="dxa"/>
            <w:vAlign w:val="bottom"/>
            <w:shd w:val="clear" w:color="auto" w:fill="CCEEFF"/>
          </w:tcPr>
          <w:p>
            <w:pPr>
              <w:spacing w:after="0"/>
              <w:rPr>
                <w:sz w:val="18"/>
                <w:szCs w:val="18"/>
                <w:color w:val="auto"/>
              </w:rPr>
            </w:pP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Dealer incentive liability</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(496)</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638</w:t>
            </w:r>
          </w:p>
        </w:tc>
        <w:tc>
          <w:tcPr>
            <w:tcW w:w="140" w:type="dxa"/>
            <w:vAlign w:val="bottom"/>
          </w:tcPr>
          <w:p>
            <w:pPr>
              <w:spacing w:after="0"/>
              <w:rPr>
                <w:sz w:val="18"/>
                <w:szCs w:val="18"/>
                <w:color w:val="auto"/>
              </w:rPr>
            </w:pPr>
          </w:p>
        </w:tc>
      </w:tr>
      <w:tr>
        <w:trPr>
          <w:trHeight w:val="210"/>
        </w:trPr>
        <w:tc>
          <w:tcPr>
            <w:tcW w:w="66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(7,464)</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(3,956)</w:t>
            </w:r>
          </w:p>
        </w:tc>
        <w:tc>
          <w:tcPr>
            <w:tcW w:w="140" w:type="dxa"/>
            <w:vAlign w:val="bottom"/>
            <w:tcBorders>
              <w:top w:val="single" w:sz="8" w:color="CCEEFF"/>
            </w:tcBorders>
            <w:shd w:val="clear" w:color="auto" w:fill="CCEEFF"/>
          </w:tcPr>
          <w:p>
            <w:pPr>
              <w:spacing w:after="0"/>
              <w:rPr>
                <w:sz w:val="18"/>
                <w:szCs w:val="18"/>
                <w:color w:val="auto"/>
              </w:rPr>
            </w:pPr>
          </w:p>
        </w:tc>
      </w:tr>
      <w:tr>
        <w:trPr>
          <w:trHeight w:val="210"/>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Purchases of property, plant and equipment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(1,537)</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(1,506)</w:t>
            </w: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Proceeds from sale of leased property</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 of investments - treasury notes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Issuance of notes receivable</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(5,250)</w:t>
            </w: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(2,423)</w:t>
            </w: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Notes receivable collections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13,731</w:t>
            </w:r>
          </w:p>
        </w:tc>
        <w:tc>
          <w:tcPr>
            <w:tcW w:w="140" w:type="dxa"/>
            <w:vAlign w:val="bottom"/>
            <w:shd w:val="clear" w:color="auto" w:fill="CCEEFF"/>
          </w:tcPr>
          <w:p>
            <w:pPr>
              <w:spacing w:after="0"/>
              <w:rPr>
                <w:sz w:val="18"/>
                <w:szCs w:val="18"/>
                <w:color w:val="auto"/>
              </w:rPr>
            </w:pPr>
          </w:p>
        </w:tc>
      </w:tr>
      <w:tr>
        <w:trPr>
          <w:trHeight w:val="216"/>
        </w:trPr>
        <w:tc>
          <w:tcPr>
            <w:tcW w:w="66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Collections from purchased loans</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40" w:type="dxa"/>
            <w:vAlign w:val="bottom"/>
            <w:tcBorders>
              <w:bottom w:val="single" w:sz="8" w:color="CCEEFF"/>
            </w:tcBorders>
          </w:tcPr>
          <w:p>
            <w:pPr>
              <w:spacing w:after="0"/>
              <w:rPr>
                <w:sz w:val="18"/>
                <w:szCs w:val="18"/>
                <w:color w:val="auto"/>
              </w:rPr>
            </w:pPr>
          </w:p>
        </w:tc>
      </w:tr>
      <w:tr>
        <w:trPr>
          <w:trHeight w:val="210"/>
        </w:trPr>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investing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3,937</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10,072</w:t>
            </w:r>
          </w:p>
        </w:tc>
        <w:tc>
          <w:tcPr>
            <w:tcW w:w="140" w:type="dxa"/>
            <w:vAlign w:val="bottom"/>
            <w:shd w:val="clear" w:color="auto" w:fill="CCEEFF"/>
          </w:tcPr>
          <w:p>
            <w:pPr>
              <w:spacing w:after="0"/>
              <w:rPr>
                <w:sz w:val="18"/>
                <w:szCs w:val="18"/>
                <w:color w:val="auto"/>
              </w:rPr>
            </w:pPr>
          </w:p>
        </w:tc>
      </w:tr>
      <w:tr>
        <w:trPr>
          <w:trHeight w:val="209"/>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exercise of stock options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tcPr>
          <w:p>
            <w:pPr>
              <w:ind w:left="120"/>
              <w:spacing w:after="0"/>
              <w:rPr>
                <w:sz w:val="20"/>
                <w:szCs w:val="20"/>
                <w:color w:val="auto"/>
              </w:rPr>
            </w:pPr>
            <w:r>
              <w:rPr>
                <w:rFonts w:ascii="Arial" w:cs="Arial" w:eastAsia="Arial" w:hAnsi="Arial"/>
                <w:sz w:val="18"/>
                <w:szCs w:val="18"/>
                <w:color w:val="auto"/>
              </w:rPr>
              <w:t>Proceeds from other liabilities</w:t>
            </w: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2,525</w:t>
            </w:r>
          </w:p>
        </w:tc>
        <w:tc>
          <w:tcPr>
            <w:tcW w:w="140" w:type="dxa"/>
            <w:vAlign w:val="bottom"/>
          </w:tcPr>
          <w:p>
            <w:pPr>
              <w:spacing w:after="0"/>
              <w:rPr>
                <w:sz w:val="18"/>
                <w:szCs w:val="18"/>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lines of credit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62,863</w:t>
            </w:r>
          </w:p>
        </w:tc>
        <w:tc>
          <w:tcPr>
            <w:tcW w:w="140" w:type="dxa"/>
            <w:vAlign w:val="bottom"/>
            <w:shd w:val="clear" w:color="auto" w:fill="CCEEFF"/>
          </w:tcPr>
          <w:p>
            <w:pPr>
              <w:spacing w:after="0"/>
              <w:rPr>
                <w:sz w:val="18"/>
                <w:szCs w:val="18"/>
                <w:color w:val="auto"/>
              </w:rPr>
            </w:pPr>
          </w:p>
        </w:tc>
      </w:tr>
      <w:tr>
        <w:trPr>
          <w:trHeight w:val="216"/>
        </w:trPr>
        <w:tc>
          <w:tcPr>
            <w:tcW w:w="6620" w:type="dxa"/>
            <w:vAlign w:val="bottom"/>
          </w:tcPr>
          <w:p>
            <w:pPr>
              <w:ind w:left="120"/>
              <w:spacing w:after="0"/>
              <w:rPr>
                <w:sz w:val="20"/>
                <w:szCs w:val="20"/>
                <w:color w:val="auto"/>
              </w:rPr>
            </w:pPr>
            <w:r>
              <w:rPr>
                <w:rFonts w:ascii="Arial" w:cs="Arial" w:eastAsia="Arial" w:hAnsi="Arial"/>
                <w:sz w:val="18"/>
                <w:szCs w:val="18"/>
                <w:color w:val="auto"/>
              </w:rPr>
              <w:t>Payments on lines of credit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(40,102)</w:t>
            </w: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(58,279)</w:t>
            </w:r>
          </w:p>
        </w:tc>
      </w:tr>
      <w:tr>
        <w:trPr>
          <w:trHeight w:val="210"/>
        </w:trPr>
        <w:tc>
          <w:tcPr>
            <w:tcW w:w="66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7,109</w:t>
            </w:r>
          </w:p>
        </w:tc>
        <w:tc>
          <w:tcPr>
            <w:tcW w:w="140" w:type="dxa"/>
            <w:vAlign w:val="bottom"/>
            <w:tcBorders>
              <w:top w:val="single" w:sz="8" w:color="CCEEFF"/>
            </w:tcBorders>
            <w:shd w:val="clear" w:color="auto" w:fill="CCEEFF"/>
          </w:tcPr>
          <w:p>
            <w:pPr>
              <w:spacing w:after="0"/>
              <w:rPr>
                <w:sz w:val="18"/>
                <w:szCs w:val="18"/>
                <w:color w:val="auto"/>
              </w:rPr>
            </w:pPr>
          </w:p>
        </w:tc>
      </w:tr>
      <w:tr>
        <w:trPr>
          <w:trHeight w:val="210"/>
        </w:trPr>
        <w:tc>
          <w:tcPr>
            <w:tcW w:w="6620" w:type="dxa"/>
            <w:vAlign w:val="bottom"/>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13,225</w:t>
            </w:r>
          </w:p>
        </w:tc>
        <w:tc>
          <w:tcPr>
            <w:tcW w:w="140" w:type="dxa"/>
            <w:vAlign w:val="bottom"/>
          </w:tcPr>
          <w:p>
            <w:pPr>
              <w:spacing w:after="0"/>
              <w:rPr>
                <w:sz w:val="18"/>
                <w:szCs w:val="18"/>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40" w:type="dxa"/>
            <w:vAlign w:val="bottom"/>
            <w:shd w:val="clear" w:color="auto" w:fill="CCEEFF"/>
          </w:tcPr>
          <w:p>
            <w:pPr>
              <w:spacing w:after="0"/>
              <w:rPr>
                <w:sz w:val="18"/>
                <w:szCs w:val="18"/>
                <w:color w:val="auto"/>
              </w:rPr>
            </w:pPr>
          </w:p>
        </w:tc>
      </w:tr>
      <w:tr>
        <w:trPr>
          <w:trHeight w:val="249"/>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w:t>
            </w:r>
          </w:p>
        </w:tc>
        <w:tc>
          <w:tcPr>
            <w:tcW w:w="1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14,267</w:t>
            </w:r>
          </w:p>
        </w:tc>
        <w:tc>
          <w:tcPr>
            <w:tcW w:w="140" w:type="dxa"/>
            <w:vAlign w:val="bottom"/>
            <w:tcBorders>
              <w:bottom w:val="single" w:sz="8" w:color="CCEEFF"/>
            </w:tcBorders>
          </w:tcPr>
          <w:p>
            <w:pPr>
              <w:spacing w:after="0"/>
              <w:rPr>
                <w:sz w:val="21"/>
                <w:szCs w:val="21"/>
                <w:color w:val="auto"/>
              </w:rPr>
            </w:pPr>
          </w:p>
        </w:tc>
      </w:tr>
      <w:tr>
        <w:trPr>
          <w:trHeight w:val="197"/>
        </w:trPr>
        <w:tc>
          <w:tcPr>
            <w:tcW w:w="66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56"/>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paid for interest</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40" w:type="dxa"/>
            <w:vAlign w:val="bottom"/>
            <w:tcBorders>
              <w:bottom w:val="single" w:sz="8" w:color="CCEEFF"/>
            </w:tcBorders>
          </w:tcPr>
          <w:p>
            <w:pPr>
              <w:spacing w:after="0"/>
              <w:rPr>
                <w:sz w:val="22"/>
                <w:szCs w:val="22"/>
                <w:color w:val="auto"/>
              </w:rPr>
            </w:pPr>
          </w:p>
        </w:tc>
      </w:tr>
      <w:tr>
        <w:trPr>
          <w:trHeight w:val="196"/>
        </w:trPr>
        <w:tc>
          <w:tcPr>
            <w:tcW w:w="66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Cash paid for taxes</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10,395</w:t>
            </w: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9,601</w:t>
            </w:r>
          </w:p>
        </w:tc>
        <w:tc>
          <w:tcPr>
            <w:tcW w:w="140" w:type="dxa"/>
            <w:vAlign w:val="bottom"/>
            <w:tcBorders>
              <w:bottom w:val="single" w:sz="8" w:color="CCEEFF"/>
            </w:tcBorders>
            <w:shd w:val="clear" w:color="auto" w:fill="CCEEFF"/>
          </w:tcPr>
          <w:p>
            <w:pPr>
              <w:spacing w:after="0"/>
              <w:rPr>
                <w:sz w:val="17"/>
                <w:szCs w:val="17"/>
                <w:color w:val="auto"/>
              </w:rPr>
            </w:pPr>
          </w:p>
        </w:tc>
      </w:tr>
      <w:tr>
        <w:trPr>
          <w:trHeight w:val="20"/>
        </w:trPr>
        <w:tc>
          <w:tcPr>
            <w:tcW w:w="6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94"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See accompanying notes to unaudited condensed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LEGACY HOUSING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STATEMENTS OF CHANGES IN STOCKHOLDERS’ EQUITY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Treasury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b w:val="1"/>
                <w:bCs w:val="1"/>
                <w:color w:val="auto"/>
                <w:w w:val="93"/>
              </w:rPr>
              <w:t>Additional</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Retained</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58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2"/>
              </w:rPr>
              <w:t>stock</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paid-in-capital</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earnings</w:t>
            </w:r>
          </w:p>
        </w:tc>
        <w:tc>
          <w:tcPr>
            <w:tcW w:w="180" w:type="dxa"/>
            <w:vAlign w:val="bottom"/>
            <w:gridSpan w:val="2"/>
          </w:tcPr>
          <w:p>
            <w:pPr>
              <w:spacing w:after="0"/>
              <w:rPr>
                <w:sz w:val="12"/>
                <w:szCs w:val="12"/>
                <w:color w:val="auto"/>
              </w:rPr>
            </w:pPr>
          </w:p>
        </w:tc>
        <w:tc>
          <w:tcPr>
            <w:tcW w:w="7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Balances, December 31, 2021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24,654,621</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w:t>
            </w:r>
          </w:p>
        </w:tc>
        <w:tc>
          <w:tcPr>
            <w:tcW w:w="1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(4,477)</w:t>
            </w:r>
          </w:p>
        </w:tc>
        <w:tc>
          <w:tcPr>
            <w:tcW w:w="120" w:type="dxa"/>
            <w:vAlign w:val="bottom"/>
            <w:shd w:val="clear" w:color="auto" w:fill="CCEEFF"/>
          </w:tcPr>
          <w:p>
            <w:pPr>
              <w:spacing w:after="0"/>
              <w:rPr>
                <w:sz w:val="21"/>
                <w:szCs w:val="21"/>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175,623</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$ 138,223</w:t>
            </w:r>
          </w:p>
        </w:tc>
        <w:tc>
          <w:tcPr>
            <w:tcW w:w="2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$ 309,394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3520" w:type="dxa"/>
            <w:vAlign w:val="bottom"/>
            <w:tcBorders>
              <w:top w:val="single" w:sz="8" w:color="CCEEFF"/>
            </w:tcBorders>
          </w:tcPr>
          <w:p>
            <w:pPr>
              <w:ind w:left="100"/>
              <w:spacing w:after="0" w:line="169" w:lineRule="exact"/>
              <w:rPr>
                <w:sz w:val="20"/>
                <w:szCs w:val="20"/>
                <w:color w:val="auto"/>
              </w:rPr>
            </w:pPr>
            <w:r>
              <w:rPr>
                <w:rFonts w:ascii="Arial" w:cs="Arial" w:eastAsia="Arial" w:hAnsi="Arial"/>
                <w:sz w:val="18"/>
                <w:szCs w:val="18"/>
                <w:color w:val="auto"/>
                <w:w w:val="90"/>
              </w:rPr>
              <w:t>Share based compensation expense and stock</w:t>
            </w: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100"/>
              <w:spacing w:after="0"/>
              <w:rPr>
                <w:sz w:val="20"/>
                <w:szCs w:val="20"/>
                <w:color w:val="auto"/>
              </w:rPr>
            </w:pPr>
            <w:r>
              <w:rPr>
                <w:rFonts w:ascii="Arial" w:cs="Arial" w:eastAsia="Arial" w:hAnsi="Arial"/>
                <w:sz w:val="18"/>
                <w:szCs w:val="18"/>
                <w:color w:val="auto"/>
              </w:rPr>
              <w:t>units vested</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158,571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4,003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16,092</w:t>
            </w:r>
          </w:p>
        </w:tc>
        <w:tc>
          <w:tcPr>
            <w:tcW w:w="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Balances, March 31, 2022</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24,813,192</w:t>
            </w:r>
          </w:p>
        </w:tc>
        <w:tc>
          <w:tcPr>
            <w:tcW w:w="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29</w:t>
            </w:r>
          </w:p>
        </w:tc>
        <w:tc>
          <w:tcPr>
            <w:tcW w:w="140" w:type="dxa"/>
            <w:vAlign w:val="bottom"/>
            <w:tcBorders>
              <w:bottom w:val="single" w:sz="8" w:color="CCEEFF"/>
            </w:tcBorders>
          </w:tcPr>
          <w:p>
            <w:pPr>
              <w:spacing w:after="0"/>
              <w:rPr>
                <w:sz w:val="21"/>
                <w:szCs w:val="21"/>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 (4,477)</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179,626</w:t>
            </w: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$ 154,315</w:t>
            </w: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$ 329,493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3520" w:type="dxa"/>
            <w:vAlign w:val="bottom"/>
            <w:shd w:val="clear" w:color="auto" w:fill="CCEEFF"/>
          </w:tcPr>
          <w:p>
            <w:pPr>
              <w:ind w:left="100"/>
              <w:spacing w:after="0" w:line="155" w:lineRule="exact"/>
              <w:rPr>
                <w:sz w:val="20"/>
                <w:szCs w:val="20"/>
                <w:color w:val="auto"/>
              </w:rPr>
            </w:pPr>
            <w:r>
              <w:rPr>
                <w:rFonts w:ascii="Arial" w:cs="Arial" w:eastAsia="Arial" w:hAnsi="Arial"/>
                <w:sz w:val="17"/>
                <w:szCs w:val="17"/>
                <w:color w:val="auto"/>
                <w:w w:val="96"/>
              </w:rPr>
              <w:t>Share based compensation expense and stock</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units vested</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9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Balances, June 30, 2022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24,813,192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(4,477)</w:t>
            </w:r>
          </w:p>
        </w:tc>
        <w:tc>
          <w:tcPr>
            <w:tcW w:w="1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179,932</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$ 171,576</w:t>
            </w:r>
          </w:p>
        </w:tc>
        <w:tc>
          <w:tcPr>
            <w:tcW w:w="2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$ 347,060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gridSpan w:val="2"/>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right w:val="single" w:sz="8" w:color="auto"/>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3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Treasury</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b w:val="1"/>
                <w:bCs w:val="1"/>
                <w:color w:val="auto"/>
                <w:w w:val="96"/>
              </w:rPr>
              <w:t>Additional</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Retained</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9"/>
                <w:szCs w:val="19"/>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stock</w:t>
            </w:r>
          </w:p>
        </w:tc>
        <w:tc>
          <w:tcPr>
            <w:tcW w:w="20" w:type="dxa"/>
            <w:vAlign w:val="bottom"/>
          </w:tcPr>
          <w:p>
            <w:pPr>
              <w:spacing w:after="0"/>
              <w:rPr>
                <w:sz w:val="19"/>
                <w:szCs w:val="19"/>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paid-in-capital</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earnings</w:t>
            </w: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December 31, 2022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24,814,695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2"/>
              </w:rPr>
              <w:t xml:space="preserve">$ </w:t>
            </w:r>
            <w:r>
              <w:rPr>
                <w:rFonts w:ascii="Arial" w:cs="Arial" w:eastAsia="Arial" w:hAnsi="Arial"/>
                <w:sz w:val="18"/>
                <w:szCs w:val="18"/>
                <w:u w:val="single" w:color="auto"/>
                <w:color w:val="auto"/>
                <w:w w:val="92"/>
              </w:rPr>
              <w:t>(4,477)</w:t>
            </w:r>
            <w:r>
              <w:rPr>
                <w:rFonts w:ascii="Arial" w:cs="Arial" w:eastAsia="Arial" w:hAnsi="Arial"/>
                <w:sz w:val="18"/>
                <w:szCs w:val="18"/>
                <w:color w:val="auto"/>
                <w:w w:val="92"/>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180,555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$ 205,996</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$ 382,104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vMerge w:val="restart"/>
          </w:tcPr>
          <w:p>
            <w:pPr>
              <w:ind w:left="120"/>
              <w:spacing w:after="0" w:line="195" w:lineRule="exact"/>
              <w:rPr>
                <w:sz w:val="20"/>
                <w:szCs w:val="20"/>
                <w:color w:val="auto"/>
              </w:rPr>
            </w:pPr>
            <w:r>
              <w:rPr>
                <w:rFonts w:ascii="Arial" w:cs="Arial" w:eastAsia="Arial" w:hAnsi="Arial"/>
                <w:sz w:val="18"/>
                <w:szCs w:val="18"/>
                <w:color w:val="auto"/>
                <w:w w:val="98"/>
              </w:rPr>
              <w:t>Cumulative change in accounting principle,</w:t>
            </w: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5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120"/>
              <w:spacing w:after="0"/>
              <w:rPr>
                <w:sz w:val="20"/>
                <w:szCs w:val="20"/>
                <w:color w:val="auto"/>
              </w:rPr>
            </w:pPr>
            <w:r>
              <w:rPr>
                <w:rFonts w:ascii="Arial" w:cs="Arial" w:eastAsia="Arial" w:hAnsi="Arial"/>
                <w:sz w:val="18"/>
                <w:szCs w:val="18"/>
                <w:color w:val="auto"/>
              </w:rPr>
              <w:t>net of taxes (Note 1)</w:t>
            </w:r>
          </w:p>
        </w:tc>
        <w:tc>
          <w:tcPr>
            <w:tcW w:w="14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(698)</w:t>
            </w:r>
          </w:p>
        </w:tc>
        <w:tc>
          <w:tcPr>
            <w:tcW w:w="1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182"/>
        </w:trPr>
        <w:tc>
          <w:tcPr>
            <w:tcW w:w="352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Balances, January 1, 2023 (as adjusted for</w:t>
            </w:r>
          </w:p>
        </w:tc>
        <w:tc>
          <w:tcPr>
            <w:tcW w:w="1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right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right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accounting principle)</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24,814,695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9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(4,477)$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180,555</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$ 205,298</w:t>
            </w:r>
          </w:p>
        </w:tc>
        <w:tc>
          <w:tcPr>
            <w:tcW w:w="2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$ 381,406</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20" w:type="dxa"/>
            <w:vAlign w:val="bottom"/>
          </w:tcPr>
          <w:p>
            <w:pPr>
              <w:ind w:left="120"/>
              <w:spacing w:after="0" w:line="201" w:lineRule="exact"/>
              <w:rPr>
                <w:sz w:val="20"/>
                <w:szCs w:val="20"/>
                <w:color w:val="auto"/>
              </w:rPr>
            </w:pPr>
            <w:r>
              <w:rPr>
                <w:rFonts w:ascii="Arial" w:cs="Arial" w:eastAsia="Arial" w:hAnsi="Arial"/>
                <w:sz w:val="18"/>
                <w:szCs w:val="18"/>
                <w:color w:val="auto"/>
                <w:w w:val="90"/>
              </w:rPr>
              <w:t>Share based compensation expense and stock</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120"/>
              <w:spacing w:after="0"/>
              <w:rPr>
                <w:sz w:val="20"/>
                <w:szCs w:val="20"/>
                <w:color w:val="auto"/>
              </w:rPr>
            </w:pPr>
            <w:r>
              <w:rPr>
                <w:rFonts w:ascii="Arial" w:cs="Arial" w:eastAsia="Arial" w:hAnsi="Arial"/>
                <w:sz w:val="18"/>
                <w:szCs w:val="18"/>
                <w:color w:val="auto"/>
              </w:rPr>
              <w:t>units vested</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8,571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16,276</w:t>
            </w:r>
          </w:p>
        </w:tc>
        <w:tc>
          <w:tcPr>
            <w:tcW w:w="2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16,276</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Balances, March 31, 2023</w:t>
            </w:r>
          </w:p>
        </w:tc>
        <w:tc>
          <w:tcPr>
            <w:tcW w:w="140" w:type="dxa"/>
            <w:vAlign w:val="bottom"/>
            <w:tcBorders>
              <w:bottom w:val="single" w:sz="8" w:color="CCEEFF"/>
            </w:tcBorders>
          </w:tcPr>
          <w:p>
            <w:pPr>
              <w:spacing w:after="0"/>
              <w:rPr>
                <w:sz w:val="21"/>
                <w:szCs w:val="21"/>
                <w:color w:val="auto"/>
              </w:rPr>
            </w:pPr>
          </w:p>
        </w:tc>
        <w:tc>
          <w:tcPr>
            <w:tcW w:w="9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5"/>
              </w:rPr>
              <w:t>24,823,266</w:t>
            </w:r>
          </w:p>
        </w:tc>
        <w:tc>
          <w:tcPr>
            <w:tcW w:w="1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30</w:t>
            </w:r>
          </w:p>
        </w:tc>
        <w:tc>
          <w:tcPr>
            <w:tcW w:w="140" w:type="dxa"/>
            <w:vAlign w:val="bottom"/>
            <w:tcBorders>
              <w:bottom w:val="single" w:sz="8" w:color="CCEEFF"/>
            </w:tcBorders>
          </w:tcPr>
          <w:p>
            <w:pPr>
              <w:spacing w:after="0"/>
              <w:rPr>
                <w:sz w:val="21"/>
                <w:szCs w:val="21"/>
                <w:color w:val="auto"/>
              </w:rPr>
            </w:pPr>
          </w:p>
        </w:tc>
        <w:tc>
          <w:tcPr>
            <w:tcW w:w="8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2"/>
              </w:rPr>
              <w:t xml:space="preserve">$ </w:t>
            </w:r>
            <w:r>
              <w:rPr>
                <w:rFonts w:ascii="Arial" w:cs="Arial" w:eastAsia="Arial" w:hAnsi="Arial"/>
                <w:sz w:val="18"/>
                <w:szCs w:val="18"/>
                <w:u w:val="single" w:color="auto"/>
                <w:color w:val="auto"/>
                <w:w w:val="92"/>
              </w:rPr>
              <w:t>(4,477)</w:t>
            </w:r>
            <w:r>
              <w:rPr>
                <w:rFonts w:ascii="Arial" w:cs="Arial" w:eastAsia="Arial" w:hAnsi="Arial"/>
                <w:sz w:val="18"/>
                <w:szCs w:val="18"/>
                <w:color w:val="auto"/>
                <w:w w:val="9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180,746</w:t>
            </w:r>
          </w:p>
        </w:tc>
        <w:tc>
          <w:tcPr>
            <w:tcW w:w="20" w:type="dxa"/>
            <w:vAlign w:val="bottom"/>
            <w:tcBorders>
              <w:top w:val="single" w:sz="8" w:color="auto"/>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$ 221,574</w:t>
            </w:r>
          </w:p>
        </w:tc>
        <w:tc>
          <w:tcPr>
            <w:tcW w:w="20" w:type="dxa"/>
            <w:vAlign w:val="bottom"/>
            <w:tcBorders>
              <w:top w:val="single" w:sz="8" w:color="auto"/>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$ 397,873</w:t>
            </w:r>
          </w:p>
        </w:tc>
        <w:tc>
          <w:tcPr>
            <w:tcW w:w="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3520" w:type="dxa"/>
            <w:vAlign w:val="bottom"/>
            <w:shd w:val="clear" w:color="auto" w:fill="CCEEFF"/>
          </w:tcPr>
          <w:p>
            <w:pPr>
              <w:ind w:left="120"/>
              <w:spacing w:after="0" w:line="155" w:lineRule="exact"/>
              <w:rPr>
                <w:sz w:val="20"/>
                <w:szCs w:val="20"/>
                <w:color w:val="auto"/>
              </w:rPr>
            </w:pPr>
            <w:r>
              <w:rPr>
                <w:rFonts w:ascii="Arial" w:cs="Arial" w:eastAsia="Arial" w:hAnsi="Arial"/>
                <w:sz w:val="17"/>
                <w:szCs w:val="17"/>
                <w:color w:val="auto"/>
                <w:w w:val="95"/>
              </w:rPr>
              <w:t>Share based compensation expense and stock</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units vested</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7,350</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94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120"/>
              <w:spacing w:after="0"/>
              <w:rPr>
                <w:sz w:val="20"/>
                <w:szCs w:val="20"/>
                <w:color w:val="auto"/>
              </w:rPr>
            </w:pPr>
            <w:r>
              <w:rPr>
                <w:rFonts w:ascii="Arial" w:cs="Arial" w:eastAsia="Arial" w:hAnsi="Arial"/>
                <w:sz w:val="18"/>
                <w:szCs w:val="18"/>
                <w:color w:val="auto"/>
              </w:rPr>
              <w:t>Proceeds from exercise of stock options</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6,246</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15,020</w:t>
            </w:r>
          </w:p>
        </w:tc>
        <w:tc>
          <w:tcPr>
            <w:tcW w:w="2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15,020</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520" w:type="dxa"/>
            <w:vAlign w:val="bottom"/>
          </w:tcPr>
          <w:p>
            <w:pPr>
              <w:ind w:left="20"/>
              <w:spacing w:after="0"/>
              <w:rPr>
                <w:sz w:val="20"/>
                <w:szCs w:val="20"/>
                <w:color w:val="auto"/>
              </w:rPr>
            </w:pPr>
            <w:r>
              <w:rPr>
                <w:rFonts w:ascii="Arial" w:cs="Arial" w:eastAsia="Arial" w:hAnsi="Arial"/>
                <w:sz w:val="18"/>
                <w:szCs w:val="18"/>
                <w:color w:val="auto"/>
              </w:rPr>
              <w:t>Balances, June 30, 2023</w:t>
            </w:r>
          </w:p>
        </w:tc>
        <w:tc>
          <w:tcPr>
            <w:tcW w:w="140" w:type="dxa"/>
            <w:vAlign w:val="bottom"/>
          </w:tcPr>
          <w:p>
            <w:pPr>
              <w:spacing w:after="0"/>
              <w:rPr>
                <w:sz w:val="18"/>
                <w:szCs w:val="18"/>
                <w:color w:val="auto"/>
              </w:rPr>
            </w:pPr>
          </w:p>
        </w:tc>
        <w:tc>
          <w:tcPr>
            <w:tcW w:w="9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5"/>
              </w:rPr>
              <w:t>24,836,862</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8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2"/>
              </w:rPr>
              <w:t xml:space="preserve">$ </w:t>
            </w:r>
            <w:r>
              <w:rPr>
                <w:rFonts w:ascii="Arial" w:cs="Arial" w:eastAsia="Arial" w:hAnsi="Arial"/>
                <w:sz w:val="18"/>
                <w:szCs w:val="18"/>
                <w:u w:val="single" w:color="auto"/>
                <w:color w:val="auto"/>
                <w:w w:val="92"/>
              </w:rPr>
              <w:t>(4,477)</w:t>
            </w:r>
            <w:r>
              <w:rPr>
                <w:rFonts w:ascii="Arial" w:cs="Arial" w:eastAsia="Arial" w:hAnsi="Arial"/>
                <w:sz w:val="18"/>
                <w:szCs w:val="18"/>
                <w:color w:val="auto"/>
                <w:w w:val="9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181,042</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$ 236,594</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$ 413,189</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See accompanying 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ind w:left="60" w:right="79"/>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NATURE OF OPERATIONS</w:t>
      </w:r>
    </w:p>
    <w:p>
      <w:pPr>
        <w:spacing w:after="0" w:line="229" w:lineRule="exact"/>
        <w:rPr>
          <w:sz w:val="20"/>
          <w:szCs w:val="20"/>
          <w:color w:val="auto"/>
        </w:rPr>
      </w:pPr>
    </w:p>
    <w:p>
      <w:pPr>
        <w:ind w:left="60" w:right="119" w:firstLine="713"/>
        <w:spacing w:after="0" w:line="301" w:lineRule="auto"/>
        <w:rPr>
          <w:sz w:val="20"/>
          <w:szCs w:val="20"/>
          <w:color w:val="auto"/>
        </w:rPr>
      </w:pPr>
      <w:r>
        <w:rPr>
          <w:rFonts w:ascii="Arial" w:cs="Arial" w:eastAsia="Arial" w:hAnsi="Arial"/>
          <w:sz w:val="16"/>
          <w:szCs w:val="16"/>
          <w:color w:val="auto"/>
        </w:rPr>
        <w:t>Legacy Housing Corporation (referred herein as ”Legacy”, “we”, “our”, “us”, or the “Company”) was formed on January 1, 2018 as a Delaware corporation through a corporate conversion of Legacy Housing, Ltd. (the “Partnership”), a Texas limited partnership formed in May 2005. Effective December 31, 2019, the Company reincorporated from a Delaware corporation to a Texas corporation. The Company is headquartered in Bedford, Texas.</w:t>
      </w:r>
    </w:p>
    <w:p>
      <w:pPr>
        <w:spacing w:after="0" w:line="117" w:lineRule="exact"/>
        <w:rPr>
          <w:sz w:val="20"/>
          <w:szCs w:val="20"/>
          <w:color w:val="auto"/>
        </w:rPr>
      </w:pPr>
    </w:p>
    <w:p>
      <w:pPr>
        <w:ind w:left="60" w:right="79" w:firstLine="713"/>
        <w:spacing w:after="0" w:line="275" w:lineRule="auto"/>
        <w:rPr>
          <w:sz w:val="20"/>
          <w:szCs w:val="20"/>
          <w:color w:val="auto"/>
        </w:rPr>
      </w:pPr>
      <w:r>
        <w:rPr>
          <w:rFonts w:ascii="Arial" w:cs="Arial" w:eastAsia="Arial" w:hAnsi="Arial"/>
          <w:sz w:val="17"/>
          <w:szCs w:val="17"/>
          <w:color w:val="auto"/>
        </w:rPr>
        <w:t>The Company (1) manufactures and provides for the transport of mobile homes, (2) provides wholesale financing to dealers and mobile home parks, (3) provides retail financing to consumers and (4) is involved in financing and developing new manufactured home communities. The Company manufactures its mobile homes at plants located in Fort Worth, Texas, Commerce, Texas and Eatonton, Georgia. The Company relies on a network of dealers to market and sell its mobile homes. The Company also sells homes directly to dealers and mobile home parks.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of Presentation</w:t>
      </w:r>
    </w:p>
    <w:p>
      <w:pPr>
        <w:spacing w:after="0" w:line="189" w:lineRule="exact"/>
        <w:rPr>
          <w:sz w:val="20"/>
          <w:szCs w:val="20"/>
          <w:color w:val="auto"/>
        </w:rPr>
      </w:pPr>
    </w:p>
    <w:p>
      <w:pPr>
        <w:ind w:left="60" w:right="59" w:firstLine="648"/>
        <w:spacing w:after="0" w:line="268" w:lineRule="auto"/>
        <w:rPr>
          <w:sz w:val="20"/>
          <w:szCs w:val="20"/>
          <w:color w:val="auto"/>
        </w:rPr>
      </w:pPr>
      <w:r>
        <w:rPr>
          <w:rFonts w:ascii="Arial" w:cs="Arial" w:eastAsia="Arial" w:hAnsi="Arial"/>
          <w:sz w:val="17"/>
          <w:szCs w:val="17"/>
          <w:color w:val="auto"/>
        </w:rPr>
        <w:t>The accompanying unaudited interim condensed financial statements as of June 30, 2023 and for the three and six months ended June 30, 2023 and 2022, respectively, have been prepared in accordance with accounting principles generally accepted in the United States of America ("GAAP") for interim financial information and pursuant to the rules and regulations of the U.S. Securities and Exchange Commission ("SEC") as required by Regulation S-X, Rule 8-03. In the opinion of management, the unaudited interim financial statements have been prepared on the same basis as the audited annual financial statements, and include all adjustments, consisting only of normal recurring adjustments, necessary for the fair statement of the Company's financial position for the periods presented. The results for the three and six months ended June 30, 2023 are not necessarily indicative of the results to be expected for the year ending December 31, 2023, or any other period. The accompanying balance sheet as of December 31, 2022 was derived from audited financial statements included in the Company's annual report on Form 10-K for the year ended December 31, 2022 (the “Form 10-K”), filed on March 15, 2023. The accompanying financial statements do not include all of the information and footnotes required by GAAP for annual financial statements. Accordingly, they should be read in conjunction with the audited financial statements and notes thereto included in the Form 10-K. Certain amounts in the prior period financial statements have been reclassified to conform to the presentation of the current period financial statements. These reclassifications had no effect on the previously reported net income.</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02"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The preparation of our financial statements in conformity with GAAP requires management to make estimates and assumptions. These estimates and assumptions affect the reported amounts of assets and liabilities and the disclosure of contingent assets and liabilities at the date of the financial statements, as well as the reported amounts of income and expenses during the reporting period. Material estimates that are susceptible to significant change in the near term primarily relate to the determination of accounts receivable, loans to mobile home parks, consumer loans, other notes receivable, inventory obsolescence, income taxes, fair value of financial instruments and contingent liabilities. Actual results could differ from these estimates.</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Recognition</w:t>
      </w:r>
    </w:p>
    <w:p>
      <w:pPr>
        <w:spacing w:after="0" w:line="189" w:lineRule="exact"/>
        <w:rPr>
          <w:sz w:val="20"/>
          <w:szCs w:val="20"/>
          <w:color w:val="auto"/>
        </w:rPr>
      </w:pPr>
    </w:p>
    <w:p>
      <w:pPr>
        <w:ind w:left="60" w:right="119" w:firstLine="648"/>
        <w:spacing w:after="0" w:line="290" w:lineRule="auto"/>
        <w:rPr>
          <w:sz w:val="20"/>
          <w:szCs w:val="20"/>
          <w:color w:val="auto"/>
        </w:rPr>
      </w:pPr>
      <w:r>
        <w:rPr>
          <w:rFonts w:ascii="Arial" w:cs="Arial" w:eastAsia="Arial" w:hAnsi="Arial"/>
          <w:sz w:val="16"/>
          <w:szCs w:val="16"/>
          <w:i w:val="1"/>
          <w:iCs w:val="1"/>
          <w:color w:val="auto"/>
        </w:rPr>
        <w:t xml:space="preserve">Product sales </w:t>
      </w:r>
      <w:r>
        <w:rPr>
          <w:rFonts w:ascii="Arial" w:cs="Arial" w:eastAsia="Arial" w:hAnsi="Arial"/>
          <w:sz w:val="16"/>
          <w:szCs w:val="16"/>
          <w:color w:val="auto"/>
        </w:rPr>
        <w:t>primarily consist of sales of mobile homes to consumers and mobile home parks through various</w:t>
      </w:r>
      <w:r>
        <w:rPr>
          <w:rFonts w:ascii="Arial" w:cs="Arial" w:eastAsia="Arial" w:hAnsi="Arial"/>
          <w:sz w:val="16"/>
          <w:szCs w:val="16"/>
          <w:i w:val="1"/>
          <w:iCs w:val="1"/>
          <w:color w:val="auto"/>
        </w:rPr>
        <w:t xml:space="preserve"> </w:t>
      </w:r>
      <w:r>
        <w:rPr>
          <w:rFonts w:ascii="Arial" w:cs="Arial" w:eastAsia="Arial" w:hAnsi="Arial"/>
          <w:sz w:val="16"/>
          <w:szCs w:val="16"/>
          <w:color w:val="auto"/>
        </w:rPr>
        <w:t>sales channels, which include Direct Sales, Commercial Sales, Consignment Sales, and Retail Store Sales. Direct Sales include homes sold directly to independent retailers or customers that are not financed by the Company and are not sold under a consignment arrangement. These homes are generally paid for prior to shipment. Commercial Sales include homes sold to mobile home parks under commercial loan programs or paid for upfront. The Company provides floor plan financing for independent retailers, which can take the form of a consignment arrangement or an inventory financing arrangement. Consignment Sales under the consignment arrangement are considered sales of consigned homes from independent dealers to individual customers. Consignment Sales under the inventory financing arrangement are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ind w:left="60" w:right="79"/>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30" w:lineRule="exact"/>
        <w:rPr>
          <w:sz w:val="20"/>
          <w:szCs w:val="20"/>
          <w:color w:val="auto"/>
        </w:rPr>
      </w:pPr>
    </w:p>
    <w:p>
      <w:pPr>
        <w:ind w:left="60" w:right="439"/>
        <w:spacing w:after="0" w:line="342" w:lineRule="auto"/>
        <w:rPr>
          <w:sz w:val="20"/>
          <w:szCs w:val="20"/>
          <w:color w:val="auto"/>
        </w:rPr>
      </w:pPr>
      <w:r>
        <w:rPr>
          <w:rFonts w:ascii="Arial" w:cs="Arial" w:eastAsia="Arial" w:hAnsi="Arial"/>
          <w:sz w:val="16"/>
          <w:szCs w:val="16"/>
          <w:color w:val="auto"/>
        </w:rPr>
        <w:t>considered sales of homes to the independent dealer. Retail Store Sales are homes sold through Company-owned retail locations. Consignment Sales and Retail Sales may be financed by the Company, by a third party, or paid in cash.</w:t>
      </w:r>
    </w:p>
    <w:p>
      <w:pPr>
        <w:spacing w:after="0" w:line="124" w:lineRule="exact"/>
        <w:rPr>
          <w:sz w:val="20"/>
          <w:szCs w:val="20"/>
          <w:color w:val="auto"/>
        </w:rPr>
      </w:pPr>
    </w:p>
    <w:p>
      <w:pPr>
        <w:ind w:left="60" w:right="99" w:firstLine="648"/>
        <w:spacing w:after="0" w:line="290" w:lineRule="auto"/>
        <w:rPr>
          <w:sz w:val="20"/>
          <w:szCs w:val="20"/>
          <w:color w:val="auto"/>
        </w:rPr>
      </w:pPr>
      <w:r>
        <w:rPr>
          <w:rFonts w:ascii="Arial" w:cs="Arial" w:eastAsia="Arial" w:hAnsi="Arial"/>
          <w:sz w:val="16"/>
          <w:szCs w:val="16"/>
          <w:color w:val="auto"/>
        </w:rPr>
        <w:t>Revenue from product sales is recognized when the performance obligation under the terms of a contract with our customer is satisfied, which typically occurs upon delivery and transfer of title to the home, as this depicts when control of the promised good is transferred to our customers. For inventory financed sales, the independent dealer enters into a financing arrangement with the Company and is required to make monthly interest payments and an annual curtailment payment for the first two years. After three years, they are required to payoff any remaining principle balance. Interest income is separately recorded in the statement of income. For other financed sales by the Company, the individual customer enters into a sales and financing contract and is required to make a down payment. These financed sales contain a significant financing component and any interest income is separately recorded in the statement of income.</w:t>
      </w:r>
    </w:p>
    <w:p>
      <w:pPr>
        <w:spacing w:after="0" w:line="165" w:lineRule="exact"/>
        <w:rPr>
          <w:sz w:val="20"/>
          <w:szCs w:val="20"/>
          <w:color w:val="auto"/>
        </w:rPr>
      </w:pPr>
    </w:p>
    <w:p>
      <w:pPr>
        <w:ind w:left="60" w:right="479" w:firstLine="648"/>
        <w:spacing w:after="0" w:line="263" w:lineRule="auto"/>
        <w:rPr>
          <w:sz w:val="20"/>
          <w:szCs w:val="20"/>
          <w:color w:val="auto"/>
        </w:rPr>
      </w:pPr>
      <w:r>
        <w:rPr>
          <w:rFonts w:ascii="Arial" w:cs="Arial" w:eastAsia="Arial" w:hAnsi="Arial"/>
          <w:sz w:val="18"/>
          <w:szCs w:val="18"/>
          <w:color w:val="auto"/>
        </w:rPr>
        <w:t>Revenue is measured as the amount of consideration expected to be received in exchange for transferring the homes to the customers. Sales and other similar taxes collected concurrently with revenue-producing activities are excluded from revenue.</w:t>
      </w:r>
    </w:p>
    <w:p>
      <w:pPr>
        <w:spacing w:after="0" w:line="130" w:lineRule="exact"/>
        <w:rPr>
          <w:sz w:val="20"/>
          <w:szCs w:val="20"/>
          <w:color w:val="auto"/>
        </w:rPr>
      </w:pPr>
    </w:p>
    <w:p>
      <w:pPr>
        <w:ind w:left="60" w:right="59" w:firstLine="648"/>
        <w:spacing w:after="0" w:line="288" w:lineRule="auto"/>
        <w:rPr>
          <w:sz w:val="20"/>
          <w:szCs w:val="20"/>
          <w:color w:val="auto"/>
        </w:rPr>
      </w:pPr>
      <w:r>
        <w:rPr>
          <w:rFonts w:ascii="Arial" w:cs="Arial" w:eastAsia="Arial" w:hAnsi="Arial"/>
          <w:sz w:val="16"/>
          <w:szCs w:val="16"/>
          <w:color w:val="auto"/>
        </w:rPr>
        <w:t>The Company made an accounting policy election to account for any shipping and handling costs that occur after the transfer of control as a fulfillment cost that is accrued when control is transferred. Warranty obligations associated with the sale of a unit are assurance-type warranties for a period of twelve months that are a guarantee of the home’s intended functionality and, therefore, do not represent a distinct performance obligation within the context of the contract. The Company has elected to use the practical expedient to expense the incremental costs of obtaining a contract if the amortization period of the asset that the Company would have otherwise recognized is one year or less. Contract costs, which include commissions incurred related to the sale of homes, are expensed at the point-in-time when the related revenue is recognized. Warranty costs and contract costs are included in selling, general and administrative expenses in the statements of income. Warranty costs were $764 and $1,392 for the three and six months ended June 30, 2023, respectively, and $538 and $1,108 for the three and six months ended June 30, 2022, respectively.</w:t>
      </w:r>
    </w:p>
    <w:p>
      <w:pPr>
        <w:spacing w:after="0" w:line="114" w:lineRule="exact"/>
        <w:rPr>
          <w:sz w:val="20"/>
          <w:szCs w:val="20"/>
          <w:color w:val="auto"/>
        </w:rPr>
      </w:pPr>
    </w:p>
    <w:p>
      <w:pPr>
        <w:ind w:left="60" w:right="199" w:firstLine="648"/>
        <w:spacing w:after="0" w:line="272" w:lineRule="auto"/>
        <w:rPr>
          <w:sz w:val="20"/>
          <w:szCs w:val="20"/>
          <w:color w:val="auto"/>
        </w:rPr>
      </w:pPr>
      <w:r>
        <w:rPr>
          <w:rFonts w:ascii="Arial" w:cs="Arial" w:eastAsia="Arial" w:hAnsi="Arial"/>
          <w:sz w:val="17"/>
          <w:szCs w:val="17"/>
          <w:color w:val="auto"/>
        </w:rPr>
        <w:t>For the three months ended June 30, 2023 and 2022, mobile home park (“MHP”) sales to an independent third party and it’s affiliates accounted for $3,886 or 9.6% and $2,495 or 4.5% of our product sales, respectively, and sales to another independent third party and it’s affiliates accounted for $480 or 1.2% and $3,296 or 6.0% of our product sales, respectively. For the six months ended June 30, 2023 and 2022, MHP sales to an independent third party and it’s affiliates accounted for $9,534 or 11.8% and $4,471 or 4.2% of our product sales, respectively, and sales to another independent third party and it’s affiliates accounted for $2,449 or 3.0% and $6,194 or 5.8% of our product sales, respectively. No other customer accounted for more than 5.0% of our product sales.</w:t>
      </w:r>
    </w:p>
    <w:p>
      <w:pPr>
        <w:spacing w:after="0" w:line="123" w:lineRule="exact"/>
        <w:rPr>
          <w:sz w:val="20"/>
          <w:szCs w:val="20"/>
          <w:color w:val="auto"/>
        </w:rPr>
      </w:pPr>
    </w:p>
    <w:p>
      <w:pPr>
        <w:ind w:left="60" w:right="59" w:firstLine="648"/>
        <w:spacing w:after="0" w:line="296" w:lineRule="auto"/>
        <w:rPr>
          <w:sz w:val="20"/>
          <w:szCs w:val="20"/>
          <w:color w:val="auto"/>
        </w:rPr>
      </w:pPr>
      <w:r>
        <w:rPr>
          <w:rFonts w:ascii="Arial" w:cs="Arial" w:eastAsia="Arial" w:hAnsi="Arial"/>
          <w:sz w:val="16"/>
          <w:szCs w:val="16"/>
          <w:color w:val="auto"/>
        </w:rPr>
        <w:t xml:space="preserve">For the three months ended June 30, 2023 and 2022, product sales included $3,949 and $3,253 of costs relating to </w:t>
      </w:r>
      <w:r>
        <w:rPr>
          <w:rFonts w:ascii="Arial" w:cs="Arial" w:eastAsia="Arial" w:hAnsi="Arial"/>
          <w:sz w:val="16"/>
          <w:szCs w:val="16"/>
          <w:color w:val="222222"/>
        </w:rPr>
        <w:t xml:space="preserve">subcontracted production for commercial sales, reimbursed dealer expenses for consignment sales, and certain other similar costs incurred for retail store and commercial sales. </w:t>
      </w:r>
      <w:r>
        <w:rPr>
          <w:rFonts w:ascii="Arial" w:cs="Arial" w:eastAsia="Arial" w:hAnsi="Arial"/>
          <w:sz w:val="16"/>
          <w:szCs w:val="16"/>
          <w:color w:val="000000"/>
        </w:rPr>
        <w:t>For the six months ended June 30, 2023 and 2022, product sales</w:t>
      </w:r>
      <w:r>
        <w:rPr>
          <w:rFonts w:ascii="Arial" w:cs="Arial" w:eastAsia="Arial" w:hAnsi="Arial"/>
          <w:sz w:val="16"/>
          <w:szCs w:val="16"/>
          <w:color w:val="222222"/>
        </w:rPr>
        <w:t xml:space="preserve"> </w:t>
      </w:r>
      <w:r>
        <w:rPr>
          <w:rFonts w:ascii="Arial" w:cs="Arial" w:eastAsia="Arial" w:hAnsi="Arial"/>
          <w:sz w:val="16"/>
          <w:szCs w:val="16"/>
          <w:color w:val="000000"/>
        </w:rPr>
        <w:t xml:space="preserve">included $6,573 and $6,252 of costs relating to </w:t>
      </w:r>
      <w:r>
        <w:rPr>
          <w:rFonts w:ascii="Arial" w:cs="Arial" w:eastAsia="Arial" w:hAnsi="Arial"/>
          <w:sz w:val="16"/>
          <w:szCs w:val="16"/>
          <w:color w:val="222222"/>
        </w:rPr>
        <w:t>subcontracted production for commercial sales, reimbursed dealer expenses</w:t>
      </w:r>
      <w:r>
        <w:rPr>
          <w:rFonts w:ascii="Arial" w:cs="Arial" w:eastAsia="Arial" w:hAnsi="Arial"/>
          <w:sz w:val="16"/>
          <w:szCs w:val="16"/>
          <w:color w:val="000000"/>
        </w:rPr>
        <w:t xml:space="preserve"> </w:t>
      </w:r>
      <w:r>
        <w:rPr>
          <w:rFonts w:ascii="Arial" w:cs="Arial" w:eastAsia="Arial" w:hAnsi="Arial"/>
          <w:sz w:val="16"/>
          <w:szCs w:val="16"/>
          <w:color w:val="222222"/>
        </w:rPr>
        <w:t>for consignment sales, and certain other similar costs incurred for retail store and commercial sales</w:t>
      </w:r>
      <w:r>
        <w:rPr>
          <w:rFonts w:ascii="Arial" w:cs="Arial" w:eastAsia="Arial" w:hAnsi="Arial"/>
          <w:sz w:val="16"/>
          <w:szCs w:val="16"/>
          <w:color w:val="000000"/>
        </w:rPr>
        <w:t>.</w:t>
      </w:r>
    </w:p>
    <w:p>
      <w:pPr>
        <w:spacing w:after="0" w:line="107" w:lineRule="exact"/>
        <w:rPr>
          <w:sz w:val="20"/>
          <w:szCs w:val="20"/>
          <w:color w:val="auto"/>
        </w:rPr>
      </w:pPr>
    </w:p>
    <w:p>
      <w:pPr>
        <w:ind w:left="60" w:right="59" w:firstLine="648"/>
        <w:spacing w:after="0" w:line="290" w:lineRule="auto"/>
        <w:rPr>
          <w:sz w:val="20"/>
          <w:szCs w:val="20"/>
          <w:color w:val="auto"/>
        </w:rPr>
      </w:pPr>
      <w:r>
        <w:rPr>
          <w:rFonts w:ascii="Arial" w:cs="Arial" w:eastAsia="Arial" w:hAnsi="Arial"/>
          <w:sz w:val="16"/>
          <w:szCs w:val="16"/>
          <w:i w:val="1"/>
          <w:iCs w:val="1"/>
          <w:color w:val="auto"/>
        </w:rPr>
        <w:t xml:space="preserve">Other revenue </w:t>
      </w:r>
      <w:r>
        <w:rPr>
          <w:rFonts w:ascii="Arial" w:cs="Arial" w:eastAsia="Arial" w:hAnsi="Arial"/>
          <w:sz w:val="16"/>
          <w:szCs w:val="16"/>
          <w:color w:val="auto"/>
        </w:rPr>
        <w:t>consists of consignment fees, commercial lease rents, contract forfeitures, service fees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miscellaneous income. Consignment fees are charged to independent retailers on a monthly basis for homes held by the independent retailers pursuant to a consignment arrangement until the home is sold to an individual customer. Consignment fees are determined as a percentage of the home’s wholesale price to the independent dealer. Revenue recognition for consignment fees is recognized over time using the output method as it provides a faithful depiction of the Company’s performance toward completion of the performance obligation under the contract and the value transferred to the independent retailer for the time the home is held under consignment. Revenue for commercial leases is recognized as earned monthly over a contractual period of 96 or 120 months. Revenue for contract forfeitures is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ind w:left="60" w:right="79"/>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30"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recognized when the deposit is forfeited by the customer. Revenue for service fees and miscellaneous income is recognized when the performance obligation is satisfied.</w:t>
      </w:r>
    </w:p>
    <w:p>
      <w:pPr>
        <w:spacing w:after="0" w:line="116" w:lineRule="exact"/>
        <w:rPr>
          <w:sz w:val="20"/>
          <w:szCs w:val="20"/>
          <w:color w:val="auto"/>
        </w:rPr>
      </w:pPr>
    </w:p>
    <w:p>
      <w:pPr>
        <w:ind w:left="60" w:right="399" w:firstLine="648"/>
        <w:spacing w:after="0" w:line="277" w:lineRule="auto"/>
        <w:rPr>
          <w:sz w:val="20"/>
          <w:szCs w:val="20"/>
          <w:color w:val="auto"/>
        </w:rPr>
      </w:pPr>
      <w:r>
        <w:rPr>
          <w:rFonts w:ascii="Arial" w:cs="Arial" w:eastAsia="Arial" w:hAnsi="Arial"/>
          <w:sz w:val="18"/>
          <w:szCs w:val="18"/>
          <w:i w:val="1"/>
          <w:iCs w:val="1"/>
          <w:color w:val="auto"/>
        </w:rPr>
        <w:t>Disaggregation of Revenue</w:t>
      </w:r>
      <w:r>
        <w:rPr>
          <w:rFonts w:ascii="Arial" w:cs="Arial" w:eastAsia="Arial" w:hAnsi="Arial"/>
          <w:sz w:val="18"/>
          <w:szCs w:val="18"/>
          <w:color w:val="auto"/>
        </w:rPr>
        <w:t>. The following table summarizes customer contract revenues disaggregated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source of the revenue for the three and six months ended June 30, 2023 and 2022:</w:t>
      </w:r>
    </w:p>
    <w:p>
      <w:pPr>
        <w:spacing w:after="0" w:line="243" w:lineRule="exact"/>
        <w:rPr>
          <w:sz w:val="20"/>
          <w:szCs w:val="20"/>
          <w:color w:val="auto"/>
        </w:rPr>
      </w:pPr>
    </w:p>
    <w:tbl>
      <w:tblPr>
        <w:tblLayout w:type="fixed"/>
        <w:tblInd w:w="940" w:type="dxa"/>
        <w:tblCellMar>
          <w:top w:w="0" w:type="dxa"/>
          <w:left w:w="0" w:type="dxa"/>
          <w:bottom w:w="0" w:type="dxa"/>
          <w:right w:w="0" w:type="dxa"/>
        </w:tblCellMar>
      </w:tblPr>
      <w:tr>
        <w:trPr>
          <w:trHeight w:val="186"/>
        </w:trPr>
        <w:tc>
          <w:tcPr>
            <w:tcW w:w="3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4"/>
          </w:tcPr>
          <w:p>
            <w:pPr>
              <w:jc w:val="right"/>
              <w:ind w:right="112"/>
              <w:spacing w:after="0"/>
              <w:rPr>
                <w:sz w:val="20"/>
                <w:szCs w:val="20"/>
                <w:color w:val="auto"/>
              </w:rPr>
            </w:pPr>
            <w:r>
              <w:rPr>
                <w:rFonts w:ascii="Arial" w:cs="Arial" w:eastAsia="Arial" w:hAnsi="Arial"/>
                <w:sz w:val="14"/>
                <w:szCs w:val="14"/>
                <w:b w:val="1"/>
                <w:bCs w:val="1"/>
                <w:color w:val="auto"/>
                <w:w w:val="92"/>
              </w:rPr>
              <w:t>Three months ended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rPr>
              <w:t>Six months ended</w:t>
            </w:r>
          </w:p>
        </w:tc>
      </w:tr>
      <w:tr>
        <w:trPr>
          <w:trHeight w:val="215"/>
        </w:trPr>
        <w:tc>
          <w:tcPr>
            <w:tcW w:w="3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8"/>
                <w:szCs w:val="18"/>
                <w:color w:val="auto"/>
              </w:rPr>
            </w:pPr>
          </w:p>
        </w:tc>
      </w:tr>
      <w:tr>
        <w:trPr>
          <w:trHeight w:val="223"/>
        </w:trPr>
        <w:tc>
          <w:tcPr>
            <w:tcW w:w="3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2022</w:t>
            </w:r>
          </w:p>
        </w:tc>
      </w:tr>
      <w:tr>
        <w:trPr>
          <w:trHeight w:val="25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3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r>
      <w:tr>
        <w:trPr>
          <w:trHeight w:val="243"/>
        </w:trPr>
        <w:tc>
          <w:tcPr>
            <w:tcW w:w="3200" w:type="dxa"/>
            <w:vAlign w:val="bottom"/>
          </w:tcPr>
          <w:p>
            <w:pPr>
              <w:ind w:left="100"/>
              <w:spacing w:after="0"/>
              <w:rPr>
                <w:sz w:val="20"/>
                <w:szCs w:val="20"/>
                <w:color w:val="auto"/>
              </w:rPr>
            </w:pPr>
            <w:r>
              <w:rPr>
                <w:rFonts w:ascii="Arial" w:cs="Arial" w:eastAsia="Arial" w:hAnsi="Arial"/>
                <w:sz w:val="18"/>
                <w:szCs w:val="18"/>
                <w:color w:val="auto"/>
              </w:rPr>
              <w:t>Direct sales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3,752</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11,745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11,178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22,608</w:t>
            </w:r>
          </w:p>
        </w:tc>
      </w:tr>
      <w:tr>
        <w:trPr>
          <w:trHeight w:val="243"/>
        </w:trPr>
        <w:tc>
          <w:tcPr>
            <w:tcW w:w="3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Commercial sales</w:t>
            </w:r>
          </w:p>
        </w:tc>
        <w:tc>
          <w:tcPr>
            <w:tcW w:w="3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15,893</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14,305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31,458</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28,364</w:t>
            </w:r>
          </w:p>
        </w:tc>
      </w:tr>
      <w:tr>
        <w:trPr>
          <w:trHeight w:val="243"/>
        </w:trPr>
        <w:tc>
          <w:tcPr>
            <w:tcW w:w="3200" w:type="dxa"/>
            <w:vAlign w:val="bottom"/>
          </w:tcPr>
          <w:p>
            <w:pPr>
              <w:ind w:left="100"/>
              <w:spacing w:after="0"/>
              <w:rPr>
                <w:sz w:val="20"/>
                <w:szCs w:val="20"/>
                <w:color w:val="auto"/>
              </w:rPr>
            </w:pPr>
            <w:r>
              <w:rPr>
                <w:rFonts w:ascii="Arial" w:cs="Arial" w:eastAsia="Arial" w:hAnsi="Arial"/>
                <w:sz w:val="18"/>
                <w:szCs w:val="18"/>
                <w:color w:val="auto"/>
              </w:rPr>
              <w:t>Inventory finance sales</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15,675</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20,247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29,290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40,287</w:t>
            </w:r>
          </w:p>
        </w:tc>
      </w:tr>
      <w:tr>
        <w:trPr>
          <w:trHeight w:val="243"/>
        </w:trPr>
        <w:tc>
          <w:tcPr>
            <w:tcW w:w="3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Retail store sales</w:t>
            </w:r>
          </w:p>
        </w:tc>
        <w:tc>
          <w:tcPr>
            <w:tcW w:w="3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8,248</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9,816</w:t>
            </w:r>
          </w:p>
        </w:tc>
      </w:tr>
      <w:tr>
        <w:trPr>
          <w:trHeight w:val="229"/>
        </w:trPr>
        <w:tc>
          <w:tcPr>
            <w:tcW w:w="3200" w:type="dxa"/>
            <w:vAlign w:val="bottom"/>
          </w:tcPr>
          <w:p>
            <w:pPr>
              <w:ind w:left="100"/>
              <w:spacing w:after="0"/>
              <w:rPr>
                <w:sz w:val="20"/>
                <w:szCs w:val="20"/>
                <w:color w:val="auto"/>
              </w:rPr>
            </w:pPr>
            <w:r>
              <w:rPr>
                <w:rFonts w:ascii="Arial" w:cs="Arial" w:eastAsia="Arial" w:hAnsi="Arial"/>
                <w:sz w:val="18"/>
                <w:szCs w:val="18"/>
                <w:color w:val="auto"/>
              </w:rPr>
              <w:t>Other (1)</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2,714</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3,144</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5,323</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5,810</w:t>
            </w:r>
          </w:p>
        </w:tc>
      </w:tr>
      <w:tr>
        <w:trPr>
          <w:trHeight w:val="223"/>
        </w:trPr>
        <w:tc>
          <w:tcPr>
            <w:tcW w:w="3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product sales</w:t>
            </w:r>
          </w:p>
        </w:tc>
        <w:tc>
          <w:tcPr>
            <w:tcW w:w="3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42,316</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55,098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85,497</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106,885</w:t>
            </w:r>
          </w:p>
        </w:tc>
      </w:tr>
      <w:tr>
        <w:trPr>
          <w:trHeight w:val="236"/>
        </w:trPr>
        <w:tc>
          <w:tcPr>
            <w:tcW w:w="3200" w:type="dxa"/>
            <w:vAlign w:val="bottom"/>
          </w:tcPr>
          <w:p>
            <w:pPr>
              <w:spacing w:after="0"/>
              <w:rPr>
                <w:sz w:val="20"/>
                <w:szCs w:val="20"/>
                <w:color w:val="auto"/>
              </w:rPr>
            </w:pPr>
            <w:r>
              <w:rPr>
                <w:rFonts w:ascii="Arial" w:cs="Arial" w:eastAsia="Arial" w:hAnsi="Arial"/>
                <w:sz w:val="18"/>
                <w:szCs w:val="18"/>
                <w:color w:val="auto"/>
              </w:rPr>
              <w:t>Consumer and MHP loans interest:</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43"/>
        </w:trPr>
        <w:tc>
          <w:tcPr>
            <w:tcW w:w="3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 consumer installment notes</w:t>
            </w:r>
          </w:p>
        </w:tc>
        <w:tc>
          <w:tcPr>
            <w:tcW w:w="3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4,825</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9,482</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9,158</w:t>
            </w:r>
          </w:p>
        </w:tc>
      </w:tr>
      <w:tr>
        <w:trPr>
          <w:trHeight w:val="243"/>
        </w:trPr>
        <w:tc>
          <w:tcPr>
            <w:tcW w:w="32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Interest - MHP notes</w:t>
            </w:r>
          </w:p>
        </w:tc>
        <w:tc>
          <w:tcPr>
            <w:tcW w:w="3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3,663</w:t>
            </w:r>
          </w:p>
        </w:tc>
        <w:tc>
          <w:tcPr>
            <w:tcW w:w="1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2,796</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6,711</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5,104</w:t>
            </w:r>
          </w:p>
        </w:tc>
      </w:tr>
      <w:tr>
        <w:trPr>
          <w:trHeight w:val="223"/>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Total consumer and MHP loans interest</w:t>
            </w:r>
          </w:p>
        </w:tc>
        <w:tc>
          <w:tcPr>
            <w:tcW w:w="3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8,488</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16,193</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14,262</w:t>
            </w:r>
          </w:p>
        </w:tc>
      </w:tr>
      <w:tr>
        <w:trPr>
          <w:trHeight w:val="223"/>
        </w:trPr>
        <w:tc>
          <w:tcPr>
            <w:tcW w:w="3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(2)</w:t>
            </w:r>
          </w:p>
        </w:tc>
        <w:tc>
          <w:tcPr>
            <w:tcW w:w="3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1,832</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3,803</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2,992</w:t>
            </w:r>
          </w:p>
        </w:tc>
      </w:tr>
      <w:tr>
        <w:trPr>
          <w:trHeight w:val="209"/>
        </w:trPr>
        <w:tc>
          <w:tcPr>
            <w:tcW w:w="3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3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52,636</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64,211</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105,493</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124,139</w:t>
            </w:r>
          </w:p>
        </w:tc>
      </w:tr>
      <w:tr>
        <w:trPr>
          <w:trHeight w:val="20"/>
        </w:trPr>
        <w:tc>
          <w:tcPr>
            <w:tcW w:w="3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1040" w:hanging="315"/>
        <w:spacing w:after="0"/>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Other product sales revenue from ancillary products and services including parts, freight and other services</w:t>
      </w:r>
    </w:p>
    <w:p>
      <w:pPr>
        <w:spacing w:after="0" w:line="207" w:lineRule="exact"/>
        <w:rPr>
          <w:rFonts w:ascii="Arial" w:cs="Arial" w:eastAsia="Arial" w:hAnsi="Arial"/>
          <w:sz w:val="16"/>
          <w:szCs w:val="16"/>
          <w:color w:val="auto"/>
        </w:rPr>
      </w:pPr>
    </w:p>
    <w:p>
      <w:pPr>
        <w:ind w:left="1040" w:right="379" w:hanging="31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revenue includes dealer finance charges, contract forfeitures, lease income and other miscellaneous income</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Share-Based Compensation</w:t>
      </w:r>
    </w:p>
    <w:p>
      <w:pPr>
        <w:spacing w:after="0" w:line="189" w:lineRule="exact"/>
        <w:rPr>
          <w:sz w:val="20"/>
          <w:szCs w:val="20"/>
          <w:color w:val="auto"/>
        </w:rPr>
      </w:pPr>
    </w:p>
    <w:p>
      <w:pPr>
        <w:jc w:val="both"/>
        <w:ind w:left="60" w:right="139" w:firstLine="648"/>
        <w:spacing w:after="0" w:line="287" w:lineRule="auto"/>
        <w:rPr>
          <w:sz w:val="20"/>
          <w:szCs w:val="20"/>
          <w:color w:val="auto"/>
        </w:rPr>
      </w:pPr>
      <w:r>
        <w:rPr>
          <w:rFonts w:ascii="Arial" w:cs="Arial" w:eastAsia="Arial" w:hAnsi="Arial"/>
          <w:sz w:val="16"/>
          <w:szCs w:val="16"/>
          <w:color w:val="auto"/>
        </w:rPr>
        <w:t xml:space="preserve">The Company accounts for share-based compensation in accordance with the provisions of Accounting Standards Codification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Share-based compensation expense is recognized based on the award’s estimated grant date fair value in order to recognize compensation cost for those shares expected to vest.</w:t>
      </w:r>
    </w:p>
    <w:p>
      <w:pPr>
        <w:spacing w:after="0" w:line="2" w:lineRule="exact"/>
        <w:rPr>
          <w:sz w:val="20"/>
          <w:szCs w:val="20"/>
          <w:color w:val="auto"/>
        </w:rPr>
      </w:pPr>
    </w:p>
    <w:p>
      <w:pPr>
        <w:jc w:val="both"/>
        <w:ind w:left="60" w:right="139"/>
        <w:spacing w:after="0" w:line="260" w:lineRule="auto"/>
        <w:rPr>
          <w:sz w:val="20"/>
          <w:szCs w:val="20"/>
          <w:color w:val="auto"/>
        </w:rPr>
      </w:pPr>
      <w:r>
        <w:rPr>
          <w:rFonts w:ascii="Arial" w:cs="Arial" w:eastAsia="Arial" w:hAnsi="Arial"/>
          <w:sz w:val="18"/>
          <w:szCs w:val="18"/>
          <w:color w:val="auto"/>
        </w:rPr>
        <w:t>The Company has elected to record forfeitures as they occur. Compensation cost is recognized on a straight-line basis over the vesting period of the awards and adjusted as forfeitures occur.</w:t>
      </w:r>
    </w:p>
    <w:p>
      <w:pPr>
        <w:spacing w:after="0" w:line="145" w:lineRule="exact"/>
        <w:rPr>
          <w:sz w:val="20"/>
          <w:szCs w:val="20"/>
          <w:color w:val="auto"/>
        </w:rPr>
      </w:pPr>
    </w:p>
    <w:p>
      <w:pPr>
        <w:ind w:left="60" w:right="399" w:firstLine="648"/>
        <w:spacing w:after="0" w:line="279" w:lineRule="auto"/>
        <w:rPr>
          <w:sz w:val="20"/>
          <w:szCs w:val="20"/>
          <w:color w:val="auto"/>
        </w:rPr>
      </w:pPr>
      <w:r>
        <w:rPr>
          <w:rFonts w:ascii="Arial" w:cs="Arial" w:eastAsia="Arial" w:hAnsi="Arial"/>
          <w:sz w:val="17"/>
          <w:szCs w:val="17"/>
          <w:color w:val="auto"/>
        </w:rPr>
        <w:t>The fair value of each option grant with only service-based conditions is estimated using the Black-Scholes pricing model. The fair value of each restricted stock unit (the ”RSU”) with only service-based conditions is calculated based on the closing price of the Company’s common stock on the grant date. The fair value of each RSU with market based conditions is estimated using the Monte-Carlo Simulation valuation model.</w:t>
      </w:r>
    </w:p>
    <w:p>
      <w:pPr>
        <w:spacing w:after="0" w:line="144"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The fair value of stock option awards on the date of grant is estimated using the Black-Scholes option pricing model, which requires the Company to make certain predictive assumptions. The risk-free interest rate is based on the implied yield of U.S. Treasury zero-coupon securities that correspond to the expected life of the award. The volatility is based on the Company’s historical volatility calculated monthly over the most recent five year period prior to the applicable grant date. Management concluded that this group is more characteristic of the Company’s business than a broad industry index. The expected life of awards granted represents the period of time that the awards are expected to be outstanding based on the “simplified” method, which can be utilized by companies that cannot reasonably estimate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ind w:left="60" w:right="79"/>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30" w:lineRule="exact"/>
        <w:rPr>
          <w:sz w:val="20"/>
          <w:szCs w:val="20"/>
          <w:color w:val="auto"/>
        </w:rPr>
      </w:pPr>
    </w:p>
    <w:p>
      <w:pPr>
        <w:ind w:left="60" w:right="699"/>
        <w:spacing w:after="0" w:line="277" w:lineRule="auto"/>
        <w:rPr>
          <w:sz w:val="20"/>
          <w:szCs w:val="20"/>
          <w:color w:val="auto"/>
        </w:rPr>
      </w:pPr>
      <w:r>
        <w:rPr>
          <w:rFonts w:ascii="Arial" w:cs="Arial" w:eastAsia="Arial" w:hAnsi="Arial"/>
          <w:sz w:val="18"/>
          <w:szCs w:val="18"/>
          <w:color w:val="auto"/>
        </w:rPr>
        <w:t>the expected life of options based on its historical award exercise experience. The Company does not expect to pay dividends on its common stock.</w:t>
      </w:r>
    </w:p>
    <w:p>
      <w:pPr>
        <w:spacing w:after="0" w:line="130" w:lineRule="exact"/>
        <w:rPr>
          <w:sz w:val="20"/>
          <w:szCs w:val="20"/>
          <w:color w:val="auto"/>
        </w:rPr>
      </w:pPr>
    </w:p>
    <w:p>
      <w:pPr>
        <w:ind w:left="60" w:right="59" w:firstLine="648"/>
        <w:spacing w:after="0" w:line="257" w:lineRule="auto"/>
        <w:rPr>
          <w:sz w:val="20"/>
          <w:szCs w:val="20"/>
          <w:color w:val="auto"/>
        </w:rPr>
      </w:pPr>
      <w:r>
        <w:rPr>
          <w:rFonts w:ascii="Arial" w:cs="Arial" w:eastAsia="Arial" w:hAnsi="Arial"/>
          <w:sz w:val="18"/>
          <w:szCs w:val="18"/>
          <w:color w:val="auto"/>
        </w:rPr>
        <w:t>The fair value of RSU awards with market based conditions on the date of grant is estimated using the Monte-Carlo Simulation valuation model, and the Company uses the following methods to determine its underlying assumptions: expected volatilities are based on the Company’s historic stock price volatility; the expected term of the awards is based on the performance measurement period; the risk-free interest rate is based on the U.S. Treasury bond yield issued with similar life terms to the expected life of the grant.</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Accounts Receivable</w:t>
      </w:r>
    </w:p>
    <w:p>
      <w:pPr>
        <w:spacing w:after="0" w:line="189" w:lineRule="exact"/>
        <w:rPr>
          <w:sz w:val="20"/>
          <w:szCs w:val="20"/>
          <w:color w:val="auto"/>
        </w:rPr>
      </w:pPr>
    </w:p>
    <w:p>
      <w:pPr>
        <w:ind w:left="60" w:right="359" w:firstLine="648"/>
        <w:spacing w:after="0" w:line="263" w:lineRule="auto"/>
        <w:rPr>
          <w:sz w:val="20"/>
          <w:szCs w:val="20"/>
          <w:color w:val="auto"/>
        </w:rPr>
      </w:pPr>
      <w:r>
        <w:rPr>
          <w:rFonts w:ascii="Arial" w:cs="Arial" w:eastAsia="Arial" w:hAnsi="Arial"/>
          <w:sz w:val="18"/>
          <w:szCs w:val="18"/>
          <w:color w:val="auto"/>
        </w:rPr>
        <w:t>Included in accounts receivable “net” are receivables from direct sales of mobile homes, sales of parts and supplies to customers, consignment fees and interest. Accounts receivable “dealer financed” are receivables for interest, fees and curtailments owed by dealers under their inventory finance agreements.</w:t>
      </w:r>
    </w:p>
    <w:p>
      <w:pPr>
        <w:spacing w:after="0" w:line="143" w:lineRule="exact"/>
        <w:rPr>
          <w:sz w:val="20"/>
          <w:szCs w:val="20"/>
          <w:color w:val="auto"/>
        </w:rPr>
      </w:pPr>
    </w:p>
    <w:p>
      <w:pPr>
        <w:ind w:left="60" w:right="139" w:firstLine="648"/>
        <w:spacing w:after="0" w:line="291" w:lineRule="auto"/>
        <w:rPr>
          <w:sz w:val="20"/>
          <w:szCs w:val="20"/>
          <w:color w:val="auto"/>
        </w:rPr>
      </w:pPr>
      <w:r>
        <w:rPr>
          <w:rFonts w:ascii="Arial" w:cs="Arial" w:eastAsia="Arial" w:hAnsi="Arial"/>
          <w:sz w:val="16"/>
          <w:szCs w:val="16"/>
          <w:color w:val="auto"/>
        </w:rPr>
        <w:t>Accounts receivables “net” are generally due within 30 days and are stated at amounts due from customers net of an allowance for doubtful accounts. Accounts receivables “dealer financed” are due upon receipt and are stated at amounts due from customers net of an allowance for doubtful accounts. Accounts outstanding longer than the contractual payment terms are considered past due. The Company determines the allowance by considering several factors, including the aging of the past due balance, the customer’s payment history, and the Company’s previous loss history. The Company establishes an allowance for doubtful accounts for amounts that are deemed to be uncollectible. On June 30, 2023 and December 31, 2022, the allowance for doubtful accounts totaled $333 and $279, respectively.</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Leased Property</w:t>
      </w:r>
    </w:p>
    <w:p>
      <w:pPr>
        <w:spacing w:after="0" w:line="189" w:lineRule="exact"/>
        <w:rPr>
          <w:sz w:val="20"/>
          <w:szCs w:val="20"/>
          <w:color w:val="auto"/>
        </w:rPr>
      </w:pPr>
    </w:p>
    <w:p>
      <w:pPr>
        <w:ind w:left="60" w:right="279" w:firstLine="648"/>
        <w:spacing w:after="0" w:line="263" w:lineRule="auto"/>
        <w:rPr>
          <w:sz w:val="20"/>
          <w:szCs w:val="20"/>
          <w:color w:val="auto"/>
        </w:rPr>
      </w:pPr>
      <w:r>
        <w:rPr>
          <w:rFonts w:ascii="Arial" w:cs="Arial" w:eastAsia="Arial" w:hAnsi="Arial"/>
          <w:sz w:val="18"/>
          <w:szCs w:val="18"/>
          <w:color w:val="auto"/>
        </w:rPr>
        <w:t>The Company offers mobile home park operators the opportunity to lease mobile homes for rent in lieu of purchasing the homes for cash or under a longer-term financing agreement. In this arrangement title to the mobile homes remains with the Company.</w:t>
      </w:r>
    </w:p>
    <w:p>
      <w:pPr>
        <w:spacing w:after="0" w:line="76"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color w:val="auto"/>
        </w:rPr>
        <w:t>The standard lease agreement is typically for 96 months or 120 months. Under the lease agreement, the lessee (mobile home park operator) uses the mobile homes as personal property to be rented at the lessee's mobile home park. The lessee makes monthly, periodic lease payments to the Company over the term of the lease. The lessee is responsible for maintaining the homes during the term of the lease. The lessee is also responsible for repairing any damage caused by force majeure events. At the end of the lease term or in the event of default, the lessee is required to deliver the homes to the Company with all improvements and in substantially the same condition as existed at the commencement of the lease. The lessee may terminate the lease on 30 days written notice and pay a lease termination fee equal to 10% of the remaining lease payments or six months’ rent, whichever is greater. The lessee has an option to purchase the homes at the end of the lease term for fair market value based on an agreed determination of fair market value by both parties using comparable sales, recent appraisal, or National Automobile Dealers Association official guidance. The lessee must provide the Company with 30 days written notice prior to expiration of the lease of intent to purchase the property for fair market value. The lease also includes a renewal option whereby the lessee has the option to extend the lease for an additional 48 months (the extended term) at the same terms and conditions as the original lease. The lessee must notify the Company of the intent to exercise this renewal option not less than six months prior to expiration of the lease term. The leased mobile homes are included in other assets on the Company’s balance sheet, capitalized at manufactured cost and depreciated over a 15 year useful life. Homes returned to the Company upon expiration of the lease or in the event of default will be sold by the Company through its standard sales and distribution channels. Depreciation expense for the leased property was $157 and $180 for the three months ended June 30, 2023 and 2022, respectively, and $317 and $340 for the six months ended June 30, 2023 and 2022, respectively.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ind w:left="60" w:right="79"/>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3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Future minimum lease income under all operating leases for each of the next five years at June 30, 2023, are as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follows:</w:t>
      </w:r>
    </w:p>
    <w:p>
      <w:pPr>
        <w:spacing w:after="0" w:line="212"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2024</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1,825</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2026</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1,825</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r>
      <w:tr>
        <w:trPr>
          <w:trHeight w:val="216"/>
        </w:trPr>
        <w:tc>
          <w:tcPr>
            <w:tcW w:w="6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2,264</w:t>
            </w:r>
          </w:p>
        </w:tc>
      </w:tr>
      <w:tr>
        <w:trPr>
          <w:trHeight w:val="209"/>
        </w:trPr>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10,304</w:t>
            </w:r>
          </w:p>
        </w:tc>
      </w:tr>
      <w:tr>
        <w:trPr>
          <w:trHeight w:val="20"/>
        </w:trPr>
        <w:tc>
          <w:tcPr>
            <w:tcW w:w="6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left="60" w:right="259" w:firstLine="648"/>
        <w:spacing w:after="0" w:line="277" w:lineRule="auto"/>
        <w:rPr>
          <w:sz w:val="20"/>
          <w:szCs w:val="20"/>
          <w:color w:val="auto"/>
        </w:rPr>
      </w:pPr>
      <w:r>
        <w:rPr>
          <w:rFonts w:ascii="Arial" w:cs="Arial" w:eastAsia="Arial" w:hAnsi="Arial"/>
          <w:sz w:val="18"/>
          <w:szCs w:val="18"/>
          <w:color w:val="auto"/>
        </w:rPr>
        <w:t>The Company has elected to use longer phase-in periods for the adoption of new or revised financial accounting standards under the JOBS Act as an emerging growth company.</w:t>
      </w:r>
    </w:p>
    <w:p>
      <w:pPr>
        <w:spacing w:after="0" w:line="130" w:lineRule="exact"/>
        <w:rPr>
          <w:sz w:val="20"/>
          <w:szCs w:val="20"/>
          <w:color w:val="auto"/>
        </w:rPr>
      </w:pPr>
    </w:p>
    <w:p>
      <w:pPr>
        <w:ind w:left="60" w:right="99" w:firstLine="648"/>
        <w:spacing w:after="0" w:line="268"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Instruments—Credit Losses (Topic 326): Measurement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Credit Losses on Financial Instruments</w:t>
      </w:r>
      <w:r>
        <w:rPr>
          <w:rFonts w:ascii="Arial" w:cs="Arial" w:eastAsia="Arial" w:hAnsi="Arial"/>
          <w:sz w:val="17"/>
          <w:szCs w:val="17"/>
          <w:color w:val="auto"/>
        </w:rPr>
        <w:t>, which amends guidance on reporting credit losses for assets held at amortized cost</w:t>
      </w:r>
      <w:r>
        <w:rPr>
          <w:rFonts w:ascii="Arial" w:cs="Arial" w:eastAsia="Arial" w:hAnsi="Arial"/>
          <w:sz w:val="17"/>
          <w:szCs w:val="17"/>
          <w:i w:val="1"/>
          <w:iCs w:val="1"/>
          <w:color w:val="auto"/>
        </w:rPr>
        <w:t xml:space="preserve"> </w:t>
      </w:r>
      <w:r>
        <w:rPr>
          <w:rFonts w:ascii="Arial" w:cs="Arial" w:eastAsia="Arial" w:hAnsi="Arial"/>
          <w:sz w:val="17"/>
          <w:szCs w:val="17"/>
          <w:color w:val="auto"/>
        </w:rPr>
        <w:t>basis and available for sale debt securities. For assets held at amortized cost basis, Topic 326 eliminates the probable initial recognition threshold in current GAAP and, requires an entity to instead reflect its current estimate of all expected credit losses. The allowance for credit losses is a valuation account that is deducted from the amortized cost basis of the financial assets to present the net amount expected to be collected. For available for sale debt securities, credit losses should be measured in a manner similar to current GAAP. However, Topic 326 requires that credit losses be presented as an allowance rather than a write-down and affects entities holding financial assets and net investments in leases that are not accounted for at fair value through net income. The amendments affect loans, debt securities, trade receivables, net investments in leases, off balance sheet credit exposures, reinsurance receivables, and any other financial assets not excluded from the scope that have the contractual right to receive cash. The Company used the longer phase-in period for adoption, and accordingly this ASU became effective for the Company’s fiscal year beginning January 1, 2023. The adoption of ASU 2016-13 resulted in an increase in portfolio allowances of $900 at transition. The $900 was comprised of a $225 increase for MHP notes, a $187 increase for dealer financed contracts and a $488 increase for other notes receivable. The cumulative effect of the adoption was a net decrease of $698 to beginning retained earnings at January 1, 2023.</w:t>
      </w:r>
    </w:p>
    <w:p>
      <w:pPr>
        <w:spacing w:after="0" w:line="153"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From time to time, new accounting pronouncements are issued by the FASB and other regulatory bodies that are adopted by the Company as of the specified effective dates. Unless otherwise discussed, management believes that the impact of recently issued standards, which are not yet effective, will not have a material impact on the Company’s financial statements upon adoption.</w:t>
      </w: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CONSUMER LOANS</w:t>
      </w:r>
    </w:p>
    <w:p>
      <w:pPr>
        <w:spacing w:after="0" w:line="189" w:lineRule="exact"/>
        <w:rPr>
          <w:sz w:val="20"/>
          <w:szCs w:val="20"/>
          <w:color w:val="auto"/>
        </w:rPr>
      </w:pPr>
    </w:p>
    <w:p>
      <w:pPr>
        <w:ind w:left="60" w:right="59" w:firstLine="648"/>
        <w:spacing w:after="0" w:line="255" w:lineRule="auto"/>
        <w:rPr>
          <w:sz w:val="20"/>
          <w:szCs w:val="20"/>
          <w:color w:val="auto"/>
        </w:rPr>
      </w:pPr>
      <w:r>
        <w:rPr>
          <w:rFonts w:ascii="Arial" w:cs="Arial" w:eastAsia="Arial" w:hAnsi="Arial"/>
          <w:sz w:val="18"/>
          <w:szCs w:val="18"/>
          <w:color w:val="auto"/>
        </w:rPr>
        <w:t>Consumer loans result from financing transactions entered into with retail consumers of mobile homes sold through independent retailers and company-owned retail locations. Consumer loans receivable generally consist of the sales price and any additional financing fees, less the buyer’s down payment. Interest income is recognized monthly per the terms of the financing agreements. The average contractual interest rate per loan was approximately 13.3% and 13.4% as of June 30, 2023 and December 31, 2022, respectively. Consumer loans receivable have maturities that range from 2 to 30 years.</w:t>
      </w:r>
    </w:p>
    <w:p>
      <w:pPr>
        <w:spacing w:after="0" w:line="152"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auto"/>
        </w:rPr>
        <w:t>Loan applications go through an underwriting process that considers credit history to evaluate the credit risk of the consumer. Interest rates on approved loans are determined based on consumer credit score, payment ability and down payment amount.</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ind w:left="60" w:right="79"/>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3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Company uses payment history to monitor the credit quality of the consumer loans on an ongoing basis.</w:t>
      </w:r>
    </w:p>
    <w:p>
      <w:pPr>
        <w:spacing w:after="0" w:line="196" w:lineRule="exact"/>
        <w:rPr>
          <w:sz w:val="20"/>
          <w:szCs w:val="20"/>
          <w:color w:val="auto"/>
        </w:rPr>
      </w:pPr>
    </w:p>
    <w:p>
      <w:pPr>
        <w:ind w:left="60" w:right="219" w:firstLine="648"/>
        <w:spacing w:after="0" w:line="311" w:lineRule="auto"/>
        <w:rPr>
          <w:sz w:val="20"/>
          <w:szCs w:val="20"/>
          <w:color w:val="auto"/>
        </w:rPr>
      </w:pPr>
      <w:r>
        <w:rPr>
          <w:rFonts w:ascii="Arial" w:cs="Arial" w:eastAsia="Arial" w:hAnsi="Arial"/>
          <w:sz w:val="16"/>
          <w:szCs w:val="16"/>
          <w:color w:val="auto"/>
        </w:rPr>
        <w:t>The Company may also receive escrow payments for property taxes and insurance included in its consumer loan collections. The liabilities associated with these escrow collections totaled $10,022 and $9,653 as of June 30, 2023 and December 31, 2022, respectively, and are included in escrow liability in the condensed balance sheets.</w:t>
      </w:r>
    </w:p>
    <w:p>
      <w:pPr>
        <w:spacing w:after="0" w:line="12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Allowance for Loan Losses—Consumer Loans Receivable</w:t>
      </w:r>
    </w:p>
    <w:p>
      <w:pPr>
        <w:spacing w:after="0" w:line="185" w:lineRule="exact"/>
        <w:rPr>
          <w:sz w:val="20"/>
          <w:szCs w:val="20"/>
          <w:color w:val="auto"/>
        </w:rPr>
      </w:pPr>
    </w:p>
    <w:p>
      <w:pPr>
        <w:ind w:left="60" w:right="79" w:firstLine="648"/>
        <w:spacing w:after="0" w:line="301" w:lineRule="auto"/>
        <w:rPr>
          <w:sz w:val="20"/>
          <w:szCs w:val="20"/>
          <w:color w:val="auto"/>
        </w:rPr>
      </w:pPr>
      <w:r>
        <w:rPr>
          <w:rFonts w:ascii="Arial" w:cs="Arial" w:eastAsia="Arial" w:hAnsi="Arial"/>
          <w:sz w:val="16"/>
          <w:szCs w:val="16"/>
          <w:color w:val="auto"/>
        </w:rPr>
        <w:t>The allowance for loan losses reflects management’s estimate of losses inherent in the consumer loans that may be uncollectible based upon review and evaluation of the consumer loan portfolio as of the date of the balance sheet. An allowance for loan losses is determined after giving consideration to, among other things, the loan characteristics, including the financial condition of borrowers, the value and liquidity of collateral, delinquency and historical loss experience.</w:t>
      </w:r>
    </w:p>
    <w:p>
      <w:pPr>
        <w:spacing w:after="0" w:line="117"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7"/>
          <w:szCs w:val="17"/>
          <w:color w:val="auto"/>
        </w:rPr>
        <w:t>The allowance for loan losses is comprised of two components: the general reserve and specific reserves. The Company’s calculation of the general reserve considers the historical loss rate for the last three years, adjusted for the estimated loss discovery period and any qualitative factors both internal and external to the Company. Specific reserves are determined based on probable losses on specific classified impaired loans.</w:t>
      </w:r>
    </w:p>
    <w:p>
      <w:pPr>
        <w:spacing w:after="0" w:line="144" w:lineRule="exact"/>
        <w:rPr>
          <w:sz w:val="20"/>
          <w:szCs w:val="20"/>
          <w:color w:val="auto"/>
        </w:rPr>
      </w:pPr>
    </w:p>
    <w:p>
      <w:pPr>
        <w:ind w:left="60" w:right="199" w:firstLine="648"/>
        <w:spacing w:after="0" w:line="291" w:lineRule="auto"/>
        <w:rPr>
          <w:sz w:val="20"/>
          <w:szCs w:val="20"/>
          <w:color w:val="auto"/>
        </w:rPr>
      </w:pPr>
      <w:r>
        <w:rPr>
          <w:rFonts w:ascii="Arial" w:cs="Arial" w:eastAsia="Arial" w:hAnsi="Arial"/>
          <w:sz w:val="16"/>
          <w:szCs w:val="16"/>
          <w:color w:val="auto"/>
        </w:rPr>
        <w:t>The Company’s policy is to place a loan on nonaccrual status when there is a clear indication that the borrower’s cash flow may not be sufficient to meet payments as they become due, which is normally when either principal or interest is past due and remains unpaid for more than 90 days. Management implemented this policy based on an analysis of historical data, current performance of loans and the likelihood of recovery once principal or interest payments became delinquent and were aged more than 90 days. Payments received on nonaccrual loans are accounted for on a cash basis, first to interest and then to principal, as long as the remaining book balance of the asset is deemed to be collectible. The accrual of interest resumes when the past due principal or interest payments are brought within 90 days of being current.</w:t>
      </w:r>
    </w:p>
    <w:p>
      <w:pPr>
        <w:spacing w:after="0" w:line="126"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Impaired loans are those loans where it is probable the Company will be unable to collect all amounts due under the terms of the loan agreement, including scheduled principal and interest payments. Impaired loans, or portions thereof, are charged off when deemed uncollectible. A loan is generally deemed impaired if it is more than 90 days past due on principal or interest, is in bankruptcy proceedings, or is in the process of repossession. A specific reserve is created for impaired loans based on the fair value of the underlying collateral, less estimated selling costs. The Company uses various factors to determine the value of the underlying collateral for impaired loans. These factors are: (1) the length of time the unit was unsold after construction; (2) the amount of time the house was occupied; (3) the cooperation level of the borrowers, i.e., loans requiring legal action or extensive field collection efforts; (4) units located on private property as opposed to a manufactured home park; (5) the length of time the borrower has lived in the house without making payments; (6) location, size, and market conditions; and (7) the experience and expertise of the particular dealer assisting in collection efforts.</w:t>
      </w:r>
    </w:p>
    <w:p>
      <w:pPr>
        <w:spacing w:after="0" w:line="141"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Collateral for repossessed loans is acquired through foreclosure or similar proceedings and is recorded at the estimated fair value of the home, less the costs to sell. At repossession, the fair value of the collateral is computed based on the historical recovery rates of previously charged off loans; the loan is charged off and the loss is charged to the allowance for loan losses. At each reporting period, the fair value of the collateral is adjusted to the lower of the amount recorded at repossession or the estimated sales price less estimated costs to sell, based on current information. Repossessed homes totaled $1,204 and $795 as of June 30, 2023 and December 31, 2022, respectively, and are included in other assets in the condensed balance sheets.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ind w:left="60" w:right="79"/>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3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Consumer loans receivable, net of allowance for loan losses and deferred financing fees, consists of the following:</w:t>
      </w:r>
    </w:p>
    <w:p>
      <w:pPr>
        <w:spacing w:after="0" w:line="214"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As of</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As of</w:t>
            </w:r>
          </w:p>
        </w:tc>
      </w:tr>
      <w:tr>
        <w:trPr>
          <w:trHeight w:val="148"/>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2"/>
                <w:szCs w:val="12"/>
                <w:color w:val="auto"/>
              </w:rPr>
            </w:pPr>
          </w:p>
        </w:tc>
        <w:tc>
          <w:tcPr>
            <w:tcW w:w="9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5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2023</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6"/>
              </w:rPr>
              <w:t>2022</w:t>
            </w:r>
          </w:p>
        </w:tc>
        <w:tc>
          <w:tcPr>
            <w:tcW w:w="20" w:type="dxa"/>
            <w:vAlign w:val="bottom"/>
          </w:tcPr>
          <w:p>
            <w:pPr>
              <w:spacing w:after="0"/>
              <w:rPr>
                <w:sz w:val="14"/>
                <w:szCs w:val="14"/>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Consumer loans receivable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149,368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142,340</w:t>
            </w:r>
          </w:p>
        </w:tc>
        <w:tc>
          <w:tcPr>
            <w:tcW w:w="20" w:type="dxa"/>
            <w:vAlign w:val="bottom"/>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Loan discount and deferred financing fees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(2,491)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(2,501)</w:t>
            </w:r>
          </w:p>
        </w:tc>
        <w:tc>
          <w:tcPr>
            <w:tcW w:w="2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20" w:type="dxa"/>
            <w:vAlign w:val="bottom"/>
          </w:tcPr>
          <w:p>
            <w:pPr>
              <w:spacing w:after="0"/>
              <w:rPr>
                <w:sz w:val="18"/>
                <w:szCs w:val="18"/>
                <w:color w:val="auto"/>
              </w:rPr>
            </w:pPr>
          </w:p>
        </w:tc>
      </w:tr>
      <w:tr>
        <w:trPr>
          <w:trHeight w:val="209"/>
        </w:trPr>
        <w:tc>
          <w:tcPr>
            <w:tcW w:w="5200" w:type="dxa"/>
            <w:vAlign w:val="bottom"/>
          </w:tcPr>
          <w:p>
            <w:pPr>
              <w:spacing w:after="0"/>
              <w:rPr>
                <w:sz w:val="20"/>
                <w:szCs w:val="20"/>
                <w:color w:val="auto"/>
              </w:rPr>
            </w:pPr>
            <w:r>
              <w:rPr>
                <w:rFonts w:ascii="Arial" w:cs="Arial" w:eastAsia="Arial" w:hAnsi="Arial"/>
                <w:sz w:val="18"/>
                <w:szCs w:val="18"/>
                <w:color w:val="auto"/>
              </w:rPr>
              <w:t>Consumer loans receivable, net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146,010</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139,009</w:t>
            </w:r>
          </w:p>
        </w:tc>
        <w:tc>
          <w:tcPr>
            <w:tcW w:w="20" w:type="dxa"/>
            <w:vAlign w:val="bottom"/>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a detail of the activity in the allowance for loan losses:</w:t>
      </w:r>
    </w:p>
    <w:p>
      <w:pPr>
        <w:spacing w:after="0" w:line="177"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420" w:type="dxa"/>
            <w:vAlign w:val="bottom"/>
            <w:gridSpan w:val="6"/>
          </w:tcPr>
          <w:p>
            <w:pPr>
              <w:ind w:left="60"/>
              <w:spacing w:after="0"/>
              <w:rPr>
                <w:sz w:val="20"/>
                <w:szCs w:val="20"/>
                <w:color w:val="auto"/>
              </w:rPr>
            </w:pPr>
            <w:r>
              <w:rPr>
                <w:rFonts w:ascii="Arial" w:cs="Arial" w:eastAsia="Arial" w:hAnsi="Arial"/>
                <w:sz w:val="14"/>
                <w:szCs w:val="14"/>
                <w:b w:val="1"/>
                <w:bCs w:val="1"/>
                <w:color w:val="auto"/>
                <w:w w:val="97"/>
              </w:rPr>
              <w:t>Three months ended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ind w:left="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46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89"/>
              </w:rPr>
              <w:t>2022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46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89"/>
              </w:rPr>
              <w:t>2022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Charge offs (recoveries)</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tcPr>
          <w:p>
            <w:pPr>
              <w:spacing w:after="0"/>
              <w:rPr>
                <w:sz w:val="20"/>
                <w:szCs w:val="20"/>
                <w:color w:val="auto"/>
              </w:rPr>
            </w:pPr>
            <w:r>
              <w:rPr>
                <w:rFonts w:ascii="Arial" w:cs="Arial" w:eastAsia="Arial" w:hAnsi="Arial"/>
                <w:sz w:val="18"/>
                <w:szCs w:val="18"/>
                <w:color w:val="auto"/>
              </w:rPr>
              <w:t>Allowance for loan losses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867</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763</w:t>
            </w:r>
          </w:p>
        </w:tc>
        <w:tc>
          <w:tcPr>
            <w:tcW w:w="4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867</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763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following table presents loan loss and impairment detail for the consumer loans receivable portfolio:</w:t>
      </w:r>
    </w:p>
    <w:p>
      <w:pPr>
        <w:spacing w:after="0" w:line="191"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36"/>
              <w:spacing w:after="0"/>
              <w:rPr>
                <w:sz w:val="20"/>
                <w:szCs w:val="20"/>
                <w:color w:val="auto"/>
              </w:rPr>
            </w:pPr>
            <w:r>
              <w:rPr>
                <w:rFonts w:ascii="Arial" w:cs="Arial" w:eastAsia="Arial" w:hAnsi="Arial"/>
                <w:sz w:val="14"/>
                <w:szCs w:val="14"/>
                <w:b w:val="1"/>
                <w:bCs w:val="1"/>
                <w:color w:val="auto"/>
                <w:w w:val="91"/>
              </w:rPr>
              <w:t>As of</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center"/>
              <w:ind w:right="115"/>
              <w:spacing w:after="0"/>
              <w:rPr>
                <w:sz w:val="20"/>
                <w:szCs w:val="20"/>
                <w:color w:val="auto"/>
              </w:rPr>
            </w:pPr>
            <w:r>
              <w:rPr>
                <w:rFonts w:ascii="Arial" w:cs="Arial" w:eastAsia="Arial" w:hAnsi="Arial"/>
                <w:sz w:val="14"/>
                <w:szCs w:val="14"/>
                <w:b w:val="1"/>
                <w:bCs w:val="1"/>
                <w:color w:val="auto"/>
                <w:w w:val="91"/>
              </w:rPr>
              <w:t>As of</w:t>
            </w:r>
          </w:p>
        </w:tc>
      </w:tr>
      <w:tr>
        <w:trPr>
          <w:trHeight w:val="149"/>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5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2023</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2022</w:t>
            </w: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consumer loans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149,368</w:t>
            </w:r>
          </w:p>
        </w:tc>
        <w:tc>
          <w:tcPr>
            <w:tcW w:w="3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142,340</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Allowance for loan losses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867</w:t>
            </w:r>
          </w:p>
        </w:tc>
        <w:tc>
          <w:tcPr>
            <w:tcW w:w="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830</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individually evaluated for impairment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3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Specific reserve against impaired loans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699</w:t>
            </w:r>
          </w:p>
        </w:tc>
        <w:tc>
          <w:tcPr>
            <w:tcW w:w="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612</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Other loans collectively evaluated for allowance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147,702</w:t>
            </w:r>
          </w:p>
        </w:tc>
        <w:tc>
          <w:tcPr>
            <w:tcW w:w="3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140,730</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General allowance for loan losses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168</w:t>
            </w:r>
          </w:p>
        </w:tc>
        <w:tc>
          <w:tcPr>
            <w:tcW w:w="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218</w:t>
            </w:r>
          </w:p>
        </w:tc>
      </w:tr>
    </w:tbl>
    <w:p>
      <w:pPr>
        <w:spacing w:after="0" w:line="187" w:lineRule="exact"/>
        <w:rPr>
          <w:sz w:val="20"/>
          <w:szCs w:val="20"/>
          <w:color w:val="auto"/>
        </w:rPr>
      </w:pPr>
    </w:p>
    <w:p>
      <w:pPr>
        <w:ind w:left="60" w:right="239" w:firstLine="648"/>
        <w:spacing w:after="0" w:line="263" w:lineRule="auto"/>
        <w:rPr>
          <w:sz w:val="20"/>
          <w:szCs w:val="20"/>
          <w:color w:val="auto"/>
        </w:rPr>
      </w:pPr>
      <w:r>
        <w:rPr>
          <w:rFonts w:ascii="Arial" w:cs="Arial" w:eastAsia="Arial" w:hAnsi="Arial"/>
          <w:sz w:val="18"/>
          <w:szCs w:val="18"/>
          <w:color w:val="auto"/>
        </w:rPr>
        <w:t>As of June 30, 2023 and December 31, 2022, the total principal outstanding for consumer loans on nonaccrual status was $1,666 and $1,610, respectively. A detailed aging of consumer loans receivable that are past due as of June 30, 2023 and December 31, 2022 were as follows:</w:t>
      </w:r>
    </w:p>
    <w:p>
      <w:pPr>
        <w:spacing w:after="0" w:line="149"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As of June 30,</w:t>
            </w:r>
          </w:p>
        </w:tc>
        <w:tc>
          <w:tcPr>
            <w:tcW w:w="66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As of December 31,</w:t>
            </w:r>
          </w:p>
        </w:tc>
        <w:tc>
          <w:tcPr>
            <w:tcW w:w="68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53"/>
              <w:spacing w:after="0"/>
              <w:rPr>
                <w:sz w:val="20"/>
                <w:szCs w:val="20"/>
                <w:color w:val="auto"/>
              </w:rPr>
            </w:pPr>
            <w:r>
              <w:rPr>
                <w:rFonts w:ascii="Arial" w:cs="Arial" w:eastAsia="Arial" w:hAnsi="Arial"/>
                <w:sz w:val="14"/>
                <w:szCs w:val="14"/>
                <w:b w:val="1"/>
                <w:bCs w:val="1"/>
                <w:color w:val="auto"/>
              </w:rPr>
              <w:t>2023</w:t>
            </w:r>
          </w:p>
        </w:tc>
        <w:tc>
          <w:tcPr>
            <w:tcW w:w="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consumer loans receivable</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149,368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142,340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480" w:type="dxa"/>
            <w:vAlign w:val="bottom"/>
            <w:gridSpan w:val="2"/>
            <w:vMerge w:val="restart"/>
          </w:tcPr>
          <w:p>
            <w:pPr>
              <w:spacing w:after="0"/>
              <w:rPr>
                <w:sz w:val="20"/>
                <w:szCs w:val="20"/>
                <w:color w:val="auto"/>
              </w:rPr>
            </w:pPr>
            <w:r>
              <w:rPr>
                <w:rFonts w:ascii="Arial" w:cs="Arial" w:eastAsia="Arial" w:hAnsi="Arial"/>
                <w:sz w:val="18"/>
                <w:szCs w:val="18"/>
                <w:color w:val="auto"/>
              </w:rPr>
              <w:t>Past due consumer loans:</w:t>
            </w: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9"/>
              </w:rPr>
              <w:t>31</w:t>
            </w: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- 60 days past due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6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320" w:type="dxa"/>
            <w:vAlign w:val="bottom"/>
          </w:tcPr>
          <w:p>
            <w:pPr>
              <w:ind w:left="120"/>
              <w:spacing w:after="0"/>
              <w:rPr>
                <w:sz w:val="20"/>
                <w:szCs w:val="20"/>
                <w:color w:val="auto"/>
              </w:rPr>
            </w:pPr>
            <w:r>
              <w:rPr>
                <w:rFonts w:ascii="Arial" w:cs="Arial" w:eastAsia="Arial" w:hAnsi="Arial"/>
                <w:sz w:val="18"/>
                <w:szCs w:val="18"/>
                <w:color w:val="auto"/>
                <w:w w:val="89"/>
              </w:rPr>
              <w:t>61</w:t>
            </w:r>
          </w:p>
        </w:tc>
        <w:tc>
          <w:tcPr>
            <w:tcW w:w="3160" w:type="dxa"/>
            <w:vAlign w:val="bottom"/>
          </w:tcPr>
          <w:p>
            <w:pPr>
              <w:ind w:left="20"/>
              <w:spacing w:after="0"/>
              <w:rPr>
                <w:sz w:val="20"/>
                <w:szCs w:val="20"/>
                <w:color w:val="auto"/>
              </w:rPr>
            </w:pPr>
            <w:r>
              <w:rPr>
                <w:rFonts w:ascii="Arial" w:cs="Arial" w:eastAsia="Arial" w:hAnsi="Arial"/>
                <w:sz w:val="18"/>
                <w:szCs w:val="18"/>
                <w:color w:val="auto"/>
              </w:rPr>
              <w:t>- 90 days past due</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9"/>
              </w:rPr>
              <w:t>91</w:t>
            </w: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- 120 days past due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3480" w:type="dxa"/>
            <w:vAlign w:val="bottom"/>
            <w:gridSpan w:val="2"/>
          </w:tcPr>
          <w:p>
            <w:pPr>
              <w:ind w:left="120"/>
              <w:spacing w:after="0"/>
              <w:rPr>
                <w:sz w:val="20"/>
                <w:szCs w:val="20"/>
                <w:color w:val="auto"/>
              </w:rPr>
            </w:pPr>
            <w:r>
              <w:rPr>
                <w:rFonts w:ascii="Arial" w:cs="Arial" w:eastAsia="Arial" w:hAnsi="Arial"/>
                <w:sz w:val="18"/>
                <w:szCs w:val="18"/>
                <w:color w:val="auto"/>
              </w:rPr>
              <w:t>Greater than 120 days past due</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1,635</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past due</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NOTES RECEIVABLE FROM MOBILE HOME PARKS</w:t>
      </w:r>
    </w:p>
    <w:p>
      <w:pPr>
        <w:spacing w:after="0" w:line="189" w:lineRule="exact"/>
        <w:rPr>
          <w:sz w:val="20"/>
          <w:szCs w:val="20"/>
          <w:color w:val="auto"/>
        </w:rPr>
      </w:pPr>
    </w:p>
    <w:p>
      <w:pPr>
        <w:ind w:left="60" w:right="199" w:firstLine="648"/>
        <w:spacing w:after="0" w:line="342" w:lineRule="auto"/>
        <w:rPr>
          <w:sz w:val="20"/>
          <w:szCs w:val="20"/>
          <w:color w:val="auto"/>
        </w:rPr>
      </w:pPr>
      <w:r>
        <w:rPr>
          <w:rFonts w:ascii="Arial" w:cs="Arial" w:eastAsia="Arial" w:hAnsi="Arial"/>
          <w:sz w:val="16"/>
          <w:szCs w:val="16"/>
          <w:color w:val="auto"/>
        </w:rPr>
        <w:t>The notes receivable from mobile home parks (“MHP Notes”) relate to mobile homes sold to mobile home parks and financed through notes receivable. The MHP Notes have varying maturity dates and call for monthly principal</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ind w:left="40" w:right="59"/>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30"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and interest payments. The interest rate on the MHP Notes can be fixed or variable. Approximately $159 million of the MHP Notes have a fixed interest rate ranging from 6.9% to 12.25%. The remaining MHP Notes have a variable rate typically set at 4.0% above prime with a minimum of 8.0%. The average interest rate per loan was approximately 8.1% as of June 30, 2023 and December 31, 2022, with maturities that range from 1 to 10 years. The collateral underlying the MHP Notes are individual mobile homes which can be repossessed and resold. The MHP Notes are generally personally guaranteed by borrowers with substantial financial resources.</w:t>
      </w:r>
    </w:p>
    <w:p>
      <w:pPr>
        <w:spacing w:after="0" w:line="152" w:lineRule="exact"/>
        <w:rPr>
          <w:sz w:val="20"/>
          <w:szCs w:val="20"/>
          <w:color w:val="auto"/>
        </w:rPr>
      </w:pPr>
    </w:p>
    <w:p>
      <w:pPr>
        <w:ind w:left="60" w:right="59" w:firstLine="648"/>
        <w:spacing w:after="0" w:line="257" w:lineRule="auto"/>
        <w:rPr>
          <w:sz w:val="20"/>
          <w:szCs w:val="20"/>
          <w:color w:val="auto"/>
        </w:rPr>
      </w:pPr>
      <w:r>
        <w:rPr>
          <w:rFonts w:ascii="Arial" w:cs="Arial" w:eastAsia="Arial" w:hAnsi="Arial"/>
          <w:sz w:val="18"/>
          <w:szCs w:val="18"/>
          <w:color w:val="auto"/>
        </w:rPr>
        <w:t>The Company had concentrations of MHP Notes with three independent third-parties and their respective affiliates that equated to 16.1%, 16.5% and 28.4% of the principal balance outstanding, all of which was secured by the mobile homes, as of June 30, 2023. As of December 31, 2022, the Company had concentrations of MHP Notes with three independent third-parties and their respective affiliates that equated to 12.3%, 16.6% and 34.0% of the principal balance outstanding, all of which was secured by the mobile homes.</w:t>
      </w:r>
    </w:p>
    <w:p>
      <w:pPr>
        <w:spacing w:after="0" w:line="161" w:lineRule="exact"/>
        <w:rPr>
          <w:sz w:val="20"/>
          <w:szCs w:val="20"/>
          <w:color w:val="auto"/>
        </w:rPr>
      </w:pPr>
    </w:p>
    <w:p>
      <w:pPr>
        <w:ind w:left="60" w:right="119" w:firstLine="648"/>
        <w:spacing w:after="0" w:line="296" w:lineRule="auto"/>
        <w:rPr>
          <w:sz w:val="20"/>
          <w:szCs w:val="20"/>
          <w:color w:val="auto"/>
        </w:rPr>
      </w:pPr>
      <w:r>
        <w:rPr>
          <w:rFonts w:ascii="Arial" w:cs="Arial" w:eastAsia="Arial" w:hAnsi="Arial"/>
          <w:sz w:val="16"/>
          <w:szCs w:val="16"/>
          <w:color w:val="auto"/>
        </w:rPr>
        <w:t>MHP Notes are stated at amounts due from customers, net of allowance for loan losses. The Company determines the allowance by considering several factors, including the aging of the past due balance, the customer’s payment history, and the Company’s previous loss history. The Company establishes an allowance reserve composed of specific and general reserve amounts. As of June 30, 2023 and December 31, 2022, the MHP Notes balance is presented net of unamortized finance fees of $1,423 and $1,068, respectively. The finance fees are amortized over the life of the MHP Notes.</w:t>
      </w:r>
    </w:p>
    <w:p>
      <w:pPr>
        <w:spacing w:after="0" w:line="121" w:lineRule="exact"/>
        <w:rPr>
          <w:sz w:val="20"/>
          <w:szCs w:val="20"/>
          <w:color w:val="auto"/>
        </w:rPr>
      </w:pPr>
    </w:p>
    <w:p>
      <w:pPr>
        <w:ind w:left="60" w:right="259" w:firstLine="648"/>
        <w:spacing w:after="0" w:line="286" w:lineRule="auto"/>
        <w:rPr>
          <w:sz w:val="20"/>
          <w:szCs w:val="20"/>
          <w:color w:val="auto"/>
        </w:rPr>
      </w:pPr>
      <w:r>
        <w:rPr>
          <w:rFonts w:ascii="Arial" w:cs="Arial" w:eastAsia="Arial" w:hAnsi="Arial"/>
          <w:sz w:val="17"/>
          <w:szCs w:val="17"/>
          <w:color w:val="auto"/>
        </w:rPr>
        <w:t>There were minimal past due balances on the MHP Notes as of June 30, 2023 and December 31, 2022 and no charge offs were recorded for MHP Notes during the three and six months ended June 30, 2023 and 2022. The allowance for loan loss is $358 and $0 at June 30, 2023 and December 31, 2022, respectively.</w:t>
      </w:r>
    </w:p>
    <w:p>
      <w:pPr>
        <w:spacing w:after="0" w:line="125" w:lineRule="exact"/>
        <w:rPr>
          <w:sz w:val="20"/>
          <w:szCs w:val="20"/>
          <w:color w:val="auto"/>
        </w:rPr>
      </w:pPr>
    </w:p>
    <w:p>
      <w:pPr>
        <w:ind w:left="60" w:right="299" w:firstLine="648"/>
        <w:spacing w:after="0" w:line="311" w:lineRule="auto"/>
        <w:rPr>
          <w:sz w:val="20"/>
          <w:szCs w:val="20"/>
          <w:color w:val="auto"/>
        </w:rPr>
      </w:pPr>
      <w:r>
        <w:rPr>
          <w:rFonts w:ascii="Arial" w:cs="Arial" w:eastAsia="Arial" w:hAnsi="Arial"/>
          <w:sz w:val="16"/>
          <w:szCs w:val="16"/>
          <w:color w:val="auto"/>
        </w:rPr>
        <w:t>There were no impaired MHP Notes as of June 30, 2023 and December 31, 2022, and there was no repossessed homes balances as of June 30, 2023 and December 31, 2022. Collateral for repossessed loans is acquired through foreclosure or similar proceedings and is recorded at the estimated fair value of the home, less the costs to sell.</w:t>
      </w:r>
    </w:p>
    <w:p>
      <w:pPr>
        <w:spacing w:after="0" w:line="1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OTHER NOTES RECEIVABLE</w:t>
      </w:r>
    </w:p>
    <w:p>
      <w:pPr>
        <w:spacing w:after="0" w:line="189"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auto"/>
        </w:rPr>
        <w:t>Other notes receivable relate to various notes issued to mobile home park owners and dealers, which are not directly tied to the sale of mobile homes. The other notes have varying maturity dates and call for monthly principal and interest payments. The other notes are collateralized by mortgages on real estate, units being financed and used as offices, as well as vehicles, and are typically personally guaranteed by the borrowers. The interest rate on the other notes are fixed and range from 5.00% to 17.90%. The Company reserves for estimated losses on the other notes based on current economic conditions that may affect the borrower’s ability to pay, the borrower’s financial strength, and historical loss experience. There were no past due balances for other notes as of June 30, 2023 and December 31, 2022, and there were no impaired balances for other notes as of June 30, 2023 and December 31, 2022.</w:t>
      </w:r>
    </w:p>
    <w:p>
      <w:pPr>
        <w:spacing w:after="0" w:line="13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balance outstanding on the other notes receivable were as follows: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3320" w:type="dxa"/>
            <w:vAlign w:val="bottom"/>
            <w:gridSpan w:val="4"/>
            <w:vMerge w:val="restart"/>
          </w:tcPr>
          <w:p>
            <w:pPr>
              <w:ind w:left="2340"/>
              <w:spacing w:after="0"/>
              <w:rPr>
                <w:sz w:val="20"/>
                <w:szCs w:val="20"/>
                <w:color w:val="auto"/>
              </w:rPr>
            </w:pPr>
            <w:r>
              <w:rPr>
                <w:rFonts w:ascii="Arial" w:cs="Arial" w:eastAsia="Arial" w:hAnsi="Arial"/>
                <w:sz w:val="14"/>
                <w:szCs w:val="14"/>
                <w:b w:val="1"/>
                <w:bCs w:val="1"/>
                <w:color w:val="auto"/>
              </w:rPr>
              <w:t>As of June 30,</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332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8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2022</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Outstanding principal balance</w:t>
            </w:r>
          </w:p>
        </w:tc>
        <w:tc>
          <w:tcPr>
            <w:tcW w:w="2540" w:type="dxa"/>
            <w:vAlign w:val="bottom"/>
            <w:gridSpan w:val="2"/>
            <w:shd w:val="clear" w:color="auto" w:fill="CCEEFF"/>
          </w:tcPr>
          <w:p>
            <w:pPr>
              <w:ind w:left="23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26,971</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Allowance for loan losses</w:t>
            </w: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900" w:type="dxa"/>
            <w:vAlign w:val="bottom"/>
          </w:tcPr>
          <w:p>
            <w:pPr>
              <w:spacing w:after="0"/>
              <w:rPr>
                <w:sz w:val="21"/>
                <w:szCs w:val="21"/>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540" w:type="dxa"/>
            <w:vAlign w:val="bottom"/>
            <w:gridSpan w:val="2"/>
            <w:shd w:val="clear" w:color="auto" w:fill="CCEEFF"/>
          </w:tcPr>
          <w:p>
            <w:pPr>
              <w:ind w:left="23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26,740</w:t>
            </w:r>
          </w:p>
        </w:tc>
        <w:tc>
          <w:tcPr>
            <w:tcW w:w="100" w:type="dxa"/>
            <w:vAlign w:val="bottom"/>
            <w:shd w:val="clear" w:color="auto" w:fill="CCEEFF"/>
          </w:tcPr>
          <w:p>
            <w:pPr>
              <w:spacing w:after="0"/>
              <w:rPr>
                <w:sz w:val="21"/>
                <w:szCs w:val="21"/>
                <w:color w:val="auto"/>
              </w:rPr>
            </w:pP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22,722</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58"/>
        </w:trPr>
        <w:tc>
          <w:tcPr>
            <w:tcW w:w="900" w:type="dxa"/>
            <w:vAlign w:val="bottom"/>
          </w:tcPr>
          <w:p>
            <w:pPr>
              <w:spacing w:after="0"/>
              <w:rPr>
                <w:sz w:val="24"/>
                <w:szCs w:val="24"/>
                <w:color w:val="auto"/>
              </w:rPr>
            </w:pPr>
          </w:p>
        </w:tc>
        <w:tc>
          <w:tcPr>
            <w:tcW w:w="2820" w:type="dxa"/>
            <w:vAlign w:val="bottom"/>
            <w:tcBorders>
              <w:top w:val="single" w:sz="8" w:color="CCEEFF"/>
            </w:tcBorders>
          </w:tcPr>
          <w:p>
            <w:pPr>
              <w:spacing w:after="0"/>
              <w:rPr>
                <w:sz w:val="24"/>
                <w:szCs w:val="24"/>
                <w:color w:val="auto"/>
              </w:rPr>
            </w:pPr>
          </w:p>
        </w:tc>
        <w:tc>
          <w:tcPr>
            <w:tcW w:w="2340" w:type="dxa"/>
            <w:vAlign w:val="bottom"/>
            <w:tcBorders>
              <w:top w:val="single" w:sz="8" w:color="CCEEFF"/>
            </w:tcBorders>
          </w:tcPr>
          <w:p>
            <w:pPr>
              <w:jc w:val="right"/>
              <w:ind w:right="1415"/>
              <w:spacing w:after="0"/>
              <w:rPr>
                <w:sz w:val="20"/>
                <w:szCs w:val="20"/>
                <w:color w:val="auto"/>
              </w:rPr>
            </w:pPr>
            <w:r>
              <w:rPr>
                <w:rFonts w:ascii="Arial" w:cs="Arial" w:eastAsia="Arial" w:hAnsi="Arial"/>
                <w:sz w:val="18"/>
                <w:szCs w:val="18"/>
                <w:color w:val="auto"/>
              </w:rPr>
              <w:t>13</w:t>
            </w: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9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ind w:left="1540" w:right="1580"/>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LEASES</w:t>
      </w:r>
    </w:p>
    <w:p>
      <w:pPr>
        <w:spacing w:after="0" w:line="189"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The Company currently has 13 operating leases, eight of which are for the Company’s Heritage Housing and Tiny Homes retail locations, three which are subleased by the Company and two of which are for corporate and administrative offices in Bedford, TX and Norcross, GA. These leases typically have initial terms ranging from 5 to 10 years and include one or more options to renew.</w:t>
      </w:r>
    </w:p>
    <w:p>
      <w:pPr>
        <w:spacing w:after="0" w:line="160" w:lineRule="exact"/>
        <w:rPr>
          <w:sz w:val="20"/>
          <w:szCs w:val="20"/>
          <w:color w:val="auto"/>
        </w:rPr>
      </w:pPr>
    </w:p>
    <w:p>
      <w:pPr>
        <w:ind w:left="60" w:right="159" w:firstLine="648"/>
        <w:spacing w:after="0" w:line="257" w:lineRule="auto"/>
        <w:rPr>
          <w:sz w:val="20"/>
          <w:szCs w:val="20"/>
          <w:color w:val="auto"/>
        </w:rPr>
      </w:pPr>
      <w:r>
        <w:rPr>
          <w:rFonts w:ascii="Arial" w:cs="Arial" w:eastAsia="Arial" w:hAnsi="Arial"/>
          <w:sz w:val="18"/>
          <w:szCs w:val="18"/>
          <w:color w:val="auto"/>
        </w:rPr>
        <w:t>We determine if an arrangement is a lease at inception. Operating leases are right-of-use (“ROU”) assets and are shown as ROU assets – operating leases on our condensed balance sheet. The lease liabilities are shown as operating lease obligations and operating lease obligations, less current portion on our condensed balance sheet. ROU assets represent our right to use an underlying asset for the lease term and lease liabilities represent our obligation to make lease payments arising from the lease.</w:t>
      </w:r>
    </w:p>
    <w:p>
      <w:pPr>
        <w:spacing w:after="0" w:line="147" w:lineRule="exact"/>
        <w:rPr>
          <w:sz w:val="20"/>
          <w:szCs w:val="20"/>
          <w:color w:val="auto"/>
        </w:rPr>
      </w:pPr>
    </w:p>
    <w:p>
      <w:pPr>
        <w:ind w:left="60" w:right="119" w:firstLine="648"/>
        <w:spacing w:after="0" w:line="291" w:lineRule="auto"/>
        <w:rPr>
          <w:sz w:val="20"/>
          <w:szCs w:val="20"/>
          <w:color w:val="auto"/>
        </w:rPr>
      </w:pPr>
      <w:r>
        <w:rPr>
          <w:rFonts w:ascii="Arial" w:cs="Arial" w:eastAsia="Arial" w:hAnsi="Arial"/>
          <w:sz w:val="16"/>
          <w:szCs w:val="16"/>
          <w:color w:val="auto"/>
        </w:rPr>
        <w:t>ROU assets and liabilities are recognized at the lease commencement date based on the estimated present value of lease payments over the lease term. We have elected the practical expedient to not separate lease and non-lease components. Therefore, lease payments included in the measurement of the lease liability include all fixed payments under the lease agreement. We record a ROU asset for an amount equal to the lease liability, increased for any prepaid lease costs and initial direct costs and reduced by any lease incentives. We remeasure the lease liability and ROU asset when a change to our future minimum lease payments occurs. Key assumptions and judgments included in the determination of the lease liability include the discount rate used in the present value calculation and the exercise of renewal options.</w:t>
      </w:r>
    </w:p>
    <w:p>
      <w:pPr>
        <w:spacing w:after="0" w:line="126" w:lineRule="exact"/>
        <w:rPr>
          <w:sz w:val="20"/>
          <w:szCs w:val="20"/>
          <w:color w:val="auto"/>
        </w:rPr>
      </w:pPr>
    </w:p>
    <w:p>
      <w:pPr>
        <w:ind w:left="60" w:right="399" w:firstLine="648"/>
        <w:spacing w:after="0" w:line="259" w:lineRule="auto"/>
        <w:rPr>
          <w:sz w:val="20"/>
          <w:szCs w:val="20"/>
          <w:color w:val="auto"/>
        </w:rPr>
      </w:pPr>
      <w:r>
        <w:rPr>
          <w:rFonts w:ascii="Arial" w:cs="Arial" w:eastAsia="Arial" w:hAnsi="Arial"/>
          <w:sz w:val="18"/>
          <w:szCs w:val="18"/>
          <w:color w:val="auto"/>
        </w:rPr>
        <w:t>Many of our leases contain renewal options. As the exercise of the renewal options is not certain at commencement of a lease, we generally do not include the option periods in the lease term when determining the lease liabilities and ROU assets. We remeasure the lease liability and ROU asset when we are reasonably certain that we will exercise a renewal option.</w:t>
      </w:r>
    </w:p>
    <w:p>
      <w:pPr>
        <w:spacing w:after="0" w:line="160" w:lineRule="exact"/>
        <w:rPr>
          <w:sz w:val="20"/>
          <w:szCs w:val="20"/>
          <w:color w:val="auto"/>
        </w:rPr>
      </w:pPr>
    </w:p>
    <w:p>
      <w:pPr>
        <w:ind w:left="60" w:right="159" w:firstLine="648"/>
        <w:spacing w:after="0" w:line="257" w:lineRule="auto"/>
        <w:rPr>
          <w:sz w:val="20"/>
          <w:szCs w:val="20"/>
          <w:color w:val="auto"/>
        </w:rPr>
      </w:pPr>
      <w:r>
        <w:rPr>
          <w:rFonts w:ascii="Arial" w:cs="Arial" w:eastAsia="Arial" w:hAnsi="Arial"/>
          <w:sz w:val="18"/>
          <w:szCs w:val="18"/>
          <w:color w:val="auto"/>
        </w:rPr>
        <w:t>Our leases do not provide information about the rate implicit in the lease. Therefore, we utilize an incremental borrowing rate to calculate the present value of our future lease obligations. The incremental borrowing rate represents the rate of interest we would otherwise pay on a collateralized borrowing, for an amount equal to the lease payments, over a similar term and in a similar economic environment. The remaining weighted-average lease term is 4.19 years and the weighted-average discount rate is 2.10%.</w:t>
      </w:r>
    </w:p>
    <w:p>
      <w:pPr>
        <w:spacing w:after="0" w:line="147" w:lineRule="exact"/>
        <w:rPr>
          <w:sz w:val="20"/>
          <w:szCs w:val="20"/>
          <w:color w:val="auto"/>
        </w:rPr>
      </w:pPr>
    </w:p>
    <w:p>
      <w:pPr>
        <w:ind w:left="60" w:right="279" w:firstLine="648"/>
        <w:spacing w:after="0" w:line="311" w:lineRule="auto"/>
        <w:rPr>
          <w:sz w:val="20"/>
          <w:szCs w:val="20"/>
          <w:color w:val="auto"/>
        </w:rPr>
      </w:pPr>
      <w:r>
        <w:rPr>
          <w:rFonts w:ascii="Arial" w:cs="Arial" w:eastAsia="Arial" w:hAnsi="Arial"/>
          <w:sz w:val="16"/>
          <w:szCs w:val="16"/>
          <w:color w:val="auto"/>
        </w:rPr>
        <w:t>We consider lease payments that cannot be predicted with reasonable certainty upon lease commencement to be variable lease payments, which are recorded as incurred each period and are excluded from our calculation of lease liabilities. There were no variable lease costs for the three and six months ended June 30, 2023 and 2022.</w:t>
      </w:r>
    </w:p>
    <w:p>
      <w:pPr>
        <w:spacing w:after="0" w:line="108" w:lineRule="exact"/>
        <w:rPr>
          <w:sz w:val="20"/>
          <w:szCs w:val="20"/>
          <w:color w:val="auto"/>
        </w:rPr>
      </w:pPr>
    </w:p>
    <w:p>
      <w:pPr>
        <w:ind w:left="60" w:right="219" w:firstLine="648"/>
        <w:spacing w:after="0" w:line="342" w:lineRule="auto"/>
        <w:rPr>
          <w:sz w:val="20"/>
          <w:szCs w:val="20"/>
          <w:color w:val="auto"/>
        </w:rPr>
      </w:pPr>
      <w:r>
        <w:rPr>
          <w:rFonts w:ascii="Arial" w:cs="Arial" w:eastAsia="Arial" w:hAnsi="Arial"/>
          <w:sz w:val="16"/>
          <w:szCs w:val="16"/>
          <w:color w:val="auto"/>
        </w:rPr>
        <w:t>Short-term leases, defined as those with a term of 12 months or less, are not recorded on our Condensed Balance Sheet. Our short-term lease costs were not material for the three and six months ended June 30, 2023 and 2022.</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ind w:left="40" w:right="59"/>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As of June 30, 2023, future minimum lease payments under our operating lease liabilities were as follows:</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900" w:type="dxa"/>
            <w:vAlign w:val="bottom"/>
          </w:tcPr>
          <w:p>
            <w:pPr>
              <w:ind w:left="20"/>
              <w:spacing w:after="0"/>
              <w:rPr>
                <w:sz w:val="20"/>
                <w:szCs w:val="20"/>
                <w:color w:val="auto"/>
              </w:rPr>
            </w:pPr>
            <w:r>
              <w:rPr>
                <w:rFonts w:ascii="Arial" w:cs="Arial" w:eastAsia="Arial" w:hAnsi="Arial"/>
                <w:sz w:val="18"/>
                <w:szCs w:val="18"/>
                <w:color w:val="auto"/>
              </w:rPr>
              <w:t>2024</w:t>
            </w:r>
          </w:p>
        </w:tc>
        <w:tc>
          <w:tcPr>
            <w:tcW w:w="5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900" w:type="dxa"/>
            <w:vAlign w:val="bottom"/>
          </w:tcPr>
          <w:p>
            <w:pPr>
              <w:ind w:left="20"/>
              <w:spacing w:after="0"/>
              <w:rPr>
                <w:sz w:val="20"/>
                <w:szCs w:val="20"/>
                <w:color w:val="auto"/>
              </w:rPr>
            </w:pPr>
            <w:r>
              <w:rPr>
                <w:rFonts w:ascii="Arial" w:cs="Arial" w:eastAsia="Arial" w:hAnsi="Arial"/>
                <w:sz w:val="18"/>
                <w:szCs w:val="18"/>
                <w:color w:val="auto"/>
              </w:rPr>
              <w:t>2026</w:t>
            </w:r>
          </w:p>
        </w:tc>
        <w:tc>
          <w:tcPr>
            <w:tcW w:w="5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5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9"/>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0" w:type="dxa"/>
            <w:vAlign w:val="bottom"/>
          </w:tcPr>
          <w:p>
            <w:pPr>
              <w:spacing w:after="0"/>
              <w:rPr>
                <w:sz w:val="1"/>
                <w:szCs w:val="1"/>
                <w:color w:val="auto"/>
              </w:rPr>
            </w:pPr>
          </w:p>
        </w:tc>
      </w:tr>
      <w:tr>
        <w:trPr>
          <w:trHeight w:val="216"/>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Less amount representing interest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0"/>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lease liability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0" w:type="dxa"/>
            <w:vAlign w:val="bottom"/>
          </w:tcPr>
          <w:p>
            <w:pPr>
              <w:spacing w:after="0"/>
              <w:rPr>
                <w:sz w:val="1"/>
                <w:szCs w:val="1"/>
                <w:color w:val="auto"/>
              </w:rPr>
            </w:pPr>
          </w:p>
        </w:tc>
      </w:tr>
      <w:tr>
        <w:trPr>
          <w:trHeight w:val="216"/>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Less current lease liability</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49"/>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non-current lease liability</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615"/>
        </w:trPr>
        <w:tc>
          <w:tcPr>
            <w:tcW w:w="606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color w:val="auto"/>
              </w:rPr>
              <w:t>6</w:t>
            </w:r>
            <w:r>
              <w:rPr>
                <w:rFonts w:ascii="Arial" w:cs="Arial" w:eastAsia="Arial" w:hAnsi="Arial"/>
                <w:sz w:val="18"/>
                <w:szCs w:val="18"/>
                <w:b w:val="1"/>
                <w:bCs w:val="1"/>
                <w:color w:val="auto"/>
              </w:rPr>
              <w:t>. INVENTORIES</w:t>
            </w:r>
          </w:p>
        </w:tc>
        <w:tc>
          <w:tcPr>
            <w:tcW w:w="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060" w:type="dxa"/>
            <w:vAlign w:val="bottom"/>
            <w:gridSpan w:val="2"/>
          </w:tcPr>
          <w:p>
            <w:pPr>
              <w:ind w:left="660"/>
              <w:spacing w:after="0"/>
              <w:rPr>
                <w:sz w:val="20"/>
                <w:szCs w:val="20"/>
                <w:color w:val="auto"/>
              </w:rPr>
            </w:pPr>
            <w:r>
              <w:rPr>
                <w:rFonts w:ascii="Arial" w:cs="Arial" w:eastAsia="Arial" w:hAnsi="Arial"/>
                <w:sz w:val="18"/>
                <w:szCs w:val="18"/>
                <w:color w:val="auto"/>
              </w:rPr>
              <w:t>Inventories consists of the following:</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90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0"/>
              </w:rPr>
              <w:t>As of June 30,</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As of</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5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2022</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17,442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Work in progress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592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 net of allowance (1)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21,028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40,827</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39,062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040" w:right="299" w:hanging="315"/>
        <w:spacing w:after="0" w:line="277" w:lineRule="auto"/>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Finished goods includes $7,091 and $6,987 as of June 30, 2023 and December 31, 2022, respectively, held for more than twelve months and classified as long-term.</w:t>
      </w:r>
    </w:p>
    <w:p>
      <w:pPr>
        <w:spacing w:after="0" w:line="287" w:lineRule="exact"/>
        <w:rPr>
          <w:rFonts w:ascii="Arial" w:cs="Arial" w:eastAsia="Arial" w:hAnsi="Arial"/>
          <w:sz w:val="18"/>
          <w:szCs w:val="18"/>
          <w:color w:val="auto"/>
        </w:rPr>
      </w:pPr>
    </w:p>
    <w:p>
      <w:pPr>
        <w:ind w:left="240" w:hanging="190"/>
        <w:spacing w:after="0"/>
        <w:tabs>
          <w:tab w:leader="none" w:pos="2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Property, plant and equipment consists of the following:</w:t>
      </w:r>
    </w:p>
    <w:p>
      <w:pPr>
        <w:spacing w:after="0" w:line="191"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9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As of June 30,</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14"/>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5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14,953</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18,297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16,949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5,918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5,750</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41,045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39,508</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(9,933)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(9,402)</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20"/>
                <w:szCs w:val="20"/>
                <w:color w:val="auto"/>
              </w:rPr>
            </w:pPr>
            <w:r>
              <w:rPr>
                <w:rFonts w:ascii="Arial" w:cs="Arial" w:eastAsia="Arial" w:hAnsi="Arial"/>
                <w:sz w:val="18"/>
                <w:szCs w:val="18"/>
                <w:color w:val="auto"/>
              </w:rPr>
              <w:t>Total property, plant and equipment</w:t>
            </w: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31,112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30,106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Depreciation expense was $269 with $124 included as a component of cost of product sales for the three months ended June 30, 2023, and $286 with $127 included as a component of cost of product sales for the three months ended June 30, 2022. Depreciation expense was $540 with $249 included as a component of cost of product sales for the six months ended June 30, 2023, and $563 with $248 included as a component of cost of product sales for the six months ended June 30, 2022.</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ind w:left="40" w:right="59"/>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OTHER ASSETS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Other assets consists of the following:</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jc w:val="right"/>
              <w:ind w:right="36"/>
              <w:spacing w:after="0"/>
              <w:rPr>
                <w:sz w:val="20"/>
                <w:szCs w:val="20"/>
                <w:color w:val="auto"/>
              </w:rPr>
            </w:pPr>
            <w:r>
              <w:rPr>
                <w:rFonts w:ascii="Arial" w:cs="Arial" w:eastAsia="Arial" w:hAnsi="Arial"/>
                <w:sz w:val="14"/>
                <w:szCs w:val="14"/>
                <w:b w:val="1"/>
                <w:bCs w:val="1"/>
                <w:color w:val="auto"/>
                <w:w w:val="90"/>
              </w:rPr>
              <w:t>As of June 30,</w:t>
            </w:r>
          </w:p>
        </w:tc>
        <w:tc>
          <w:tcPr>
            <w:tcW w:w="18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As of December 31,</w:t>
            </w:r>
          </w:p>
        </w:tc>
      </w:tr>
      <w:tr>
        <w:trPr>
          <w:trHeight w:val="201"/>
        </w:trPr>
        <w:tc>
          <w:tcPr>
            <w:tcW w:w="63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r>
      <w:tr>
        <w:trPr>
          <w:trHeight w:val="209"/>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Stadium license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338</w:t>
            </w:r>
          </w:p>
        </w:tc>
      </w:tr>
      <w:tr>
        <w:trPr>
          <w:trHeight w:val="229"/>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Repossessed homes</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w:t>
            </w:r>
          </w:p>
        </w:tc>
      </w:tr>
      <w:tr>
        <w:trPr>
          <w:trHeight w:val="210"/>
        </w:trPr>
        <w:tc>
          <w:tcPr>
            <w:tcW w:w="6380" w:type="dxa"/>
            <w:vAlign w:val="bottom"/>
          </w:tcPr>
          <w:p>
            <w:pPr>
              <w:ind w:left="20"/>
              <w:spacing w:after="0"/>
              <w:rPr>
                <w:sz w:val="20"/>
                <w:szCs w:val="20"/>
                <w:color w:val="auto"/>
              </w:rPr>
            </w:pPr>
            <w:r>
              <w:rPr>
                <w:rFonts w:ascii="Arial" w:cs="Arial" w:eastAsia="Arial" w:hAnsi="Arial"/>
                <w:sz w:val="18"/>
                <w:szCs w:val="18"/>
                <w:color w:val="auto"/>
              </w:rPr>
              <w:t>Total</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1,560</w:t>
            </w:r>
          </w:p>
        </w:tc>
        <w:tc>
          <w:tcPr>
            <w:tcW w:w="480" w:type="dxa"/>
            <w:vAlign w:val="bottom"/>
            <w:gridSpan w:val="2"/>
          </w:tcPr>
          <w:p>
            <w:pPr>
              <w:jc w:val="right"/>
              <w:ind w:right="119"/>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1,482</w:t>
            </w:r>
          </w:p>
        </w:tc>
      </w:tr>
      <w:tr>
        <w:trPr>
          <w:trHeight w:val="20"/>
        </w:trPr>
        <w:tc>
          <w:tcPr>
            <w:tcW w:w="6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9</w:t>
      </w:r>
      <w:r>
        <w:rPr>
          <w:rFonts w:ascii="Arial" w:cs="Arial" w:eastAsia="Arial" w:hAnsi="Arial"/>
          <w:sz w:val="18"/>
          <w:szCs w:val="18"/>
          <w:b w:val="1"/>
          <w:bCs w:val="1"/>
          <w:color w:val="auto"/>
        </w:rPr>
        <w:t>. DEBT SECURITIES</w:t>
      </w:r>
    </w:p>
    <w:p>
      <w:pPr>
        <w:spacing w:after="0" w:line="189" w:lineRule="exact"/>
        <w:rPr>
          <w:sz w:val="20"/>
          <w:szCs w:val="20"/>
          <w:color w:val="auto"/>
        </w:rPr>
      </w:pPr>
    </w:p>
    <w:p>
      <w:pPr>
        <w:ind w:left="60" w:right="59" w:firstLine="648"/>
        <w:spacing w:after="0" w:line="257" w:lineRule="auto"/>
        <w:rPr>
          <w:sz w:val="20"/>
          <w:szCs w:val="20"/>
          <w:color w:val="auto"/>
        </w:rPr>
      </w:pPr>
      <w:r>
        <w:rPr>
          <w:rFonts w:ascii="Arial" w:cs="Arial" w:eastAsia="Arial" w:hAnsi="Arial"/>
          <w:sz w:val="18"/>
          <w:szCs w:val="18"/>
          <w:color w:val="auto"/>
        </w:rPr>
        <w:t>Debt Securities have been classified according to management’s intent. The Company purchased US Treasury Notes in November 2022 that were scheduled to mature in November 2023. The Debt Securities were classified as held-to-maturity and the amortized costs are $8,412 at December 31, 2022. The Debt Securities were sold prior to maturity on June 22, 2023 at a discount of 99.0% and the proceeds were used to pay down the credit line. The Company recognized a gain of $12 when the Debt Securities were sold.</w:t>
      </w: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w:t>
      </w:r>
      <w:r>
        <w:rPr>
          <w:rFonts w:ascii="Arial" w:cs="Arial" w:eastAsia="Arial" w:hAnsi="Arial"/>
          <w:sz w:val="18"/>
          <w:szCs w:val="18"/>
          <w:b w:val="1"/>
          <w:bCs w:val="1"/>
          <w:color w:val="auto"/>
        </w:rPr>
        <w:t>. ACCRUED LIABILITIES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Accrued liabilities consist of the following:</w:t>
      </w:r>
    </w:p>
    <w:p>
      <w:pPr>
        <w:spacing w:after="0" w:line="191"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As of June 30,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13"/>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Warranty reserve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Litigation reserve</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Payroll</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Portfolio taxes and title</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1,781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Property tax</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Dealer rebates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1,292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Sales tax</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Federal and state income taxes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3,923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6,699</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3,613</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20"/>
                <w:szCs w:val="20"/>
                <w:color w:val="auto"/>
              </w:rPr>
            </w:pPr>
            <w:r>
              <w:rPr>
                <w:rFonts w:ascii="Arial" w:cs="Arial" w:eastAsia="Arial" w:hAnsi="Arial"/>
                <w:sz w:val="18"/>
                <w:szCs w:val="18"/>
                <w:color w:val="auto"/>
              </w:rPr>
              <w:t>Total accrued liabilities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15,579</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16,895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11</w:t>
      </w:r>
      <w:r>
        <w:rPr>
          <w:rFonts w:ascii="Arial" w:cs="Arial" w:eastAsia="Arial" w:hAnsi="Arial"/>
          <w:sz w:val="18"/>
          <w:szCs w:val="18"/>
          <w:b w:val="1"/>
          <w:bCs w:val="1"/>
          <w:color w:val="auto"/>
        </w:rPr>
        <w:t>. DEBT</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Lines of Credit</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Revolver 1</w:t>
      </w:r>
    </w:p>
    <w:p>
      <w:pPr>
        <w:spacing w:after="0" w:line="185" w:lineRule="exact"/>
        <w:rPr>
          <w:sz w:val="20"/>
          <w:szCs w:val="20"/>
          <w:color w:val="auto"/>
        </w:rPr>
      </w:pPr>
    </w:p>
    <w:p>
      <w:pPr>
        <w:ind w:left="60" w:right="159" w:firstLine="648"/>
        <w:spacing w:after="0" w:line="308" w:lineRule="auto"/>
        <w:rPr>
          <w:sz w:val="20"/>
          <w:szCs w:val="20"/>
          <w:color w:val="auto"/>
        </w:rPr>
      </w:pPr>
      <w:r>
        <w:rPr>
          <w:rFonts w:ascii="Arial" w:cs="Arial" w:eastAsia="Arial" w:hAnsi="Arial"/>
          <w:sz w:val="17"/>
          <w:szCs w:val="17"/>
          <w:color w:val="auto"/>
        </w:rPr>
        <w:t>On March 30, 2020, the Company entered into an agreement with Capital One, N.A. for a revolving line of credit (“Revolver”). The Revolver had a maximum credit limit of $70,000 and a maturity date of March 30, 2024.</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ind w:left="1520" w:right="1600"/>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3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On June 21, 2022, the Company received a Reservation of Rights notice from Capital One, N.A. (“Capital One”).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letter stated that the Company’s Revolver was in default. The default condition occurred due to the Company’s failure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to timely file the Form 10-K and deliver certain financial statements to Capital One. On July 28, 2022, the Company</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entered into a Limited Waiver and First Amendment to Credit Agreement (the “Amendment”) with Capital One. The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Amendment replaced the LIBOR borrowing rate with a secured overnight financing rate (“SOFR”) and waived a default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arising out of a monetary judgement against the Company that exceeded the amount allowed in the Revolver. On August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24, 2022, the Company received a Notice of Default and Partial Suspension of Loan Commitments from Capital One. The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notice stated that the July 28, 2022 forbearance agreement had been terminated and that Capital One was suspending</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$50,000 of the $70,000 loan commitment under the Revolver. As a result, the available line of credit in the Revolver has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been limited to $20,000. As of June 30, 2023, the Company was in compliance with all non-financial covenants.</w:t>
      </w:r>
    </w:p>
    <w:p>
      <w:pPr>
        <w:spacing w:after="0" w:line="170"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The Revolver accrues interest at one-month SOFR plus 2.00%. The interest rates in effect as of June 30, 2023 and December 31, 2022 are 7.17% and 6.12%, respectively. Amounts available under the Revolver are subject to a formula based on eligible consumer loans and MHP Notes and are secured by all accounts receivable, consumer loans and MHP Notes. The amount of available credit under the Revolver was $15,315 and $17,400 as of June 30, 2023 and December 31, 2022, respectively. In connection with the Revolver, the Company paid certain arrangement fees and other fees of approximately $295, which were capitalized as unamortized debt issuance costs and is being amortized to interest expense over the life of the Revolver.</w:t>
      </w:r>
    </w:p>
    <w:p>
      <w:pPr>
        <w:spacing w:after="0" w:line="168" w:lineRule="exact"/>
        <w:rPr>
          <w:sz w:val="20"/>
          <w:szCs w:val="20"/>
          <w:color w:val="auto"/>
        </w:rPr>
      </w:pPr>
    </w:p>
    <w:p>
      <w:pPr>
        <w:ind w:left="60" w:right="299" w:firstLine="648"/>
        <w:spacing w:after="0" w:line="273" w:lineRule="auto"/>
        <w:rPr>
          <w:sz w:val="20"/>
          <w:szCs w:val="20"/>
          <w:color w:val="auto"/>
        </w:rPr>
      </w:pPr>
      <w:r>
        <w:rPr>
          <w:rFonts w:ascii="Arial" w:cs="Arial" w:eastAsia="Arial" w:hAnsi="Arial"/>
          <w:sz w:val="17"/>
          <w:szCs w:val="17"/>
          <w:color w:val="auto"/>
        </w:rPr>
        <w:t>For the three months ended June 30, 2023 and 2022, interest expense under the Revolver was $195 and $182, respectively. For the six months ended June 30, 2023 and 2022, interest expense under the Revolver was $286 and $239, respectively. The outstanding balance as of June 30, 2023 and December 31, 2022 was $4,685 and $2,545, respectively. The Revolver requires the Company to comply with certain financial and non-financial covenants. As of June 30, 2023, the Company was in compliance with all financial covenants, including that it maintain a tangible net worth of at least $120,000 and that it maintain a ratio of debt to EBITDA of 4 to 1 or less.</w:t>
      </w:r>
    </w:p>
    <w:p>
      <w:pPr>
        <w:spacing w:after="0" w:line="151" w:lineRule="exact"/>
        <w:rPr>
          <w:sz w:val="20"/>
          <w:szCs w:val="20"/>
          <w:color w:val="auto"/>
        </w:rPr>
      </w:pPr>
    </w:p>
    <w:p>
      <w:pPr>
        <w:ind w:left="60" w:right="359" w:firstLine="648"/>
        <w:spacing w:after="0" w:line="277" w:lineRule="auto"/>
        <w:rPr>
          <w:sz w:val="20"/>
          <w:szCs w:val="20"/>
          <w:color w:val="auto"/>
        </w:rPr>
      </w:pPr>
      <w:r>
        <w:rPr>
          <w:rFonts w:ascii="Arial" w:cs="Arial" w:eastAsia="Arial" w:hAnsi="Arial"/>
          <w:sz w:val="18"/>
          <w:szCs w:val="18"/>
          <w:color w:val="auto"/>
        </w:rPr>
        <w:t>On July 28, 2023, the Company entered into a new Credit Agreement with Prosperity Bank and terminated the Revolver with Capital One. See Note 18 – Subsequent Events.</w:t>
      </w:r>
    </w:p>
    <w:p>
      <w:pPr>
        <w:spacing w:after="0" w:line="200" w:lineRule="exact"/>
        <w:rPr>
          <w:sz w:val="20"/>
          <w:szCs w:val="20"/>
          <w:color w:val="auto"/>
        </w:rPr>
      </w:pPr>
    </w:p>
    <w:p>
      <w:pPr>
        <w:spacing w:after="0" w:line="33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SHARE-BASED COMPENSATION</w:t>
      </w:r>
    </w:p>
    <w:p>
      <w:pPr>
        <w:spacing w:after="0" w:line="189"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Pursuant to the Legacy Housing Corporation 2018 Incentive Compensation Plan (the “Compensation Plan”), the Company may issue up to 10.0 million equity awards to employees, directors, consultants and nonemployee service providers in the form of stock options, stock and stock appreciation rights. Stock options may be granted with a contractual life of up to ten years. At June 30, 2023, the Company had 9.7 million shares available for grant under the Compensation Plan.</w:t>
      </w:r>
    </w:p>
    <w:p>
      <w:pPr>
        <w:spacing w:after="0" w:line="147" w:lineRule="exact"/>
        <w:rPr>
          <w:sz w:val="20"/>
          <w:szCs w:val="20"/>
          <w:color w:val="auto"/>
        </w:rPr>
      </w:pPr>
    </w:p>
    <w:p>
      <w:pPr>
        <w:ind w:left="60" w:right="259" w:firstLine="648"/>
        <w:spacing w:after="0" w:line="301" w:lineRule="auto"/>
        <w:rPr>
          <w:sz w:val="20"/>
          <w:szCs w:val="20"/>
          <w:color w:val="auto"/>
        </w:rPr>
      </w:pPr>
      <w:r>
        <w:rPr>
          <w:rFonts w:ascii="Arial" w:cs="Arial" w:eastAsia="Arial" w:hAnsi="Arial"/>
          <w:sz w:val="16"/>
          <w:szCs w:val="16"/>
          <w:color w:val="auto"/>
        </w:rPr>
        <w:t>In February 2019, the Company granted 120,000 restricted shares of its common stock to members of senior management. The shares were granted on February 7, 2019 and had a grant date fair value of $1,636. The shares vest at a rate of 14.3% annually, beginning on February 7, 2019, and become fully vested on February 7, 2025. During the second quarter of 2020, 42,857 of these restricted shares were forfeited due to the departure of a member of senior management.</w:t>
      </w:r>
    </w:p>
    <w:p>
      <w:pPr>
        <w:spacing w:after="0" w:line="130"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In November 2021, the Company granted 1,202 restricted shares of its common stock to the independent directors on the Company’s Board of Directors. The shares were granted on November 30, 2021 and had a grant date fair value of $30. The shares became fully vested on October 24, 2022.</w:t>
      </w:r>
    </w:p>
    <w:p>
      <w:pPr>
        <w:spacing w:after="0" w:line="143" w:lineRule="exact"/>
        <w:rPr>
          <w:sz w:val="20"/>
          <w:szCs w:val="20"/>
          <w:color w:val="auto"/>
        </w:rPr>
      </w:pPr>
    </w:p>
    <w:p>
      <w:pPr>
        <w:jc w:val="both"/>
        <w:ind w:left="60" w:right="139" w:firstLine="648"/>
        <w:spacing w:after="0" w:line="286" w:lineRule="auto"/>
        <w:rPr>
          <w:sz w:val="20"/>
          <w:szCs w:val="20"/>
          <w:color w:val="auto"/>
        </w:rPr>
      </w:pPr>
      <w:r>
        <w:rPr>
          <w:rFonts w:ascii="Arial" w:cs="Arial" w:eastAsia="Arial" w:hAnsi="Arial"/>
          <w:sz w:val="17"/>
          <w:szCs w:val="17"/>
          <w:color w:val="auto"/>
        </w:rPr>
        <w:t>In January 2022, the Company granted 150,000 restricted shares of its common stock to the Executive Chairman of the Company pursuant to an amended and restated employment agreement. The shares were granted on January 6, 2022 and had a grant date fair value of $3,741. The shares became fully vested upon grant.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ind w:left="1520" w:right="1600"/>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30" w:lineRule="exact"/>
        <w:rPr>
          <w:sz w:val="20"/>
          <w:szCs w:val="20"/>
          <w:color w:val="auto"/>
        </w:rPr>
      </w:pPr>
    </w:p>
    <w:p>
      <w:pPr>
        <w:jc w:val="both"/>
        <w:ind w:left="100" w:right="339" w:firstLine="583"/>
        <w:spacing w:after="0" w:line="281" w:lineRule="auto"/>
        <w:rPr>
          <w:sz w:val="20"/>
          <w:szCs w:val="20"/>
          <w:color w:val="auto"/>
        </w:rPr>
      </w:pPr>
      <w:r>
        <w:rPr>
          <w:rFonts w:ascii="Arial" w:cs="Arial" w:eastAsia="Arial" w:hAnsi="Arial"/>
          <w:sz w:val="17"/>
          <w:szCs w:val="17"/>
          <w:color w:val="auto"/>
        </w:rPr>
        <w:t>On January 6, 2022, the Company gave contingent equity awards of 350,000 shares of the Company’s restricted stock to the Executive Chairman of the Company pursuant to an amended and restated employment agreement. An equity award of 175,000 shares will be granted if the Company’s stock price closes at $36 per share for a period of fifteen consecutive market days (the “$36 Equity Award”). The $36 Equity Awards had a grant date fair value of $1,412. Fifty percent of the shares shall be vested at grant and fifty percent shall vest on June 16, 2024, so long as the Executive Chairman is employed by the Company on that date. An additional equity award of 175,000 shares of the Company’s restricted stock will be granted if the Company’s stock price closes at $48 per share for a period of fifteen consecutive market days (the “$48 Equity Award”). The $48 Equity Awards had a grant date fair value of $683. Fifty percent of the shares shall be vested at grant and fifty percent shall vest on June 16, 2024, so long as the Executive Chairman is employed by the Company on that date.</w:t>
      </w:r>
    </w:p>
    <w:p>
      <w:pPr>
        <w:spacing w:after="0" w:line="182" w:lineRule="exact"/>
        <w:rPr>
          <w:sz w:val="20"/>
          <w:szCs w:val="20"/>
          <w:color w:val="auto"/>
        </w:rPr>
      </w:pPr>
    </w:p>
    <w:p>
      <w:pPr>
        <w:jc w:val="both"/>
        <w:ind w:left="100" w:right="339" w:firstLine="583"/>
        <w:spacing w:after="0" w:line="265" w:lineRule="auto"/>
        <w:rPr>
          <w:sz w:val="20"/>
          <w:szCs w:val="20"/>
          <w:color w:val="auto"/>
        </w:rPr>
      </w:pPr>
      <w:r>
        <w:rPr>
          <w:rFonts w:ascii="Arial" w:cs="Arial" w:eastAsia="Arial" w:hAnsi="Arial"/>
          <w:sz w:val="18"/>
          <w:szCs w:val="18"/>
          <w:color w:val="auto"/>
        </w:rPr>
        <w:t>On November 15, 2022, the Company entered into a rescission and relinquishment agreement (the “Rescission Agreement”) with the Executive Chairman. The Rescission Agreement allows the Executive Chairman to rescind and relinquish the $36 Equity Awards and the $48 Equity Awards granted under the amended and restated employment agreement and allows the Company to accept such rescission and relinquishment without penalty. The effective date of the Rescission Agreement was October 1, 2022.</w:t>
      </w:r>
    </w:p>
    <w:p>
      <w:pPr>
        <w:spacing w:after="0" w:line="194" w:lineRule="exact"/>
        <w:rPr>
          <w:sz w:val="20"/>
          <w:szCs w:val="20"/>
          <w:color w:val="auto"/>
        </w:rPr>
      </w:pPr>
    </w:p>
    <w:p>
      <w:pPr>
        <w:ind w:left="60" w:right="279" w:firstLine="648"/>
        <w:spacing w:after="0" w:line="311" w:lineRule="auto"/>
        <w:rPr>
          <w:sz w:val="20"/>
          <w:szCs w:val="20"/>
          <w:color w:val="auto"/>
        </w:rPr>
      </w:pPr>
      <w:r>
        <w:rPr>
          <w:rFonts w:ascii="Arial" w:cs="Arial" w:eastAsia="Arial" w:hAnsi="Arial"/>
          <w:sz w:val="16"/>
          <w:szCs w:val="16"/>
          <w:color w:val="auto"/>
        </w:rPr>
        <w:t>On June 7, 2022, the Company granted 14,700 restricted shares of its common stock to the Chief Executive Officer of the Company pursuant to an employment agreement. The shares were granted on June 7, 2022 and had a grant date fair value of $235. One-half of the shares vested on June 7, 2023 and the remaining half vest on June 7, 2024.</w:t>
      </w:r>
    </w:p>
    <w:p>
      <w:pPr>
        <w:spacing w:after="0" w:line="108" w:lineRule="exact"/>
        <w:rPr>
          <w:sz w:val="20"/>
          <w:szCs w:val="20"/>
          <w:color w:val="auto"/>
        </w:rPr>
      </w:pPr>
    </w:p>
    <w:p>
      <w:pPr>
        <w:ind w:left="60" w:right="319" w:firstLine="648"/>
        <w:spacing w:after="0" w:line="263" w:lineRule="auto"/>
        <w:rPr>
          <w:sz w:val="20"/>
          <w:szCs w:val="20"/>
          <w:color w:val="auto"/>
        </w:rPr>
      </w:pPr>
      <w:r>
        <w:rPr>
          <w:rFonts w:ascii="Arial" w:cs="Arial" w:eastAsia="Arial" w:hAnsi="Arial"/>
          <w:sz w:val="18"/>
          <w:szCs w:val="18"/>
          <w:color w:val="auto"/>
        </w:rPr>
        <w:t>On June 7, 2022, the Company granted 301 restricted shares of its common stock to an independent director on the Company’s Board of Directors. The shares were granted on June 7, 2022 and had a grant date fair value of $5. The shares became fully vested on October 24, 2022.</w:t>
      </w:r>
    </w:p>
    <w:p>
      <w:pPr>
        <w:spacing w:after="0" w:line="157"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In November 2022, the Company granted 1,734 restricted shares of its common stock to the independent directors on the Company’s Board of Directors. The shares were granted on November 29, 2022 and had a grant date fair value of $30. The shares become fully vested on October 23, 2023.</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is a summary of restricted stock units (the “RSU”) activity (in thousands, except per unit data):</w:t>
      </w:r>
    </w:p>
    <w:p>
      <w:pPr>
        <w:spacing w:after="0" w:line="224" w:lineRule="exact"/>
        <w:rPr>
          <w:sz w:val="20"/>
          <w:szCs w:val="20"/>
          <w:color w:val="auto"/>
        </w:rPr>
      </w:pPr>
    </w:p>
    <w:tbl>
      <w:tblPr>
        <w:tblLayout w:type="fixed"/>
        <w:tblInd w:w="50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6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6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8"/>
              </w:rPr>
              <w:t>Grant</w:t>
            </w:r>
          </w:p>
        </w:tc>
      </w:tr>
      <w:tr>
        <w:trPr>
          <w:trHeight w:val="203"/>
        </w:trPr>
        <w:tc>
          <w:tcPr>
            <w:tcW w:w="6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6"/>
              </w:rPr>
              <w:t>Date Fair</w:t>
            </w:r>
          </w:p>
        </w:tc>
      </w:tr>
      <w:tr>
        <w:trPr>
          <w:trHeight w:val="203"/>
        </w:trPr>
        <w:tc>
          <w:tcPr>
            <w:tcW w:w="6400" w:type="dxa"/>
            <w:vAlign w:val="bottom"/>
          </w:tcPr>
          <w:p>
            <w:pPr>
              <w:spacing w:after="0"/>
              <w:rPr>
                <w:sz w:val="17"/>
                <w:szCs w:val="17"/>
                <w:color w:val="auto"/>
              </w:rPr>
            </w:pPr>
          </w:p>
        </w:tc>
        <w:tc>
          <w:tcPr>
            <w:tcW w:w="720" w:type="dxa"/>
            <w:vAlign w:val="bottom"/>
            <w:gridSpan w:val="2"/>
          </w:tcPr>
          <w:p>
            <w:pPr>
              <w:ind w:left="20"/>
              <w:spacing w:after="0"/>
              <w:rPr>
                <w:sz w:val="20"/>
                <w:szCs w:val="20"/>
                <w:color w:val="auto"/>
              </w:rPr>
            </w:pPr>
            <w:r>
              <w:rPr>
                <w:rFonts w:ascii="Arial" w:cs="Arial" w:eastAsia="Arial" w:hAnsi="Arial"/>
                <w:sz w:val="16"/>
                <w:szCs w:val="16"/>
                <w:b w:val="1"/>
                <w:bCs w:val="1"/>
                <w:color w:val="auto"/>
              </w:rPr>
              <w:t>Number</w:t>
            </w:r>
          </w:p>
        </w:tc>
        <w:tc>
          <w:tcPr>
            <w:tcW w:w="200" w:type="dxa"/>
            <w:vAlign w:val="bottom"/>
          </w:tcPr>
          <w:p>
            <w:pPr>
              <w:spacing w:after="0"/>
              <w:rPr>
                <w:sz w:val="17"/>
                <w:szCs w:val="17"/>
                <w:color w:val="auto"/>
              </w:rPr>
            </w:pPr>
          </w:p>
        </w:tc>
        <w:tc>
          <w:tcPr>
            <w:tcW w:w="7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Value Per</w:t>
            </w:r>
          </w:p>
        </w:tc>
      </w:tr>
      <w:tr>
        <w:trPr>
          <w:trHeight w:val="213"/>
        </w:trPr>
        <w:tc>
          <w:tcPr>
            <w:tcW w:w="6400" w:type="dxa"/>
            <w:vAlign w:val="bottom"/>
          </w:tcPr>
          <w:p>
            <w:pPr>
              <w:spacing w:after="0"/>
              <w:rPr>
                <w:sz w:val="18"/>
                <w:szCs w:val="18"/>
                <w:color w:val="auto"/>
              </w:rPr>
            </w:pPr>
          </w:p>
        </w:tc>
        <w:tc>
          <w:tcPr>
            <w:tcW w:w="720" w:type="dxa"/>
            <w:vAlign w:val="bottom"/>
            <w:gridSpan w:val="2"/>
          </w:tcPr>
          <w:p>
            <w:pPr>
              <w:ind w:left="40"/>
              <w:spacing w:after="0"/>
              <w:rPr>
                <w:sz w:val="20"/>
                <w:szCs w:val="20"/>
                <w:color w:val="auto"/>
              </w:rPr>
            </w:pPr>
            <w:r>
              <w:rPr>
                <w:rFonts w:ascii="Arial" w:cs="Arial" w:eastAsia="Arial" w:hAnsi="Arial"/>
                <w:sz w:val="16"/>
                <w:szCs w:val="16"/>
                <w:b w:val="1"/>
                <w:bCs w:val="1"/>
                <w:color w:val="auto"/>
              </w:rPr>
              <w:t>of Units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6"/>
              </w:rPr>
              <w:t>Unit</w:t>
            </w:r>
          </w:p>
        </w:tc>
      </w:tr>
      <w:tr>
        <w:trPr>
          <w:trHeight w:val="199"/>
        </w:trPr>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Nonvested, January 1, 2023</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14.61</w:t>
            </w:r>
          </w:p>
        </w:tc>
      </w:tr>
      <w:tr>
        <w:trPr>
          <w:trHeight w:val="203"/>
        </w:trPr>
        <w:tc>
          <w:tcPr>
            <w:tcW w:w="6400" w:type="dxa"/>
            <w:vAlign w:val="bottom"/>
          </w:tcPr>
          <w:p>
            <w:pPr>
              <w:spacing w:after="0"/>
              <w:rPr>
                <w:sz w:val="20"/>
                <w:szCs w:val="20"/>
                <w:color w:val="auto"/>
              </w:rPr>
            </w:pPr>
            <w:r>
              <w:rPr>
                <w:rFonts w:ascii="Arial" w:cs="Arial" w:eastAsia="Arial" w:hAnsi="Arial"/>
                <w:sz w:val="16"/>
                <w:szCs w:val="16"/>
                <w:color w:val="auto"/>
              </w:rPr>
              <w:t>Granted</w:t>
            </w: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Vested</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14.73</w:t>
            </w:r>
          </w:p>
        </w:tc>
      </w:tr>
      <w:tr>
        <w:trPr>
          <w:trHeight w:val="203"/>
        </w:trPr>
        <w:tc>
          <w:tcPr>
            <w:tcW w:w="6400" w:type="dxa"/>
            <w:vAlign w:val="bottom"/>
          </w:tcPr>
          <w:p>
            <w:pPr>
              <w:spacing w:after="0"/>
              <w:rPr>
                <w:sz w:val="20"/>
                <w:szCs w:val="20"/>
                <w:color w:val="auto"/>
              </w:rPr>
            </w:pPr>
            <w:r>
              <w:rPr>
                <w:rFonts w:ascii="Arial" w:cs="Arial" w:eastAsia="Arial" w:hAnsi="Arial"/>
                <w:sz w:val="16"/>
                <w:szCs w:val="16"/>
                <w:color w:val="auto"/>
              </w:rPr>
              <w:t>Canceled</w:t>
            </w: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6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Nonvested, June 30, 2023</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14.54</w:t>
            </w:r>
          </w:p>
        </w:tc>
      </w:tr>
      <w:tr>
        <w:trPr>
          <w:trHeight w:val="20"/>
        </w:trPr>
        <w:tc>
          <w:tcPr>
            <w:tcW w:w="64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94" w:lineRule="exact"/>
        <w:rPr>
          <w:sz w:val="20"/>
          <w:szCs w:val="20"/>
          <w:color w:val="auto"/>
        </w:rPr>
      </w:pPr>
    </w:p>
    <w:p>
      <w:pPr>
        <w:ind w:left="60" w:right="299" w:firstLine="648"/>
        <w:spacing w:after="0" w:line="308" w:lineRule="auto"/>
        <w:rPr>
          <w:sz w:val="20"/>
          <w:szCs w:val="20"/>
          <w:color w:val="auto"/>
        </w:rPr>
      </w:pPr>
      <w:r>
        <w:rPr>
          <w:rFonts w:ascii="Arial" w:cs="Arial" w:eastAsia="Arial" w:hAnsi="Arial"/>
          <w:sz w:val="17"/>
          <w:szCs w:val="17"/>
          <w:color w:val="auto"/>
        </w:rPr>
        <w:t>As of June 30, 2023, approximately 26,000 RSUs remained unvested. The unrecognized compensation expense related to these RSUs at June 30, 2023 was $309 and is expected to be recognized over 1.33 years.</w:t>
      </w:r>
    </w:p>
    <w:p>
      <w:pPr>
        <w:spacing w:after="0" w:line="106" w:lineRule="exact"/>
        <w:rPr>
          <w:sz w:val="20"/>
          <w:szCs w:val="20"/>
          <w:color w:val="auto"/>
        </w:rPr>
      </w:pPr>
    </w:p>
    <w:p>
      <w:pPr>
        <w:ind w:left="60" w:right="239" w:firstLine="648"/>
        <w:spacing w:after="0" w:line="296" w:lineRule="auto"/>
        <w:rPr>
          <w:sz w:val="20"/>
          <w:szCs w:val="20"/>
          <w:color w:val="auto"/>
        </w:rPr>
      </w:pPr>
      <w:r>
        <w:rPr>
          <w:rFonts w:ascii="Arial" w:cs="Arial" w:eastAsia="Arial" w:hAnsi="Arial"/>
          <w:sz w:val="16"/>
          <w:szCs w:val="16"/>
          <w:color w:val="auto"/>
        </w:rPr>
        <w:t>The Company granted 34,626 incentive stock options to a member of senior management. The options were granted on August 10, 2020 at an exercise price of $14.44 per share. The options vest at a rate of 20.0% annually, beginning on August 10, 2021, and become fully vested on August 10, 2025. All options expire ten years after the date of grant. Weighted-average assumptions used in the Black-Scholes option pricing model for stock options granted were as follows: risk free interest rate of 0.24%, dividend yield of 0.00%, expected volatility of common stock of 75.0% and</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ind w:left="1520" w:right="1600"/>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30" w:lineRule="exact"/>
        <w:rPr>
          <w:sz w:val="20"/>
          <w:szCs w:val="20"/>
          <w:color w:val="auto"/>
        </w:rPr>
      </w:pPr>
    </w:p>
    <w:p>
      <w:pPr>
        <w:ind w:left="60" w:right="459"/>
        <w:spacing w:after="0" w:line="277" w:lineRule="auto"/>
        <w:rPr>
          <w:sz w:val="20"/>
          <w:szCs w:val="20"/>
          <w:color w:val="auto"/>
        </w:rPr>
      </w:pPr>
      <w:r>
        <w:rPr>
          <w:rFonts w:ascii="Arial" w:cs="Arial" w:eastAsia="Arial" w:hAnsi="Arial"/>
          <w:sz w:val="18"/>
          <w:szCs w:val="18"/>
          <w:color w:val="auto"/>
        </w:rPr>
        <w:t>expected life of options of 6.5 years. During the first quarter of 2022, 27,701 of these options were forfeited due to the individual’s departure.</w:t>
      </w:r>
    </w:p>
    <w:p>
      <w:pPr>
        <w:spacing w:after="0" w:line="130" w:lineRule="exact"/>
        <w:rPr>
          <w:sz w:val="20"/>
          <w:szCs w:val="20"/>
          <w:color w:val="auto"/>
        </w:rPr>
      </w:pPr>
    </w:p>
    <w:p>
      <w:pPr>
        <w:ind w:left="60" w:right="199" w:firstLine="648"/>
        <w:spacing w:after="0" w:line="293" w:lineRule="auto"/>
        <w:rPr>
          <w:sz w:val="20"/>
          <w:szCs w:val="20"/>
          <w:color w:val="auto"/>
        </w:rPr>
      </w:pPr>
      <w:r>
        <w:rPr>
          <w:rFonts w:ascii="Arial" w:cs="Arial" w:eastAsia="Arial" w:hAnsi="Arial"/>
          <w:sz w:val="16"/>
          <w:szCs w:val="16"/>
          <w:color w:val="auto"/>
        </w:rPr>
        <w:t>The Company granted 55,490 incentive stock options to a member of management. The options were granted on September 23, 2021 at an exercise price of $18.02 per share. The options vest at a rate of 10.0% annually, beginning on September 23, 2022, and become fully vested on September 23, 2031. All options expire ten years after the date of grant. Weighted-average assumptions used in the Black-Scholes option pricing model for stock options granted were as follows: risk free interest rate of 1.41%, dividend yield of 0.00%, expected volatility of common stock of 75.0% and expected life of options of 7.8 years. During the fourth quarter of 2022, these options were forfeited due to the individual’s departure.</w:t>
      </w:r>
    </w:p>
    <w:p>
      <w:pPr>
        <w:spacing w:after="0" w:line="137"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The Company granted 62,460 incentive stock options to the Chief Executive Officer. The options were granted on June 7, 2022 at an exercise price of $16.01 per share. The options vest at a rate of 10.0% annually, beginning on June 7, 2023, and become fully vested on June 7, 2032. All options expire ten years after the date of grant. Weighted-average assumptions used in the Black-Scholes option pricing model for stock options granted were as follows: risk free interest rate of 2.98%, dividend yield of 0.00%, expected volatility of common stock of 45.7% and expected life of options of 7.8 years.</w:t>
      </w:r>
    </w:p>
    <w:p>
      <w:pPr>
        <w:spacing w:after="0" w:line="152" w:lineRule="exact"/>
        <w:rPr>
          <w:sz w:val="20"/>
          <w:szCs w:val="20"/>
          <w:color w:val="auto"/>
        </w:rPr>
      </w:pPr>
    </w:p>
    <w:p>
      <w:pPr>
        <w:ind w:left="60" w:right="99" w:firstLine="648"/>
        <w:spacing w:after="0" w:line="291" w:lineRule="auto"/>
        <w:rPr>
          <w:sz w:val="20"/>
          <w:szCs w:val="20"/>
          <w:color w:val="auto"/>
        </w:rPr>
      </w:pPr>
      <w:r>
        <w:rPr>
          <w:rFonts w:ascii="Arial" w:cs="Arial" w:eastAsia="Arial" w:hAnsi="Arial"/>
          <w:sz w:val="16"/>
          <w:szCs w:val="16"/>
          <w:color w:val="auto"/>
        </w:rPr>
        <w:t>The Company granted options to purchase 900,000 shares of the Company’s stock to the Chief Executive Officer. An option to purchase 300,000 shares of the Company’s stock was granted on June 7, 2022 at an exercise price of $36.00 per share and an option to purchase 600,000 shares of the Company’s stock was granted on June 7, 2022 at an exercise price of $48.00 per share. The options vest at a rate of 10.0% annually, beginning on June 7, 2023, and become fully vested on June 7, 2032. All options expire ten years after the date of grant. Weighted-average assumptions used in the Black-Scholes option pricing model for stock options granted were as follows: risk free interest rate of 2.98%, dividend yield of 0.00%, expected volatility of common stock of 45.7% and expected life of options of 7.8 years.</w:t>
      </w:r>
    </w:p>
    <w:p>
      <w:pPr>
        <w:spacing w:after="0" w:line="126" w:lineRule="exact"/>
        <w:rPr>
          <w:sz w:val="20"/>
          <w:szCs w:val="20"/>
          <w:color w:val="auto"/>
        </w:rPr>
      </w:pPr>
    </w:p>
    <w:p>
      <w:pPr>
        <w:ind w:left="60" w:right="159" w:firstLine="648"/>
        <w:spacing w:after="0" w:line="255" w:lineRule="auto"/>
        <w:rPr>
          <w:sz w:val="20"/>
          <w:szCs w:val="20"/>
          <w:color w:val="auto"/>
        </w:rPr>
      </w:pPr>
      <w:r>
        <w:rPr>
          <w:rFonts w:ascii="Arial" w:cs="Arial" w:eastAsia="Arial" w:hAnsi="Arial"/>
          <w:sz w:val="18"/>
          <w:szCs w:val="18"/>
          <w:color w:val="auto"/>
        </w:rPr>
        <w:t>The Company granted 62,460 incentive stock options to the Chief Financial Officer. The options were granted on June 7, 2022 at an exercise price of $16.01 per share. The options vest at a rate of 10.0% annually, beginning on June 7, 2023, and become fully vested on June 7, 2032. All options expire ten years after the date of grant. Weighted-average assumptions used in the Black-Scholes option pricing model for stock options granted were as follows: risk free interest rate of 2.98%, dividend yield of 0.00%, expected volatility of common stock of 45.7% and expected life of options of 7.8 years.</w:t>
      </w:r>
    </w:p>
    <w:p>
      <w:pPr>
        <w:spacing w:after="0" w:line="165" w:lineRule="exact"/>
        <w:rPr>
          <w:sz w:val="20"/>
          <w:szCs w:val="20"/>
          <w:color w:val="auto"/>
        </w:rPr>
      </w:pPr>
    </w:p>
    <w:p>
      <w:pPr>
        <w:ind w:left="60" w:right="179" w:firstLine="648"/>
        <w:spacing w:after="0" w:line="255" w:lineRule="auto"/>
        <w:rPr>
          <w:sz w:val="20"/>
          <w:szCs w:val="20"/>
          <w:color w:val="auto"/>
        </w:rPr>
      </w:pPr>
      <w:r>
        <w:rPr>
          <w:rFonts w:ascii="Arial" w:cs="Arial" w:eastAsia="Arial" w:hAnsi="Arial"/>
          <w:sz w:val="18"/>
          <w:szCs w:val="18"/>
          <w:color w:val="auto"/>
        </w:rPr>
        <w:t>The Company granted 22,104 incentive stock options to a member of management. The options were granted on June 22, 2023 at an exercise price of $22.62 per share. The options vest at a rate of 20.0% annually, beginning on June 22, 2023, and become fully vested on June 22, 2028. All options expire five years after the date of grant. Weighted-average assumptions used in the Black-Scholes option pricing model for stock options granted were as follows: risk free interest rate of 4.03%, dividend yield of 0.00%, expected volatility of common stock of 85.0% and expected life of options of 4.0 years.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ind w:left="40" w:right="59"/>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3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is a summary of option activity (number of units in thousands):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Arial" w:cs="Arial" w:eastAsia="Arial" w:hAnsi="Arial"/>
                <w:sz w:val="16"/>
                <w:szCs w:val="16"/>
                <w:b w:val="1"/>
                <w:bCs w:val="1"/>
                <w:color w:val="auto"/>
                <w:w w:val="91"/>
              </w:rPr>
              <w:t>Weighted</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4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Average</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4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Arial" w:cs="Arial" w:eastAsia="Arial" w:hAnsi="Arial"/>
                <w:sz w:val="16"/>
                <w:szCs w:val="16"/>
                <w:b w:val="1"/>
                <w:bCs w:val="1"/>
                <w:color w:val="auto"/>
                <w:w w:val="88"/>
              </w:rPr>
              <w:t>Weighted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center"/>
              <w:ind w:right="39"/>
              <w:spacing w:after="0"/>
              <w:rPr>
                <w:sz w:val="20"/>
                <w:szCs w:val="20"/>
                <w:color w:val="auto"/>
              </w:rPr>
            </w:pPr>
            <w:r>
              <w:rPr>
                <w:rFonts w:ascii="Arial" w:cs="Arial" w:eastAsia="Arial" w:hAnsi="Arial"/>
                <w:sz w:val="16"/>
                <w:szCs w:val="16"/>
                <w:b w:val="1"/>
                <w:bCs w:val="1"/>
                <w:color w:val="auto"/>
                <w:w w:val="98"/>
              </w:rPr>
              <w:t>Grant</w:t>
            </w:r>
          </w:p>
        </w:tc>
        <w:tc>
          <w:tcPr>
            <w:tcW w:w="14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4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Average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center"/>
              <w:ind w:right="39"/>
              <w:spacing w:after="0"/>
              <w:rPr>
                <w:sz w:val="20"/>
                <w:szCs w:val="20"/>
                <w:color w:val="auto"/>
              </w:rPr>
            </w:pPr>
            <w:r>
              <w:rPr>
                <w:rFonts w:ascii="Arial" w:cs="Arial" w:eastAsia="Arial" w:hAnsi="Arial"/>
                <w:sz w:val="16"/>
                <w:szCs w:val="16"/>
                <w:b w:val="1"/>
                <w:bCs w:val="1"/>
                <w:color w:val="auto"/>
                <w:w w:val="97"/>
              </w:rPr>
              <w:t>Date</w:t>
            </w:r>
          </w:p>
        </w:tc>
        <w:tc>
          <w:tcPr>
            <w:tcW w:w="14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4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Exercise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center"/>
              <w:ind w:right="39"/>
              <w:spacing w:after="0"/>
              <w:rPr>
                <w:sz w:val="20"/>
                <w:szCs w:val="20"/>
                <w:color w:val="auto"/>
              </w:rPr>
            </w:pPr>
            <w:r>
              <w:rPr>
                <w:rFonts w:ascii="Arial" w:cs="Arial" w:eastAsia="Arial" w:hAnsi="Arial"/>
                <w:sz w:val="16"/>
                <w:szCs w:val="16"/>
                <w:b w:val="1"/>
                <w:bCs w:val="1"/>
                <w:color w:val="auto"/>
              </w:rPr>
              <w:t>Fair</w:t>
            </w:r>
          </w:p>
        </w:tc>
        <w:tc>
          <w:tcPr>
            <w:tcW w:w="14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w:t>
            </w:r>
          </w:p>
        </w:tc>
        <w:tc>
          <w:tcPr>
            <w:tcW w:w="140" w:type="dxa"/>
            <w:vAlign w:val="bottom"/>
          </w:tcPr>
          <w:p>
            <w:pPr>
              <w:spacing w:after="0"/>
              <w:rPr>
                <w:sz w:val="17"/>
                <w:szCs w:val="17"/>
                <w:color w:val="auto"/>
              </w:rPr>
            </w:pPr>
          </w:p>
        </w:tc>
        <w:tc>
          <w:tcPr>
            <w:tcW w:w="7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Aggregate</w:t>
            </w:r>
          </w:p>
        </w:tc>
      </w:tr>
      <w:tr>
        <w:trPr>
          <w:trHeight w:val="203"/>
        </w:trPr>
        <w:tc>
          <w:tcPr>
            <w:tcW w:w="4780" w:type="dxa"/>
            <w:vAlign w:val="bottom"/>
          </w:tcPr>
          <w:p>
            <w:pPr>
              <w:spacing w:after="0"/>
              <w:rPr>
                <w:sz w:val="17"/>
                <w:szCs w:val="17"/>
                <w:color w:val="auto"/>
              </w:rPr>
            </w:pPr>
          </w:p>
        </w:tc>
        <w:tc>
          <w:tcPr>
            <w:tcW w:w="720" w:type="dxa"/>
            <w:vAlign w:val="bottom"/>
            <w:gridSpan w:val="2"/>
          </w:tcPr>
          <w:p>
            <w:pPr>
              <w:spacing w:after="0"/>
              <w:rPr>
                <w:sz w:val="20"/>
                <w:szCs w:val="20"/>
                <w:color w:val="auto"/>
              </w:rPr>
            </w:pPr>
            <w:r>
              <w:rPr>
                <w:rFonts w:ascii="Arial" w:cs="Arial" w:eastAsia="Arial" w:hAnsi="Arial"/>
                <w:sz w:val="16"/>
                <w:szCs w:val="16"/>
                <w:b w:val="1"/>
                <w:bCs w:val="1"/>
                <w:color w:val="auto"/>
              </w:rPr>
              <w:t>Number</w:t>
            </w:r>
          </w:p>
        </w:tc>
        <w:tc>
          <w:tcPr>
            <w:tcW w:w="680" w:type="dxa"/>
            <w:vAlign w:val="bottom"/>
            <w:gridSpan w:val="2"/>
          </w:tcPr>
          <w:p>
            <w:pPr>
              <w:ind w:left="20"/>
              <w:spacing w:after="0"/>
              <w:rPr>
                <w:sz w:val="20"/>
                <w:szCs w:val="20"/>
                <w:color w:val="auto"/>
              </w:rPr>
            </w:pPr>
            <w:r>
              <w:rPr>
                <w:rFonts w:ascii="Arial" w:cs="Arial" w:eastAsia="Arial" w:hAnsi="Arial"/>
                <w:sz w:val="16"/>
                <w:szCs w:val="16"/>
                <w:b w:val="1"/>
                <w:bCs w:val="1"/>
                <w:color w:val="auto"/>
                <w:w w:val="92"/>
              </w:rPr>
              <w:t>Price Per</w:t>
            </w:r>
          </w:p>
        </w:tc>
        <w:tc>
          <w:tcPr>
            <w:tcW w:w="14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Arial" w:cs="Arial" w:eastAsia="Arial" w:hAnsi="Arial"/>
                <w:sz w:val="16"/>
                <w:szCs w:val="16"/>
                <w:b w:val="1"/>
                <w:bCs w:val="1"/>
                <w:color w:val="auto"/>
                <w:w w:val="90"/>
              </w:rPr>
              <w:t>Value Per</w:t>
            </w:r>
          </w:p>
        </w:tc>
        <w:tc>
          <w:tcPr>
            <w:tcW w:w="14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4"/>
              </w:rPr>
              <w:t>Contractual</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6"/>
              </w:rPr>
              <w:t>Intrinsic</w:t>
            </w:r>
          </w:p>
        </w:tc>
      </w:tr>
      <w:tr>
        <w:trPr>
          <w:trHeight w:val="213"/>
        </w:trPr>
        <w:tc>
          <w:tcPr>
            <w:tcW w:w="478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Arial" w:cs="Arial" w:eastAsia="Arial" w:hAnsi="Arial"/>
                <w:sz w:val="16"/>
                <w:szCs w:val="16"/>
                <w:b w:val="1"/>
                <w:bCs w:val="1"/>
                <w:color w:val="auto"/>
              </w:rPr>
              <w:t>of Units</w:t>
            </w:r>
          </w:p>
        </w:tc>
        <w:tc>
          <w:tcPr>
            <w:tcW w:w="140" w:type="dxa"/>
            <w:vAlign w:val="bottom"/>
          </w:tcPr>
          <w:p>
            <w:pPr>
              <w:spacing w:after="0"/>
              <w:rPr>
                <w:sz w:val="18"/>
                <w:szCs w:val="18"/>
                <w:color w:val="auto"/>
              </w:rPr>
            </w:pPr>
          </w:p>
        </w:tc>
        <w:tc>
          <w:tcPr>
            <w:tcW w:w="540" w:type="dxa"/>
            <w:vAlign w:val="bottom"/>
          </w:tcPr>
          <w:p>
            <w:pPr>
              <w:jc w:val="center"/>
              <w:ind w:right="39"/>
              <w:spacing w:after="0"/>
              <w:rPr>
                <w:sz w:val="20"/>
                <w:szCs w:val="20"/>
                <w:color w:val="auto"/>
              </w:rPr>
            </w:pPr>
            <w:r>
              <w:rPr>
                <w:rFonts w:ascii="Arial" w:cs="Arial" w:eastAsia="Arial" w:hAnsi="Arial"/>
                <w:sz w:val="16"/>
                <w:szCs w:val="16"/>
                <w:b w:val="1"/>
                <w:bCs w:val="1"/>
                <w:color w:val="auto"/>
                <w:w w:val="96"/>
              </w:rPr>
              <w:t>Unit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center"/>
              <w:ind w:right="39"/>
              <w:spacing w:after="0"/>
              <w:rPr>
                <w:sz w:val="20"/>
                <w:szCs w:val="20"/>
                <w:color w:val="auto"/>
              </w:rPr>
            </w:pPr>
            <w:r>
              <w:rPr>
                <w:rFonts w:ascii="Arial" w:cs="Arial" w:eastAsia="Arial" w:hAnsi="Arial"/>
                <w:sz w:val="16"/>
                <w:szCs w:val="16"/>
                <w:b w:val="1"/>
                <w:bCs w:val="1"/>
                <w:color w:val="auto"/>
                <w:w w:val="96"/>
              </w:rPr>
              <w:t>Unit</w:t>
            </w: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8"/>
              </w:rPr>
              <w:t>Life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3"/>
              </w:rPr>
              <w:t>Value</w:t>
            </w:r>
          </w:p>
        </w:tc>
      </w:tr>
      <w:tr>
        <w:trPr>
          <w:trHeight w:val="199"/>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January 1, 2022</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16.83</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12.27</w:t>
            </w:r>
          </w:p>
        </w:tc>
        <w:tc>
          <w:tcPr>
            <w:tcW w:w="1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9.36</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r>
      <w:tr>
        <w:trPr>
          <w:trHeight w:val="203"/>
        </w:trPr>
        <w:tc>
          <w:tcPr>
            <w:tcW w:w="4780" w:type="dxa"/>
            <w:vAlign w:val="bottom"/>
          </w:tcPr>
          <w:p>
            <w:pPr>
              <w:ind w:left="20"/>
              <w:spacing w:after="0"/>
              <w:rPr>
                <w:sz w:val="20"/>
                <w:szCs w:val="20"/>
                <w:color w:val="auto"/>
              </w:rPr>
            </w:pPr>
            <w:r>
              <w:rPr>
                <w:rFonts w:ascii="Arial" w:cs="Arial" w:eastAsia="Arial" w:hAnsi="Arial"/>
                <w:sz w:val="16"/>
                <w:szCs w:val="16"/>
                <w:color w:val="auto"/>
              </w:rPr>
              <w:t>Granted</w:t>
            </w:r>
          </w:p>
        </w:tc>
        <w:tc>
          <w:tcPr>
            <w:tcW w:w="580" w:type="dxa"/>
            <w:vAlign w:val="bottom"/>
          </w:tcPr>
          <w:p>
            <w:pPr>
              <w:jc w:val="right"/>
              <w:spacing w:after="0"/>
              <w:rPr>
                <w:sz w:val="20"/>
                <w:szCs w:val="20"/>
                <w:color w:val="auto"/>
              </w:rPr>
            </w:pPr>
            <w:r>
              <w:rPr>
                <w:rFonts w:ascii="Arial" w:cs="Arial" w:eastAsia="Arial" w:hAnsi="Arial"/>
                <w:sz w:val="16"/>
                <w:szCs w:val="16"/>
                <w:color w:val="auto"/>
              </w:rPr>
              <w:t>1,025</w:t>
            </w:r>
          </w:p>
        </w:tc>
        <w:tc>
          <w:tcPr>
            <w:tcW w:w="14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40.59</w:t>
            </w:r>
          </w:p>
        </w:tc>
        <w:tc>
          <w:tcPr>
            <w:tcW w:w="260" w:type="dxa"/>
            <w:vAlign w:val="bottom"/>
            <w:gridSpan w:val="2"/>
          </w:tcPr>
          <w:p>
            <w:pPr>
              <w:ind w:left="160"/>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4.99</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9.94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Exercised</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03"/>
        </w:trPr>
        <w:tc>
          <w:tcPr>
            <w:tcW w:w="4780" w:type="dxa"/>
            <w:vAlign w:val="bottom"/>
          </w:tcPr>
          <w:p>
            <w:pPr>
              <w:ind w:left="20"/>
              <w:spacing w:after="0"/>
              <w:rPr>
                <w:sz w:val="20"/>
                <w:szCs w:val="20"/>
                <w:color w:val="auto"/>
              </w:rPr>
            </w:pPr>
            <w:r>
              <w:rPr>
                <w:rFonts w:ascii="Arial" w:cs="Arial" w:eastAsia="Arial" w:hAnsi="Arial"/>
                <w:sz w:val="16"/>
                <w:szCs w:val="16"/>
                <w:color w:val="auto"/>
              </w:rPr>
              <w:t>Forfeited</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(28)</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14.44</w:t>
            </w:r>
          </w:p>
        </w:tc>
        <w:tc>
          <w:tcPr>
            <w:tcW w:w="260" w:type="dxa"/>
            <w:vAlign w:val="bottom"/>
            <w:gridSpan w:val="2"/>
          </w:tcPr>
          <w:p>
            <w:pPr>
              <w:ind w:left="160"/>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8.67</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June 30, 2022</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39.43</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w:t>
            </w:r>
          </w:p>
        </w:tc>
      </w:tr>
      <w:tr>
        <w:trPr>
          <w:trHeight w:val="196"/>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Exercisable, June 30, 2022</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gridSpan w:val="2"/>
          </w:tcPr>
          <w:p>
            <w:pPr>
              <w:ind w:left="160"/>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w:t>
            </w:r>
          </w:p>
        </w:tc>
      </w:tr>
      <w:tr>
        <w:trPr>
          <w:trHeight w:val="196"/>
        </w:trPr>
        <w:tc>
          <w:tcPr>
            <w:tcW w:w="4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03"/>
        </w:trPr>
        <w:tc>
          <w:tcPr>
            <w:tcW w:w="4780" w:type="dxa"/>
            <w:vAlign w:val="bottom"/>
          </w:tcPr>
          <w:p>
            <w:pPr>
              <w:ind w:left="20"/>
              <w:spacing w:after="0"/>
              <w:rPr>
                <w:sz w:val="20"/>
                <w:szCs w:val="20"/>
                <w:color w:val="auto"/>
              </w:rPr>
            </w:pPr>
            <w:r>
              <w:rPr>
                <w:rFonts w:ascii="Arial" w:cs="Arial" w:eastAsia="Arial" w:hAnsi="Arial"/>
                <w:sz w:val="16"/>
                <w:szCs w:val="16"/>
                <w:color w:val="auto"/>
              </w:rPr>
              <w:t>Outstanding, January 1, 2023</w:t>
            </w:r>
          </w:p>
        </w:tc>
        <w:tc>
          <w:tcPr>
            <w:tcW w:w="580" w:type="dxa"/>
            <w:vAlign w:val="bottom"/>
          </w:tcPr>
          <w:p>
            <w:pPr>
              <w:jc w:val="right"/>
              <w:spacing w:after="0"/>
              <w:rPr>
                <w:sz w:val="20"/>
                <w:szCs w:val="20"/>
                <w:color w:val="auto"/>
              </w:rPr>
            </w:pPr>
            <w:r>
              <w:rPr>
                <w:rFonts w:ascii="Arial" w:cs="Arial" w:eastAsia="Arial" w:hAnsi="Arial"/>
                <w:sz w:val="16"/>
                <w:szCs w:val="16"/>
                <w:color w:val="auto"/>
              </w:rPr>
              <w:t>1,025</w:t>
            </w:r>
          </w:p>
        </w:tc>
        <w:tc>
          <w:tcPr>
            <w:tcW w:w="14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40.59</w:t>
            </w:r>
          </w:p>
        </w:tc>
        <w:tc>
          <w:tcPr>
            <w:tcW w:w="260" w:type="dxa"/>
            <w:vAlign w:val="bottom"/>
            <w:gridSpan w:val="2"/>
          </w:tcPr>
          <w:p>
            <w:pPr>
              <w:ind w:left="160"/>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4.99</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9.44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Granted</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22.62</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03"/>
        </w:trPr>
        <w:tc>
          <w:tcPr>
            <w:tcW w:w="4780" w:type="dxa"/>
            <w:vAlign w:val="bottom"/>
          </w:tcPr>
          <w:p>
            <w:pPr>
              <w:ind w:left="20"/>
              <w:spacing w:after="0"/>
              <w:rPr>
                <w:sz w:val="20"/>
                <w:szCs w:val="20"/>
                <w:color w:val="auto"/>
              </w:rPr>
            </w:pPr>
            <w:r>
              <w:rPr>
                <w:rFonts w:ascii="Arial" w:cs="Arial" w:eastAsia="Arial" w:hAnsi="Arial"/>
                <w:sz w:val="16"/>
                <w:szCs w:val="16"/>
                <w:color w:val="auto"/>
              </w:rPr>
              <w:t>Exercised</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16.01</w:t>
            </w:r>
          </w:p>
        </w:tc>
        <w:tc>
          <w:tcPr>
            <w:tcW w:w="260" w:type="dxa"/>
            <w:vAlign w:val="bottom"/>
            <w:gridSpan w:val="2"/>
          </w:tcPr>
          <w:p>
            <w:pPr>
              <w:ind w:left="160"/>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8.57</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8.95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Forfeited</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196"/>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Outstanding, June 30, 2023</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1,041</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40.21</w:t>
            </w:r>
          </w:p>
        </w:tc>
        <w:tc>
          <w:tcPr>
            <w:tcW w:w="260" w:type="dxa"/>
            <w:vAlign w:val="bottom"/>
            <w:tcBorders>
              <w:bottom w:val="single" w:sz="8" w:color="CCEEFF"/>
            </w:tcBorders>
            <w:gridSpan w:val="2"/>
          </w:tcPr>
          <w:p>
            <w:pPr>
              <w:ind w:left="160"/>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5.19</w:t>
            </w:r>
          </w:p>
        </w:tc>
        <w:tc>
          <w:tcPr>
            <w:tcW w:w="10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8.86</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w:t>
            </w:r>
          </w:p>
        </w:tc>
      </w:tr>
      <w:tr>
        <w:trPr>
          <w:trHeight w:val="19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Exercisable, June 30, 2023</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16.01</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8.95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45</w:t>
            </w:r>
          </w:p>
        </w:tc>
      </w:tr>
    </w:tbl>
    <w:p>
      <w:pPr>
        <w:spacing w:after="0" w:line="202" w:lineRule="exact"/>
        <w:rPr>
          <w:sz w:val="20"/>
          <w:szCs w:val="20"/>
          <w:color w:val="auto"/>
        </w:rPr>
      </w:pPr>
    </w:p>
    <w:p>
      <w:pPr>
        <w:ind w:left="60" w:right="159" w:firstLine="648"/>
        <w:spacing w:after="0" w:line="308" w:lineRule="auto"/>
        <w:rPr>
          <w:sz w:val="20"/>
          <w:szCs w:val="20"/>
          <w:color w:val="auto"/>
        </w:rPr>
      </w:pPr>
      <w:r>
        <w:rPr>
          <w:rFonts w:ascii="Arial" w:cs="Arial" w:eastAsia="Arial" w:hAnsi="Arial"/>
          <w:sz w:val="17"/>
          <w:szCs w:val="17"/>
          <w:color w:val="auto"/>
        </w:rPr>
        <w:t>As of June 30, 2023, approximately 1,041,000 options remained nonvested. Unrecognized compensation expense related to these options at June 30, 2023 was $4,888 and is expected to be recognized over 8.86 years.</w:t>
      </w:r>
    </w:p>
    <w:p>
      <w:pPr>
        <w:spacing w:after="0" w:line="200" w:lineRule="exact"/>
        <w:rPr>
          <w:sz w:val="20"/>
          <w:szCs w:val="20"/>
          <w:color w:val="auto"/>
        </w:rPr>
      </w:pPr>
    </w:p>
    <w:p>
      <w:pPr>
        <w:spacing w:after="0" w:line="3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INCOME TAXES</w:t>
      </w:r>
    </w:p>
    <w:p>
      <w:pPr>
        <w:spacing w:after="0" w:line="189" w:lineRule="exact"/>
        <w:rPr>
          <w:sz w:val="20"/>
          <w:szCs w:val="20"/>
          <w:color w:val="auto"/>
        </w:rPr>
      </w:pPr>
    </w:p>
    <w:p>
      <w:pPr>
        <w:ind w:left="60" w:right="179"/>
        <w:spacing w:after="0" w:line="254" w:lineRule="auto"/>
        <w:rPr>
          <w:sz w:val="20"/>
          <w:szCs w:val="20"/>
          <w:color w:val="auto"/>
        </w:rPr>
      </w:pPr>
      <w:r>
        <w:rPr>
          <w:rFonts w:ascii="Arial" w:cs="Arial" w:eastAsia="Arial" w:hAnsi="Arial"/>
          <w:sz w:val="18"/>
          <w:szCs w:val="18"/>
          <w:color w:val="auto"/>
        </w:rPr>
        <w:t>The provision for income tax expense for the three months ended June 30, 2023 and 2022 was $3,070 and $3,816, respectively and $6,505 and $7,375 for the six months ended June 30, 2023 and 2022, respectively. The effective tax rate for the three and six months ended June 30, 2023 was 17.0% and 17.2%, respectively. These rate differ from the federal statutory rate of 21% primarily due to a federal tax credit for energy efficient construction, partially offset by state income taxes. The effective tax rate for the three and six months ended June 30, 2022 was 18.1% and differs from the federal statutory rate of 21% primarily due to a federal tax credit for energy efficient construction, partially offset by state income taxes.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COMMITMENTS AND CONTINGENCIES</w:t>
      </w:r>
    </w:p>
    <w:p>
      <w:pPr>
        <w:spacing w:after="0" w:line="202" w:lineRule="exact"/>
        <w:rPr>
          <w:sz w:val="20"/>
          <w:szCs w:val="20"/>
          <w:color w:val="auto"/>
        </w:rPr>
      </w:pPr>
    </w:p>
    <w:p>
      <w:pPr>
        <w:ind w:left="60" w:right="139" w:firstLine="648"/>
        <w:spacing w:after="0" w:line="272" w:lineRule="auto"/>
        <w:rPr>
          <w:sz w:val="20"/>
          <w:szCs w:val="20"/>
          <w:color w:val="auto"/>
        </w:rPr>
      </w:pPr>
      <w:r>
        <w:rPr>
          <w:rFonts w:ascii="Arial" w:cs="Arial" w:eastAsia="Arial" w:hAnsi="Arial"/>
          <w:sz w:val="17"/>
          <w:szCs w:val="17"/>
          <w:color w:val="auto"/>
        </w:rPr>
        <w:t>As of January 1, 2020, the Company instituted a self-insured health benefits plan with a stop-loss policy, which provides medical benefits to employees electing coverage under the plan. The Company reserves estimated costs for incurred but not reported medical claims and claim development. This reserve is based on historical experience and other assumptions, some of which are subjective. The Company will adjust its self-insured medical benefits reserve based on actual experience, estimated costs and changes to assumptions. As of June 30, 2023 and December 31, 2022, the Company had accrued a $219 and $149 liability for incurred but not reported claims, respectively. These accrued amounts are included in accrued liabilities on the condensed balance sheets.</w:t>
      </w:r>
    </w:p>
    <w:p>
      <w:pPr>
        <w:spacing w:after="0" w:line="137" w:lineRule="exact"/>
        <w:rPr>
          <w:sz w:val="20"/>
          <w:szCs w:val="20"/>
          <w:color w:val="auto"/>
        </w:rPr>
      </w:pPr>
    </w:p>
    <w:p>
      <w:pPr>
        <w:ind w:left="60" w:right="119" w:firstLine="648"/>
        <w:spacing w:after="0" w:line="301" w:lineRule="auto"/>
        <w:rPr>
          <w:sz w:val="20"/>
          <w:szCs w:val="20"/>
          <w:color w:val="auto"/>
        </w:rPr>
      </w:pPr>
      <w:r>
        <w:rPr>
          <w:rFonts w:ascii="Arial" w:cs="Arial" w:eastAsia="Arial" w:hAnsi="Arial"/>
          <w:sz w:val="16"/>
          <w:szCs w:val="16"/>
          <w:color w:val="auto"/>
        </w:rPr>
        <w:t>The Company is contingently liable under the terms of repurchase agreements with financial institutions that provide inventory financing for independent retailers that sell the Company’s products. These arrangements, which are customary in the industry, provide for the repurchase of products sold to retailers in the event of default by the retailer. The Company’s obligation under these repurchase agreements ceases upon the purchase of the home by the retail</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ind w:left="1520" w:right="1600"/>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30" w:lineRule="exact"/>
        <w:rPr>
          <w:sz w:val="20"/>
          <w:szCs w:val="20"/>
          <w:color w:val="auto"/>
        </w:rPr>
      </w:pPr>
    </w:p>
    <w:p>
      <w:pPr>
        <w:ind w:left="60" w:right="279"/>
        <w:spacing w:after="0" w:line="259" w:lineRule="auto"/>
        <w:rPr>
          <w:sz w:val="20"/>
          <w:szCs w:val="20"/>
          <w:color w:val="auto"/>
        </w:rPr>
      </w:pPr>
      <w:r>
        <w:rPr>
          <w:rFonts w:ascii="Arial" w:cs="Arial" w:eastAsia="Arial" w:hAnsi="Arial"/>
          <w:sz w:val="18"/>
          <w:szCs w:val="18"/>
          <w:color w:val="auto"/>
        </w:rPr>
        <w:t>customer. The maximum amount for which the Company was liable under such agreements totaled $6,740 and $8,925 at June 30, 2023 and December 31, 2022, respectively, without reduction for the resale value of the homes. The Company considers its obligations on current contracts to be insignificant and accordingly has not recorded any reserve for repurchase commitment as of June 30, 2023 and December 31, 2022.</w:t>
      </w:r>
    </w:p>
    <w:p>
      <w:pPr>
        <w:spacing w:after="0" w:line="146" w:lineRule="exact"/>
        <w:rPr>
          <w:sz w:val="20"/>
          <w:szCs w:val="20"/>
          <w:color w:val="auto"/>
        </w:rPr>
      </w:pPr>
    </w:p>
    <w:p>
      <w:pPr>
        <w:ind w:left="60" w:right="179" w:firstLine="648"/>
        <w:spacing w:after="0" w:line="290" w:lineRule="auto"/>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The Company leases facilities under operating leases that typically have 10-year terms. These leases</w:t>
      </w:r>
      <w:r>
        <w:rPr>
          <w:rFonts w:ascii="Arial" w:cs="Arial" w:eastAsia="Arial" w:hAnsi="Arial"/>
          <w:sz w:val="16"/>
          <w:szCs w:val="16"/>
          <w:i w:val="1"/>
          <w:iCs w:val="1"/>
          <w:color w:val="auto"/>
        </w:rPr>
        <w:t xml:space="preserve"> </w:t>
      </w:r>
      <w:r>
        <w:rPr>
          <w:rFonts w:ascii="Arial" w:cs="Arial" w:eastAsia="Arial" w:hAnsi="Arial"/>
          <w:sz w:val="16"/>
          <w:szCs w:val="16"/>
          <w:color w:val="auto"/>
        </w:rPr>
        <w:t>usually offer the Company a right of first refusal that affords the Company the option to purchase the leased premises under certain terms in the event the landlord attempts to sell the leased premises to a third party. Rent expense was $141 and $176 for the three months ended June 30, 2023 and 2022, respectively, and $323 and $339 for the six months ended June 30, 2023 and 2022, respectively. The Company also subleases properties to third parties, ranging from 3-year to 11-year terms with various renewal options. Rental income from the subleased properties was approximately $39 and $55 for the three months ended June 30, 2023 and 2022, respectively, and $95 and $110 for the six months ended June 30, 2023 and 2022, respectively. See Note 5 – Leases, for a schedule of the Company’s future minimum lease commitments.</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Legal Matters</w:t>
      </w:r>
    </w:p>
    <w:p>
      <w:pPr>
        <w:spacing w:after="0" w:line="189" w:lineRule="exact"/>
        <w:rPr>
          <w:sz w:val="20"/>
          <w:szCs w:val="20"/>
          <w:color w:val="auto"/>
        </w:rPr>
      </w:pPr>
    </w:p>
    <w:p>
      <w:pPr>
        <w:ind w:left="60" w:right="119" w:firstLine="648"/>
        <w:spacing w:after="0" w:line="288" w:lineRule="auto"/>
        <w:rPr>
          <w:sz w:val="20"/>
          <w:szCs w:val="20"/>
          <w:color w:val="auto"/>
        </w:rPr>
      </w:pPr>
      <w:r>
        <w:rPr>
          <w:rFonts w:ascii="Arial" w:cs="Arial" w:eastAsia="Arial" w:hAnsi="Arial"/>
          <w:sz w:val="16"/>
          <w:szCs w:val="16"/>
          <w:color w:val="auto"/>
        </w:rPr>
        <w:t>The Company is party to certain legal proceedings that arise in the ordinary course and are incidental to its business. Certain of the claims pending against the Company in these proceedings allege, among other things, breach of contract and warranty, product liability and personal injury. The Company has determined that it is probable that it has some liability related to some of these claims. The Company has included legal reserves of $515 and $753 as of June 30, 2023 and December 31, 2022, respectively, in accrued liabilities on the accompanying condensed balance sheets. Although litigation is inherently uncertain, based on past experience and the information currently available, management does not believe that pending or threatened litigation will have a material adverse effect on the Company’s financial position, liquidity or results of operations. However, future events or circumstances currently unknown to management will determine whether the resolution of pending or threatened litigation or claims will ultimately have a material effect on the Company’s financial position, liquidity or results of operations in any future reporting periods.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FAIR VALUE MEASUREMENTS</w:t>
      </w:r>
    </w:p>
    <w:p>
      <w:pPr>
        <w:spacing w:after="0" w:line="202" w:lineRule="exact"/>
        <w:rPr>
          <w:sz w:val="20"/>
          <w:szCs w:val="20"/>
          <w:color w:val="auto"/>
        </w:rPr>
      </w:pPr>
    </w:p>
    <w:p>
      <w:pPr>
        <w:ind w:left="60" w:right="99" w:firstLine="648"/>
        <w:spacing w:after="0" w:line="273" w:lineRule="auto"/>
        <w:rPr>
          <w:sz w:val="20"/>
          <w:szCs w:val="20"/>
          <w:color w:val="auto"/>
        </w:rPr>
      </w:pPr>
      <w:r>
        <w:rPr>
          <w:rFonts w:ascii="Arial" w:cs="Arial" w:eastAsia="Arial" w:hAnsi="Arial"/>
          <w:sz w:val="17"/>
          <w:szCs w:val="17"/>
          <w:color w:val="auto"/>
        </w:rPr>
        <w:t xml:space="preserve">The Company accounts for its investments and derivative instruments in accordance with ASC 820-10,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 </w:t>
      </w:r>
      <w:r>
        <w:rPr>
          <w:rFonts w:ascii="Arial" w:cs="Arial" w:eastAsia="Arial" w:hAnsi="Arial"/>
          <w:sz w:val="17"/>
          <w:szCs w:val="17"/>
          <w:color w:val="auto"/>
        </w:rPr>
        <w:t>which among other things provides the framework for measuring fair value. This framework provides a fair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value hierarchy that prioritizes the inputs to valuation techniques used to measure fair value. The hierarchy gives the highest priority to unadjusted quoted prices in active markets for identical assets or liabilities (Level I measurement) and the lowest priority to unobservable inputs (Level III measurements). The three levels of fair value hierarchy under ASC 820-10, </w:t>
      </w:r>
      <w:r>
        <w:rPr>
          <w:rFonts w:ascii="Arial" w:cs="Arial" w:eastAsia="Arial" w:hAnsi="Arial"/>
          <w:sz w:val="17"/>
          <w:szCs w:val="17"/>
          <w:i w:val="1"/>
          <w:iCs w:val="1"/>
          <w:color w:val="auto"/>
        </w:rPr>
        <w:t>Fair Value Measurement</w:t>
      </w:r>
      <w:r>
        <w:rPr>
          <w:rFonts w:ascii="Arial" w:cs="Arial" w:eastAsia="Arial" w:hAnsi="Arial"/>
          <w:sz w:val="17"/>
          <w:szCs w:val="17"/>
          <w:color w:val="auto"/>
        </w:rPr>
        <w:t>, are as follows:</w:t>
      </w:r>
    </w:p>
    <w:p>
      <w:pPr>
        <w:spacing w:after="0" w:line="137" w:lineRule="exact"/>
        <w:rPr>
          <w:sz w:val="20"/>
          <w:szCs w:val="20"/>
          <w:color w:val="auto"/>
        </w:rPr>
      </w:pPr>
    </w:p>
    <w:p>
      <w:pPr>
        <w:ind w:left="1520" w:right="219" w:hanging="841"/>
        <w:spacing w:after="0" w:line="258" w:lineRule="auto"/>
        <w:tabs>
          <w:tab w:leader="none" w:pos="1500" w:val="left"/>
        </w:tabs>
        <w:rPr>
          <w:sz w:val="20"/>
          <w:szCs w:val="20"/>
          <w:color w:val="auto"/>
        </w:rPr>
      </w:pPr>
      <w:r>
        <w:rPr>
          <w:rFonts w:ascii="Arial" w:cs="Arial" w:eastAsia="Arial" w:hAnsi="Arial"/>
          <w:sz w:val="18"/>
          <w:szCs w:val="18"/>
          <w:color w:val="auto"/>
        </w:rPr>
        <w:t>Level I</w:t>
      </w:r>
      <w:r>
        <w:rPr>
          <w:sz w:val="20"/>
          <w:szCs w:val="20"/>
          <w:color w:val="auto"/>
        </w:rPr>
        <w:tab/>
      </w:r>
      <w:r>
        <w:rPr>
          <w:rFonts w:ascii="Arial" w:cs="Arial" w:eastAsia="Arial" w:hAnsi="Arial"/>
          <w:sz w:val="18"/>
          <w:szCs w:val="18"/>
          <w:color w:val="auto"/>
        </w:rPr>
        <w:t>Quoted prices are available in active markets for identical assets or liabilities that the reporting entity has the ability to access at the measurement date.</w:t>
      </w:r>
    </w:p>
    <w:p>
      <w:pPr>
        <w:spacing w:after="0" w:line="1" w:lineRule="exact"/>
        <w:rPr>
          <w:sz w:val="20"/>
          <w:szCs w:val="20"/>
          <w:color w:val="auto"/>
        </w:rPr>
      </w:pPr>
    </w:p>
    <w:p>
      <w:pPr>
        <w:ind w:left="1540" w:right="379" w:hanging="841"/>
        <w:spacing w:after="0" w:line="281" w:lineRule="auto"/>
        <w:tabs>
          <w:tab w:leader="none" w:pos="1520" w:val="left"/>
        </w:tabs>
        <w:rPr>
          <w:sz w:val="20"/>
          <w:szCs w:val="20"/>
          <w:color w:val="auto"/>
        </w:rPr>
      </w:pPr>
      <w:r>
        <w:rPr>
          <w:rFonts w:ascii="Arial" w:cs="Arial" w:eastAsia="Arial" w:hAnsi="Arial"/>
          <w:sz w:val="18"/>
          <w:szCs w:val="18"/>
          <w:color w:val="auto"/>
        </w:rPr>
        <w:t>Level II</w:t>
      </w:r>
      <w:r>
        <w:rPr>
          <w:sz w:val="20"/>
          <w:szCs w:val="20"/>
          <w:color w:val="auto"/>
        </w:rPr>
        <w:tab/>
      </w:r>
      <w:r>
        <w:rPr>
          <w:rFonts w:ascii="Arial" w:cs="Arial" w:eastAsia="Arial" w:hAnsi="Arial"/>
          <w:sz w:val="16"/>
          <w:szCs w:val="16"/>
          <w:color w:val="auto"/>
        </w:rPr>
        <w:t>Significant observable inputs other than quoted prices in active markets for which inputs to the valuation methodology include: (1) Quoted prices for similar assets or liabilities in active markets;</w:t>
      </w:r>
    </w:p>
    <w:p>
      <w:pPr>
        <w:spacing w:after="0" w:line="1" w:lineRule="exact"/>
        <w:rPr>
          <w:sz w:val="20"/>
          <w:szCs w:val="20"/>
          <w:color w:val="auto"/>
        </w:rPr>
      </w:pPr>
    </w:p>
    <w:p>
      <w:pPr>
        <w:ind w:left="1540" w:right="199" w:firstLine="1"/>
        <w:spacing w:after="0" w:line="250" w:lineRule="auto"/>
        <w:tabs>
          <w:tab w:leader="none" w:pos="1795" w:val="left"/>
        </w:tabs>
        <w:numPr>
          <w:ilvl w:val="0"/>
          <w:numId w:val="6"/>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 (3) Inputs other than quoted prices that are observable; and (4) Inputs that are derived principally from or corroborated by observable market data by correlation or other means. If the asset or liability has a specified (contractual) term, the Level II input must be observable for substantially the full term of the asset or liability.</w:t>
      </w:r>
    </w:p>
    <w:p>
      <w:pPr>
        <w:spacing w:after="0" w:line="2" w:lineRule="exact"/>
        <w:rPr>
          <w:sz w:val="20"/>
          <w:szCs w:val="20"/>
          <w:color w:val="auto"/>
        </w:rPr>
      </w:pPr>
    </w:p>
    <w:p>
      <w:pPr>
        <w:ind w:left="1540" w:right="539" w:hanging="841"/>
        <w:spacing w:after="0" w:line="260" w:lineRule="auto"/>
        <w:tabs>
          <w:tab w:leader="none" w:pos="1520" w:val="left"/>
        </w:tabs>
        <w:rPr>
          <w:sz w:val="20"/>
          <w:szCs w:val="20"/>
          <w:color w:val="auto"/>
        </w:rPr>
      </w:pPr>
      <w:r>
        <w:rPr>
          <w:rFonts w:ascii="Arial" w:cs="Arial" w:eastAsia="Arial" w:hAnsi="Arial"/>
          <w:sz w:val="18"/>
          <w:szCs w:val="18"/>
          <w:color w:val="auto"/>
        </w:rPr>
        <w:t>Level III</w:t>
        <w:tab/>
        <w:t>Significant unobservable inputs that reflect an entity’s own assumptions that market participants would use in pricing the assets or liabilities.</w:t>
      </w:r>
    </w:p>
    <w:p>
      <w:pPr>
        <w:spacing w:after="0" w:line="145" w:lineRule="exact"/>
        <w:rPr>
          <w:sz w:val="20"/>
          <w:szCs w:val="20"/>
          <w:color w:val="auto"/>
        </w:rPr>
      </w:pPr>
    </w:p>
    <w:p>
      <w:pPr>
        <w:ind w:left="60" w:right="279" w:firstLine="648"/>
        <w:spacing w:after="0" w:line="277" w:lineRule="auto"/>
        <w:rPr>
          <w:sz w:val="20"/>
          <w:szCs w:val="20"/>
          <w:color w:val="auto"/>
        </w:rPr>
      </w:pPr>
      <w:r>
        <w:rPr>
          <w:rFonts w:ascii="Arial" w:cs="Arial" w:eastAsia="Arial" w:hAnsi="Arial"/>
          <w:sz w:val="18"/>
          <w:szCs w:val="18"/>
          <w:color w:val="auto"/>
        </w:rPr>
        <w:t>The asset or liability fair value measurement level within the fair value hierarchy is based on the lowest level of any input that is significant to the fair value measurement.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ind w:left="40" w:right="59"/>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89" w:lineRule="exact"/>
        <w:rPr>
          <w:sz w:val="20"/>
          <w:szCs w:val="20"/>
          <w:color w:val="auto"/>
        </w:rPr>
      </w:pPr>
    </w:p>
    <w:p>
      <w:pPr>
        <w:jc w:val="both"/>
        <w:ind w:left="60" w:right="179" w:firstLine="648"/>
        <w:spacing w:after="0" w:line="263" w:lineRule="auto"/>
        <w:rPr>
          <w:sz w:val="20"/>
          <w:szCs w:val="20"/>
          <w:color w:val="auto"/>
        </w:rPr>
      </w:pPr>
      <w:r>
        <w:rPr>
          <w:rFonts w:ascii="Arial" w:cs="Arial" w:eastAsia="Arial" w:hAnsi="Arial"/>
          <w:sz w:val="18"/>
          <w:szCs w:val="18"/>
          <w:color w:val="auto"/>
        </w:rPr>
        <w:t>The Company’s financial instruments consist primarily of cash and cash equivalents, investments in US Treasury Notes, accounts receivable, consumer loans, MHP Notes, other notes, accounts payable, lines of credit, notes payable, and the dealer portion of consumer loans.</w:t>
      </w:r>
    </w:p>
    <w:p>
      <w:pPr>
        <w:spacing w:after="0" w:line="157" w:lineRule="exact"/>
        <w:rPr>
          <w:sz w:val="20"/>
          <w:szCs w:val="20"/>
          <w:color w:val="auto"/>
        </w:rPr>
      </w:pPr>
    </w:p>
    <w:p>
      <w:pPr>
        <w:ind w:left="60" w:right="99" w:firstLine="648"/>
        <w:spacing w:after="0" w:line="285" w:lineRule="auto"/>
        <w:rPr>
          <w:sz w:val="20"/>
          <w:szCs w:val="20"/>
          <w:color w:val="auto"/>
        </w:rPr>
      </w:pPr>
      <w:r>
        <w:rPr>
          <w:rFonts w:ascii="Arial" w:cs="Arial" w:eastAsia="Arial" w:hAnsi="Arial"/>
          <w:sz w:val="16"/>
          <w:szCs w:val="16"/>
          <w:color w:val="auto"/>
        </w:rPr>
        <w:t>The carrying amounts of cash and cash equivalents, accounts receivable, and accounts payable approximate their respective fair values because of the short-term maturities or expected settlement dates of these instruments. This is considered a Level I valuation technique. The investment in US Treasury Notes has quoted prices available in active markets that the Company can access at measurement dates. The US Treasury Notes were sold by the Company on June 22, 2023. The Company determined that the fair value of the investment in US Treasury Notes was approximately $8,409 compared to the book value of $8,412 as of December 31, 2022. This was considered a Level I valuation technique. The lines of credit, notes payable, part of the MHP Notes and part of the other notes receivables have variable interest rates that reflect market rates and their fair value approximates their carrying value. This is considered a Level II valuation technique. The Company also assessed the fair value of the consumer loans receivable, the fixed rate MHP Notes and the portion of other note receivables with fixed rates based on the discounted value of the remaining principal and interest cash flows. The Company determined that the fair value of the consumer loan portfolio was approximately $145,700 compared to the book value of $146,010 as of June 30, 2023, and a fair value of approximately $138,800 compared to the book value of $139,009 as of December 31, 2022. The Company determined that the fair value of the fixed rate MHP Notes was approximately $157,100 compared to the book value of $159,241 as of June 30, 2023, and a fair value of approximately $128,400 compared to the book value of $129,966 as of December 31, 2022. The Company determined that the fair value of the fixed rate other notes was approximately $26,100 compared to the book value of $26,740 as of June 30, 2023, and a fair value of approximately $21,600 compared to the book value of $22,722 as of December 31, 2022. This is a Level II valuation technique.</w:t>
      </w:r>
    </w:p>
    <w:p>
      <w:pPr>
        <w:spacing w:after="0" w:line="3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EARNINGS PER SHARE</w:t>
      </w:r>
    </w:p>
    <w:p>
      <w:pPr>
        <w:spacing w:after="0" w:line="189"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Basic earnings per common share (“EPS”) is computed based on the weighted-average number of common shares outstanding during each reporting period. Diluted EPS is based on the weighted-average number of common shares outstanding plus the number of additional shares that would have been outstanding had the dilutive common shares been issued. The following table reconciles the numerators and denominators used in the computations of both basic and diluted EPS.</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860" w:type="dxa"/>
            <w:vAlign w:val="bottom"/>
            <w:gridSpan w:val="5"/>
          </w:tcPr>
          <w:p>
            <w:pPr>
              <w:jc w:val="center"/>
              <w:ind w:right="900"/>
              <w:spacing w:after="0"/>
              <w:rPr>
                <w:sz w:val="20"/>
                <w:szCs w:val="20"/>
                <w:color w:val="auto"/>
              </w:rPr>
            </w:pPr>
            <w:r>
              <w:rPr>
                <w:rFonts w:ascii="Arial" w:cs="Arial" w:eastAsia="Arial" w:hAnsi="Arial"/>
                <w:sz w:val="14"/>
                <w:szCs w:val="14"/>
                <w:b w:val="1"/>
                <w:bCs w:val="1"/>
                <w:color w:val="auto"/>
                <w:w w:val="89"/>
              </w:rPr>
              <w:t>Six months ended</w:t>
            </w:r>
          </w:p>
        </w:tc>
      </w:tr>
      <w:tr>
        <w:trPr>
          <w:trHeight w:val="171"/>
        </w:trPr>
        <w:tc>
          <w:tcPr>
            <w:tcW w:w="8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4"/>
          </w:tcPr>
          <w:p>
            <w:pPr>
              <w:jc w:val="right"/>
              <w:ind w:right="752"/>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2860" w:type="dxa"/>
            <w:vAlign w:val="bottom"/>
            <w:gridSpan w:val="5"/>
          </w:tcPr>
          <w:p>
            <w:pPr>
              <w:jc w:val="center"/>
              <w:ind w:right="940"/>
              <w:spacing w:after="0"/>
              <w:rPr>
                <w:sz w:val="20"/>
                <w:szCs w:val="20"/>
                <w:color w:val="auto"/>
              </w:rPr>
            </w:pPr>
            <w:r>
              <w:rPr>
                <w:rFonts w:ascii="Arial" w:cs="Arial" w:eastAsia="Arial" w:hAnsi="Arial"/>
                <w:sz w:val="14"/>
                <w:szCs w:val="14"/>
                <w:b w:val="1"/>
                <w:bCs w:val="1"/>
                <w:color w:val="auto"/>
                <w:w w:val="92"/>
              </w:rPr>
              <w:t>June 30,</w:t>
            </w:r>
          </w:p>
        </w:tc>
      </w:tr>
      <w:tr>
        <w:trPr>
          <w:trHeight w:val="142"/>
        </w:trPr>
        <w:tc>
          <w:tcPr>
            <w:tcW w:w="8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2022</w:t>
            </w:r>
          </w:p>
        </w:tc>
        <w:tc>
          <w:tcPr>
            <w:tcW w:w="800" w:type="dxa"/>
            <w:vAlign w:val="bottom"/>
          </w:tcPr>
          <w:p>
            <w:pPr>
              <w:spacing w:after="0"/>
              <w:rPr>
                <w:sz w:val="12"/>
                <w:szCs w:val="12"/>
                <w:color w:val="auto"/>
              </w:rPr>
            </w:pPr>
          </w:p>
        </w:tc>
      </w:tr>
      <w:tr>
        <w:trPr>
          <w:trHeight w:val="210"/>
        </w:trPr>
        <w:tc>
          <w:tcPr>
            <w:tcW w:w="80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940" w:type="dxa"/>
            <w:vAlign w:val="bottom"/>
          </w:tcPr>
          <w:p>
            <w:pPr>
              <w:ind w:left="120"/>
              <w:spacing w:after="0"/>
              <w:rPr>
                <w:sz w:val="20"/>
                <w:szCs w:val="20"/>
                <w:color w:val="auto"/>
              </w:rPr>
            </w:pPr>
            <w:r>
              <w:rPr>
                <w:rFonts w:ascii="Arial" w:cs="Arial" w:eastAsia="Arial" w:hAnsi="Arial"/>
                <w:sz w:val="18"/>
                <w:szCs w:val="18"/>
                <w:color w:val="auto"/>
              </w:rPr>
              <w:t>Net income (in 000's)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15,020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17,261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31,296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33,352</w:t>
            </w:r>
          </w:p>
        </w:tc>
        <w:tc>
          <w:tcPr>
            <w:tcW w:w="800" w:type="dxa"/>
            <w:vAlign w:val="bottom"/>
          </w:tcPr>
          <w:p>
            <w:pPr>
              <w:spacing w:after="0"/>
              <w:rPr>
                <w:sz w:val="18"/>
                <w:szCs w:val="18"/>
                <w:color w:val="auto"/>
              </w:rPr>
            </w:pPr>
          </w:p>
        </w:tc>
      </w:tr>
      <w:tr>
        <w:trPr>
          <w:trHeight w:val="210"/>
        </w:trPr>
        <w:tc>
          <w:tcPr>
            <w:tcW w:w="80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0" w:type="dxa"/>
            <w:vAlign w:val="bottom"/>
          </w:tcPr>
          <w:p>
            <w:pPr>
              <w:spacing w:after="0"/>
              <w:rPr>
                <w:sz w:val="18"/>
                <w:szCs w:val="18"/>
                <w:color w:val="auto"/>
              </w:rPr>
            </w:pPr>
          </w:p>
        </w:tc>
      </w:tr>
      <w:tr>
        <w:trPr>
          <w:trHeight w:val="202"/>
        </w:trPr>
        <w:tc>
          <w:tcPr>
            <w:tcW w:w="800" w:type="dxa"/>
            <w:vAlign w:val="bottom"/>
          </w:tcPr>
          <w:p>
            <w:pPr>
              <w:spacing w:after="0"/>
              <w:rPr>
                <w:sz w:val="17"/>
                <w:szCs w:val="17"/>
                <w:color w:val="auto"/>
              </w:rPr>
            </w:pPr>
          </w:p>
        </w:tc>
        <w:tc>
          <w:tcPr>
            <w:tcW w:w="2940" w:type="dxa"/>
            <w:vAlign w:val="bottom"/>
          </w:tcPr>
          <w:p>
            <w:pPr>
              <w:ind w:left="120"/>
              <w:spacing w:after="0" w:line="201" w:lineRule="exact"/>
              <w:rPr>
                <w:sz w:val="20"/>
                <w:szCs w:val="20"/>
                <w:color w:val="auto"/>
              </w:rPr>
            </w:pPr>
            <w:r>
              <w:rPr>
                <w:rFonts w:ascii="Arial" w:cs="Arial" w:eastAsia="Arial" w:hAnsi="Arial"/>
                <w:sz w:val="18"/>
                <w:szCs w:val="18"/>
                <w:color w:val="auto"/>
              </w:rPr>
              <w:t>Basic weighted-average common</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0"/>
        </w:trPr>
        <w:tc>
          <w:tcPr>
            <w:tcW w:w="800" w:type="dxa"/>
            <w:vAlign w:val="bottom"/>
          </w:tcPr>
          <w:p>
            <w:pPr>
              <w:spacing w:after="0"/>
              <w:rPr>
                <w:sz w:val="20"/>
                <w:szCs w:val="20"/>
                <w:color w:val="auto"/>
              </w:rPr>
            </w:pPr>
          </w:p>
        </w:tc>
        <w:tc>
          <w:tcPr>
            <w:tcW w:w="2940" w:type="dxa"/>
            <w:vAlign w:val="bottom"/>
          </w:tcPr>
          <w:p>
            <w:pPr>
              <w:ind w:left="120"/>
              <w:spacing w:after="0"/>
              <w:rPr>
                <w:sz w:val="20"/>
                <w:szCs w:val="20"/>
                <w:color w:val="auto"/>
              </w:rPr>
            </w:pPr>
            <w:r>
              <w:rPr>
                <w:rFonts w:ascii="Arial" w:cs="Arial" w:eastAsia="Arial" w:hAnsi="Arial"/>
                <w:sz w:val="18"/>
                <w:szCs w:val="18"/>
                <w:color w:val="auto"/>
              </w:rPr>
              <w:t>shares outstanding</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24,380,894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0"/>
              </w:rPr>
              <w:t>24,406,020</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24,377,803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3"/>
              </w:rPr>
              <w:t>24,355,412</w:t>
            </w:r>
          </w:p>
        </w:tc>
        <w:tc>
          <w:tcPr>
            <w:tcW w:w="800" w:type="dxa"/>
            <w:vAlign w:val="bottom"/>
          </w:tcPr>
          <w:p>
            <w:pPr>
              <w:spacing w:after="0"/>
              <w:rPr>
                <w:sz w:val="20"/>
                <w:szCs w:val="20"/>
                <w:color w:val="auto"/>
              </w:rPr>
            </w:pPr>
          </w:p>
        </w:tc>
      </w:tr>
      <w:tr>
        <w:trPr>
          <w:trHeight w:val="230"/>
        </w:trPr>
        <w:tc>
          <w:tcPr>
            <w:tcW w:w="800" w:type="dxa"/>
            <w:vAlign w:val="bottom"/>
          </w:tcPr>
          <w:p>
            <w:pPr>
              <w:spacing w:after="0"/>
              <w:rPr>
                <w:sz w:val="19"/>
                <w:szCs w:val="19"/>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0" w:type="dxa"/>
            <w:vAlign w:val="bottom"/>
          </w:tcPr>
          <w:p>
            <w:pPr>
              <w:spacing w:after="0"/>
              <w:rPr>
                <w:sz w:val="19"/>
                <w:szCs w:val="19"/>
                <w:color w:val="auto"/>
              </w:rPr>
            </w:pPr>
          </w:p>
        </w:tc>
      </w:tr>
      <w:tr>
        <w:trPr>
          <w:trHeight w:val="216"/>
        </w:trPr>
        <w:tc>
          <w:tcPr>
            <w:tcW w:w="800" w:type="dxa"/>
            <w:vAlign w:val="bottom"/>
          </w:tcPr>
          <w:p>
            <w:pPr>
              <w:spacing w:after="0"/>
              <w:rPr>
                <w:sz w:val="18"/>
                <w:szCs w:val="18"/>
                <w:color w:val="auto"/>
              </w:rPr>
            </w:pPr>
          </w:p>
        </w:tc>
        <w:tc>
          <w:tcPr>
            <w:tcW w:w="2940" w:type="dxa"/>
            <w:vAlign w:val="bottom"/>
          </w:tcPr>
          <w:p>
            <w:pPr>
              <w:ind w:left="120"/>
              <w:spacing w:after="0"/>
              <w:rPr>
                <w:sz w:val="20"/>
                <w:szCs w:val="20"/>
                <w:color w:val="auto"/>
              </w:rPr>
            </w:pPr>
            <w:r>
              <w:rPr>
                <w:rFonts w:ascii="Arial" w:cs="Arial" w:eastAsia="Arial" w:hAnsi="Arial"/>
                <w:sz w:val="18"/>
                <w:szCs w:val="18"/>
                <w:color w:val="auto"/>
              </w:rPr>
              <w:t>Restricted stock grants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254,403</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266,358</w:t>
            </w:r>
          </w:p>
        </w:tc>
        <w:tc>
          <w:tcPr>
            <w:tcW w:w="80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 options</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710,597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261,702</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699,044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151,575</w:t>
            </w:r>
          </w:p>
        </w:tc>
        <w:tc>
          <w:tcPr>
            <w:tcW w:w="800" w:type="dxa"/>
            <w:vAlign w:val="bottom"/>
          </w:tcPr>
          <w:p>
            <w:pPr>
              <w:spacing w:after="0"/>
              <w:rPr>
                <w:sz w:val="18"/>
                <w:szCs w:val="18"/>
                <w:color w:val="auto"/>
              </w:rPr>
            </w:pPr>
          </w:p>
        </w:tc>
      </w:tr>
      <w:tr>
        <w:trPr>
          <w:trHeight w:val="182"/>
        </w:trPr>
        <w:tc>
          <w:tcPr>
            <w:tcW w:w="800" w:type="dxa"/>
            <w:vAlign w:val="bottom"/>
          </w:tcPr>
          <w:p>
            <w:pPr>
              <w:spacing w:after="0"/>
              <w:rPr>
                <w:sz w:val="15"/>
                <w:szCs w:val="15"/>
                <w:color w:val="auto"/>
              </w:rPr>
            </w:pPr>
          </w:p>
        </w:tc>
        <w:tc>
          <w:tcPr>
            <w:tcW w:w="2940" w:type="dxa"/>
            <w:vAlign w:val="bottom"/>
          </w:tcPr>
          <w:p>
            <w:pPr>
              <w:ind w:left="120"/>
              <w:spacing w:after="0" w:line="182" w:lineRule="exact"/>
              <w:rPr>
                <w:sz w:val="20"/>
                <w:szCs w:val="20"/>
                <w:color w:val="auto"/>
              </w:rPr>
            </w:pPr>
            <w:r>
              <w:rPr>
                <w:rFonts w:ascii="Arial" w:cs="Arial" w:eastAsia="Arial" w:hAnsi="Arial"/>
                <w:sz w:val="18"/>
                <w:szCs w:val="18"/>
                <w:color w:val="auto"/>
              </w:rPr>
              <w:t>Diluted weighted-average common</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30"/>
        </w:trPr>
        <w:tc>
          <w:tcPr>
            <w:tcW w:w="800" w:type="dxa"/>
            <w:vAlign w:val="bottom"/>
          </w:tcPr>
          <w:p>
            <w:pPr>
              <w:spacing w:after="0"/>
              <w:rPr>
                <w:sz w:val="20"/>
                <w:szCs w:val="20"/>
                <w:color w:val="auto"/>
              </w:rPr>
            </w:pPr>
          </w:p>
        </w:tc>
        <w:tc>
          <w:tcPr>
            <w:tcW w:w="2940" w:type="dxa"/>
            <w:vAlign w:val="bottom"/>
          </w:tcPr>
          <w:p>
            <w:pPr>
              <w:ind w:left="120"/>
              <w:spacing w:after="0"/>
              <w:rPr>
                <w:sz w:val="20"/>
                <w:szCs w:val="20"/>
                <w:color w:val="auto"/>
              </w:rPr>
            </w:pPr>
            <w:r>
              <w:rPr>
                <w:rFonts w:ascii="Arial" w:cs="Arial" w:eastAsia="Arial" w:hAnsi="Arial"/>
                <w:sz w:val="18"/>
                <w:szCs w:val="18"/>
                <w:color w:val="auto"/>
              </w:rPr>
              <w:t>shares outstanding</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25,101,937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0"/>
              </w:rPr>
              <w:t>24,922,125</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25,085,158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3"/>
              </w:rPr>
              <w:t>24,773,345</w:t>
            </w:r>
          </w:p>
        </w:tc>
        <w:tc>
          <w:tcPr>
            <w:tcW w:w="800" w:type="dxa"/>
            <w:vAlign w:val="bottom"/>
          </w:tcPr>
          <w:p>
            <w:pPr>
              <w:spacing w:after="0"/>
              <w:rPr>
                <w:sz w:val="20"/>
                <w:szCs w:val="20"/>
                <w:color w:val="auto"/>
              </w:rPr>
            </w:pPr>
          </w:p>
        </w:tc>
      </w:tr>
      <w:tr>
        <w:trPr>
          <w:trHeight w:val="202"/>
        </w:trPr>
        <w:tc>
          <w:tcPr>
            <w:tcW w:w="800" w:type="dxa"/>
            <w:vAlign w:val="bottom"/>
          </w:tcPr>
          <w:p>
            <w:pPr>
              <w:spacing w:after="0"/>
              <w:rPr>
                <w:sz w:val="17"/>
                <w:szCs w:val="17"/>
                <w:color w:val="auto"/>
              </w:rPr>
            </w:pPr>
          </w:p>
        </w:tc>
        <w:tc>
          <w:tcPr>
            <w:tcW w:w="2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Earnings per share attributable to</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r>
      <w:tr>
        <w:trPr>
          <w:trHeight w:val="230"/>
        </w:trPr>
        <w:tc>
          <w:tcPr>
            <w:tcW w:w="800" w:type="dxa"/>
            <w:vAlign w:val="bottom"/>
          </w:tcPr>
          <w:p>
            <w:pPr>
              <w:spacing w:after="0"/>
              <w:rPr>
                <w:sz w:val="20"/>
                <w:szCs w:val="20"/>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Legacy Housing Corporation</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0" w:type="dxa"/>
            <w:vAlign w:val="bottom"/>
          </w:tcPr>
          <w:p>
            <w:pPr>
              <w:spacing w:after="0"/>
              <w:rPr>
                <w:sz w:val="20"/>
                <w:szCs w:val="20"/>
                <w:color w:val="auto"/>
              </w:rPr>
            </w:pPr>
          </w:p>
        </w:tc>
      </w:tr>
      <w:tr>
        <w:trPr>
          <w:trHeight w:val="216"/>
        </w:trPr>
        <w:tc>
          <w:tcPr>
            <w:tcW w:w="800" w:type="dxa"/>
            <w:vAlign w:val="bottom"/>
          </w:tcPr>
          <w:p>
            <w:pPr>
              <w:spacing w:after="0"/>
              <w:rPr>
                <w:sz w:val="18"/>
                <w:szCs w:val="18"/>
                <w:color w:val="auto"/>
              </w:rPr>
            </w:pPr>
          </w:p>
        </w:tc>
        <w:tc>
          <w:tcPr>
            <w:tcW w:w="2940" w:type="dxa"/>
            <w:vAlign w:val="bottom"/>
          </w:tcPr>
          <w:p>
            <w:pPr>
              <w:ind w:left="12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0.62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0.71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1.37</w:t>
            </w:r>
          </w:p>
        </w:tc>
        <w:tc>
          <w:tcPr>
            <w:tcW w:w="80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800" w:type="dxa"/>
            <w:vAlign w:val="bottom"/>
          </w:tcPr>
          <w:p>
            <w:pPr>
              <w:spacing w:after="0"/>
              <w:rPr>
                <w:sz w:val="18"/>
                <w:szCs w:val="18"/>
                <w:color w:val="auto"/>
              </w:rPr>
            </w:pPr>
          </w:p>
        </w:tc>
      </w:tr>
      <w:tr>
        <w:trPr>
          <w:trHeight w:val="877"/>
        </w:trPr>
        <w:tc>
          <w:tcPr>
            <w:tcW w:w="8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135"/>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561"/>
        </w:trPr>
        <w:tc>
          <w:tcPr>
            <w:tcW w:w="8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ind w:left="60" w:right="79"/>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RELATED PARTY TRANSACTIONS</w:t>
      </w:r>
    </w:p>
    <w:p>
      <w:pPr>
        <w:spacing w:after="0" w:line="189"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Bell Mobile Homes, a retailer owned by one of the Company’s significant owners, purchases manufactured homes from the Company. Accounts receivable balances due from Bell Mobile Homes were $0 as of June 30, 2023 and December 31, 2022. Accounts payable balances due to Bell Mobile Homes for maintenance and related services were $222 and $132 as of June 30, 2023 and December 31, 2022, respectively. Home sales to Bell Mobile Homes were $1,507 and $1,223 for the three months ended June 30, 2023 and 2022, respectively, and $1,987 and $1,855 for the six months ended June 30, 2023 and 2022, respectively.</w:t>
      </w:r>
    </w:p>
    <w:p>
      <w:pPr>
        <w:spacing w:after="0" w:line="151" w:lineRule="exact"/>
        <w:rPr>
          <w:sz w:val="20"/>
          <w:szCs w:val="20"/>
          <w:color w:val="auto"/>
        </w:rPr>
      </w:pPr>
    </w:p>
    <w:p>
      <w:pPr>
        <w:ind w:left="60" w:right="319" w:firstLine="648"/>
        <w:spacing w:after="0" w:line="296" w:lineRule="auto"/>
        <w:rPr>
          <w:sz w:val="20"/>
          <w:szCs w:val="20"/>
          <w:color w:val="auto"/>
        </w:rPr>
      </w:pPr>
      <w:r>
        <w:rPr>
          <w:rFonts w:ascii="Arial" w:cs="Arial" w:eastAsia="Arial" w:hAnsi="Arial"/>
          <w:sz w:val="16"/>
          <w:szCs w:val="16"/>
          <w:color w:val="auto"/>
        </w:rPr>
        <w:t>Shipley Bros., Ltd. (“Shipley Bros.”), a retailer owned by one of the Company’s significant shareholders, purchases manufactured homes from the Company. Home sales to Shipley Bros. were $252 and $1,018 for the three months ended June 30, 2023 and 2022, respectively, and $622 and $1,711 for the six months ended June 30, 2023 and 2022, respectively. Accounts receivable balances due from Shipley Bros. were $0 as of June 30, 2023 and December 31, 2022. There were no accounts payable balances due to Shipley Bros. as of June 30, 2023 and December 31, 2022.</w:t>
      </w:r>
    </w:p>
    <w:p>
      <w:pPr>
        <w:spacing w:after="0" w:line="121" w:lineRule="exact"/>
        <w:rPr>
          <w:sz w:val="20"/>
          <w:szCs w:val="20"/>
          <w:color w:val="auto"/>
        </w:rPr>
      </w:pPr>
    </w:p>
    <w:p>
      <w:pPr>
        <w:ind w:left="60" w:right="399" w:firstLine="648"/>
        <w:spacing w:after="0" w:line="277" w:lineRule="auto"/>
        <w:rPr>
          <w:sz w:val="20"/>
          <w:szCs w:val="20"/>
          <w:color w:val="auto"/>
        </w:rPr>
      </w:pPr>
      <w:r>
        <w:rPr>
          <w:rFonts w:ascii="Arial" w:cs="Arial" w:eastAsia="Arial" w:hAnsi="Arial"/>
          <w:sz w:val="18"/>
          <w:szCs w:val="18"/>
          <w:color w:val="auto"/>
        </w:rPr>
        <w:t>At June 30, 2023, the Company had a payable of $5 to a principal shareholder. This amount is included in the Company’s accounts payable balance as of June 30, 2023.</w:t>
      </w:r>
    </w:p>
    <w:p>
      <w:pPr>
        <w:spacing w:after="0" w:line="200" w:lineRule="exact"/>
        <w:rPr>
          <w:sz w:val="20"/>
          <w:szCs w:val="20"/>
          <w:color w:val="auto"/>
        </w:rPr>
      </w:pPr>
    </w:p>
    <w:p>
      <w:pPr>
        <w:spacing w:after="0" w:line="33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SUBSEQUENT EVENTS</w:t>
      </w:r>
    </w:p>
    <w:p>
      <w:pPr>
        <w:spacing w:after="0" w:line="202" w:lineRule="exact"/>
        <w:rPr>
          <w:sz w:val="20"/>
          <w:szCs w:val="20"/>
          <w:color w:val="auto"/>
        </w:rPr>
      </w:pPr>
    </w:p>
    <w:p>
      <w:pPr>
        <w:ind w:left="60" w:right="179" w:firstLine="648"/>
        <w:spacing w:after="0" w:line="273" w:lineRule="auto"/>
        <w:rPr>
          <w:sz w:val="20"/>
          <w:szCs w:val="20"/>
          <w:color w:val="auto"/>
        </w:rPr>
      </w:pPr>
      <w:r>
        <w:rPr>
          <w:rFonts w:ascii="Arial" w:cs="Arial" w:eastAsia="Arial" w:hAnsi="Arial"/>
          <w:sz w:val="17"/>
          <w:szCs w:val="17"/>
          <w:color w:val="auto"/>
        </w:rPr>
        <w:t>On July 28, 2023, the Company entered into a new Credit Agreement (the “New Revolving Credit Agreement”), by and among the Company as borrower, the financial institutions from time to time party thereto, as lenders, and Prosperity Bank as administrative agent. The New Revolving Credit Agreement provides for a four-year senior secured revolving credit facility with an initial commitment of $50,000,000 and an additional $25,000,000 commitment under an accordion feature. The New Revolving Credit Agreement is secured by the Company’s consumer loans receivables and all escrow accounts associated with the consumer loans receivables.</w:t>
      </w:r>
    </w:p>
    <w:p>
      <w:pPr>
        <w:spacing w:after="0" w:line="137" w:lineRule="exact"/>
        <w:rPr>
          <w:sz w:val="20"/>
          <w:szCs w:val="20"/>
          <w:color w:val="auto"/>
        </w:rPr>
      </w:pPr>
    </w:p>
    <w:p>
      <w:pPr>
        <w:ind w:left="60" w:right="239" w:firstLine="648"/>
        <w:spacing w:after="0" w:line="301" w:lineRule="auto"/>
        <w:rPr>
          <w:sz w:val="20"/>
          <w:szCs w:val="20"/>
          <w:color w:val="auto"/>
        </w:rPr>
      </w:pPr>
      <w:r>
        <w:rPr>
          <w:rFonts w:ascii="Arial" w:cs="Arial" w:eastAsia="Arial" w:hAnsi="Arial"/>
          <w:sz w:val="16"/>
          <w:szCs w:val="16"/>
          <w:color w:val="auto"/>
        </w:rPr>
        <w:t>At the Company's option, borrowings will bear interest at a per annum rate equal to, (i) Term Secured Overnight Financing Rate (“SOFR”) plus an applicable margin of 2.5% or 2.75% based upon the Company's average quarterly borrowings under the New Revolving Credit Agreement or (ii) a base rate plus an applicable margin of 2.5% or 2.75% based upon the Company's average quarterly borrowings under the New Revolving Credit Agreement.</w:t>
      </w:r>
    </w:p>
    <w:p>
      <w:pPr>
        <w:spacing w:after="0" w:line="13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On July 28, 2023, upon entry into the New Revolving Credit Agreement described above, the Capital One, N.A.</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revolving credit agreement was repaid in full, and all commitments thereunder were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ind w:left="60" w:right="179" w:firstLine="713"/>
        <w:spacing w:after="0" w:line="293" w:lineRule="auto"/>
        <w:rPr>
          <w:sz w:val="20"/>
          <w:szCs w:val="20"/>
          <w:color w:val="auto"/>
        </w:rPr>
      </w:pPr>
      <w:r>
        <w:rPr>
          <w:rFonts w:ascii="Arial" w:cs="Arial" w:eastAsia="Arial" w:hAnsi="Arial"/>
          <w:sz w:val="16"/>
          <w:szCs w:val="16"/>
          <w:i w:val="1"/>
          <w:iCs w:val="1"/>
          <w:color w:val="auto"/>
        </w:rPr>
        <w:t>The following discussion should be read in conjunction with the financial statements and accompanying notes and the information contained in other sections of this Form 10-Q. It contains forward-looking statements that involve risks and uncertainties, and is based on the beliefs of our management, as well as assumptions made by, and information currently available to, our management. Our actual results could differ materially from those anticipated by our management in these forward-looking statements as a result of various factors, including those discussed in this Form 10-Q and in our Registration Statement on Form S-1, particularly under the heading “Risk Factors.”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left="60" w:right="59" w:firstLine="648"/>
        <w:spacing w:after="0" w:line="288" w:lineRule="auto"/>
        <w:rPr>
          <w:sz w:val="20"/>
          <w:szCs w:val="20"/>
          <w:color w:val="auto"/>
        </w:rPr>
      </w:pPr>
      <w:r>
        <w:rPr>
          <w:rFonts w:ascii="Arial" w:cs="Arial" w:eastAsia="Arial" w:hAnsi="Arial"/>
          <w:sz w:val="16"/>
          <w:szCs w:val="16"/>
          <w:color w:val="auto"/>
        </w:rPr>
        <w:t>Legacy Housing Corporation builds, sells and finances manufactured homes and “tiny houses” that are distributed through a network of independent retailers and company-owned stores to consumers and manufactured housing communities. We are the fifth largest producer of manufactured homes in the United States as ranked by the number of homes manufactured based on information available from the Manufactured Housing Institute and the Institute for Building Technology and Safety for the twelve month period ending March 31, 2023. With current operations focused primarily in the southern United States, we offer our customers an array of quality homes ranging in size from approximately 395 to 2,667 square feet consisting of 1 to 5 bedrooms, with 1 to 3 1/2 bathrooms. Our homes range in price, at retail, from approximately $33,000 to $180,000. For the three and six months ended June 30, 2023, we sold 793 and 1,603 home sections, respectively (which are entire homes or single floors that are combined to create complete homes). For the three and six months ended June 30, 2022, we sold 999 and 2,003 home sections, respectively.</w:t>
      </w:r>
    </w:p>
    <w:p>
      <w:pPr>
        <w:spacing w:after="0" w:line="128"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The Company has one reportable segment. All of our activities are interrelated, and each activity is dependent and assessed based on how each of the activities of Company supports the others. For example, the sale of manufactured homes includes providing transportation and consignment arrangements with dealers. We also provide financing options to the customers to facilitate the sale of homes. In addition, the sale of homes is directly related to financing provided by us. Accordingly, all significant operating and strategic decisions by the chief operating decision-maker, the Executive Chairman of the Board, are based upon analyses of our company as one segment or unit.</w:t>
      </w:r>
    </w:p>
    <w:p>
      <w:pPr>
        <w:spacing w:after="0" w:line="124" w:lineRule="exact"/>
        <w:rPr>
          <w:sz w:val="20"/>
          <w:szCs w:val="20"/>
          <w:color w:val="auto"/>
        </w:rPr>
      </w:pPr>
    </w:p>
    <w:p>
      <w:pPr>
        <w:ind w:left="60" w:right="199" w:firstLine="648"/>
        <w:spacing w:after="0" w:line="288" w:lineRule="auto"/>
        <w:rPr>
          <w:sz w:val="20"/>
          <w:szCs w:val="20"/>
          <w:color w:val="auto"/>
        </w:rPr>
      </w:pPr>
      <w:r>
        <w:rPr>
          <w:rFonts w:ascii="Arial" w:cs="Arial" w:eastAsia="Arial" w:hAnsi="Arial"/>
          <w:sz w:val="16"/>
          <w:szCs w:val="16"/>
          <w:color w:val="auto"/>
        </w:rPr>
        <w:t>We believe our Company is one of the most vertically integrated in the manufactured housing industry, allowing us to offer a complete solution to our customers, from manufacturing custom-made homes using quality materials and distributing those homes through our expansive network of independent retailers and company-owned distribution locations, to providing tailored financing solutions for our customers. Our homes are constructed in the United States at one of our three manufacturing facilities in accordance with the construction and safety standards of the U.S. Department of Housing and Urban Development (“HUD”). Our factories employ high-volume production techniques that allow us to produce, on average, approximately 70 home sections, or 60 fully-completed homes depending on product mix, per week. We use quality materials and operate our own component manufacturing facilities for many of the items used in the construction of our homes. Each home can be configured according to a variety of floor plans and equipped with such features as fireplaces, central air conditioning and state-of-the-art kitchens.</w:t>
      </w:r>
    </w:p>
    <w:p>
      <w:pPr>
        <w:spacing w:after="0" w:line="141"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Our homes are marketed under our premier “Legacy” brand name and currently are sold primarily across 15 states through a network of 146 independent retail locations, 13 company-owned retail locations and through direct sales to owners of manufactured home communities. Our 13 company-owned retail locations, including 11 Heritage Housing stores and two Tiny House Outlet stores exclusively sell our homes. For the six months ended June 30, 2023, approximately 48% of our manufactured homes were sold in Texas, followed by 19% in Georgia, 7% in Louisiana, 4% in Florida, and 3% in Oklahoma. For the six months ended June 30, 2022, approximately 50% of our manufactured homes were sold in Texas, followed by 11% in Georgia, 8% in Florida, 5% in Louisiana and 5% in Alabama.</w:t>
      </w:r>
    </w:p>
    <w:p>
      <w:pPr>
        <w:spacing w:after="0" w:line="126" w:lineRule="exact"/>
        <w:rPr>
          <w:sz w:val="20"/>
          <w:szCs w:val="20"/>
          <w:color w:val="auto"/>
        </w:rPr>
      </w:pPr>
    </w:p>
    <w:p>
      <w:pPr>
        <w:ind w:left="60" w:right="159" w:firstLine="648"/>
        <w:spacing w:after="0" w:line="272" w:lineRule="auto"/>
        <w:rPr>
          <w:sz w:val="20"/>
          <w:szCs w:val="20"/>
          <w:color w:val="auto"/>
        </w:rPr>
      </w:pPr>
      <w:r>
        <w:rPr>
          <w:rFonts w:ascii="Arial" w:cs="Arial" w:eastAsia="Arial" w:hAnsi="Arial"/>
          <w:sz w:val="17"/>
          <w:szCs w:val="17"/>
          <w:color w:val="auto"/>
        </w:rPr>
        <w:t>We offer three types of financing solutions to our customers. We provide floor plan financing for our independent retailers, which takes the form of a consignment arrangement or a financed sale between the retailer and us. We also provide consumer financing for our products which are sold to end-users through both independent and company-owned retail locations, and we provide financing solutions to manufactured housing community owners that buy our products for use in their manufactured housing communities. Our ability to offer competitive financing options at our retail locations provides us with several competitive advantages and allows us to capture sales which may not have otherwise occurred without our ability to offer consumer financing.</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Factors Affecting Our Performance</w:t>
      </w:r>
    </w:p>
    <w:p>
      <w:pPr>
        <w:spacing w:after="0" w:line="202" w:lineRule="exact"/>
        <w:rPr>
          <w:sz w:val="20"/>
          <w:szCs w:val="20"/>
          <w:color w:val="auto"/>
        </w:rPr>
      </w:pPr>
    </w:p>
    <w:p>
      <w:pPr>
        <w:ind w:left="60" w:right="359" w:firstLine="648"/>
        <w:spacing w:after="0" w:line="277" w:lineRule="auto"/>
        <w:rPr>
          <w:sz w:val="20"/>
          <w:szCs w:val="20"/>
          <w:color w:val="auto"/>
        </w:rPr>
      </w:pPr>
      <w:r>
        <w:rPr>
          <w:rFonts w:ascii="Arial" w:cs="Arial" w:eastAsia="Arial" w:hAnsi="Arial"/>
          <w:sz w:val="18"/>
          <w:szCs w:val="18"/>
          <w:color w:val="auto"/>
        </w:rPr>
        <w:t>We believe that the growth of our business and our future success depend on various opportunities, challenges, trends and other factors, including the following:</w:t>
      </w:r>
    </w:p>
    <w:p>
      <w:pPr>
        <w:spacing w:after="0" w:line="130" w:lineRule="exact"/>
        <w:rPr>
          <w:sz w:val="20"/>
          <w:szCs w:val="20"/>
          <w:color w:val="auto"/>
        </w:rPr>
      </w:pPr>
    </w:p>
    <w:p>
      <w:pPr>
        <w:jc w:val="both"/>
        <w:ind w:left="1040" w:right="59" w:hanging="315"/>
        <w:spacing w:after="0" w:line="263"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purchased several properties in our market area for the purpose of developing manufactured housing communities and subdivisions. As of June 30, 2023, the cost of these properties include the following (dollars in thousands):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100" w:type="dxa"/>
            <w:vAlign w:val="bottom"/>
          </w:tcPr>
          <w:p>
            <w:pPr>
              <w:ind w:left="1240"/>
              <w:spacing w:after="0"/>
              <w:rPr>
                <w:sz w:val="20"/>
                <w:szCs w:val="20"/>
                <w:color w:val="auto"/>
              </w:rPr>
            </w:pPr>
            <w:r>
              <w:rPr>
                <w:rFonts w:ascii="Arial" w:cs="Arial" w:eastAsia="Arial" w:hAnsi="Arial"/>
                <w:sz w:val="18"/>
                <w:szCs w:val="18"/>
                <w:color w:val="auto"/>
              </w:rPr>
              <w:t>Location</w:t>
            </w:r>
          </w:p>
        </w:tc>
        <w:tc>
          <w:tcPr>
            <w:tcW w:w="180" w:type="dxa"/>
            <w:vAlign w:val="bottom"/>
          </w:tcPr>
          <w:p>
            <w:pPr>
              <w:spacing w:after="0"/>
              <w:rPr>
                <w:sz w:val="20"/>
                <w:szCs w:val="20"/>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5"/>
              </w:rPr>
              <w:t>Description</w:t>
            </w:r>
          </w:p>
        </w:tc>
        <w:tc>
          <w:tcPr>
            <w:tcW w:w="1740" w:type="dxa"/>
            <w:vAlign w:val="bottom"/>
            <w:gridSpan w:val="2"/>
          </w:tcPr>
          <w:p>
            <w:pPr>
              <w:ind w:left="240"/>
              <w:spacing w:after="0"/>
              <w:rPr>
                <w:sz w:val="20"/>
                <w:szCs w:val="20"/>
                <w:color w:val="auto"/>
              </w:rPr>
            </w:pPr>
            <w:r>
              <w:rPr>
                <w:rFonts w:ascii="Arial" w:cs="Arial" w:eastAsia="Arial" w:hAnsi="Arial"/>
                <w:sz w:val="18"/>
                <w:szCs w:val="18"/>
                <w:color w:val="auto"/>
                <w:w w:val="98"/>
              </w:rPr>
              <w:t>Date of Acquisition</w:t>
            </w:r>
          </w:p>
        </w:tc>
        <w:tc>
          <w:tcPr>
            <w:tcW w:w="160" w:type="dxa"/>
            <w:vAlign w:val="bottom"/>
          </w:tcPr>
          <w:p>
            <w:pPr>
              <w:spacing w:after="0"/>
              <w:rPr>
                <w:sz w:val="20"/>
                <w:szCs w:val="20"/>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Land</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w w:val="89"/>
              </w:rPr>
              <w:t>Improvements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Total</w:t>
            </w:r>
          </w:p>
        </w:tc>
      </w:tr>
      <w:tr>
        <w:trPr>
          <w:trHeight w:val="223"/>
        </w:trPr>
        <w:tc>
          <w:tcPr>
            <w:tcW w:w="3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Bastrop County, Texas</w:t>
            </w:r>
          </w:p>
        </w:tc>
        <w:tc>
          <w:tcPr>
            <w:tcW w:w="1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368 Acres</w:t>
            </w:r>
          </w:p>
        </w:tc>
        <w:tc>
          <w:tcPr>
            <w:tcW w:w="24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2018</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4,215</w:t>
            </w:r>
          </w:p>
        </w:tc>
        <w:tc>
          <w:tcPr>
            <w:tcW w:w="20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3,804</w:t>
            </w: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8,019</w:t>
            </w:r>
          </w:p>
        </w:tc>
      </w:tr>
      <w:tr>
        <w:trPr>
          <w:trHeight w:val="243"/>
        </w:trPr>
        <w:tc>
          <w:tcPr>
            <w:tcW w:w="3100" w:type="dxa"/>
            <w:vAlign w:val="bottom"/>
          </w:tcPr>
          <w:p>
            <w:pPr>
              <w:ind w:left="20"/>
              <w:spacing w:after="0"/>
              <w:rPr>
                <w:sz w:val="20"/>
                <w:szCs w:val="20"/>
                <w:color w:val="auto"/>
              </w:rPr>
            </w:pPr>
            <w:r>
              <w:rPr>
                <w:rFonts w:ascii="Arial" w:cs="Arial" w:eastAsia="Arial" w:hAnsi="Arial"/>
                <w:sz w:val="18"/>
                <w:szCs w:val="18"/>
                <w:color w:val="auto"/>
              </w:rPr>
              <w:t>Bexar County, Texas</w:t>
            </w:r>
          </w:p>
        </w:tc>
        <w:tc>
          <w:tcPr>
            <w:tcW w:w="180" w:type="dxa"/>
            <w:vAlign w:val="bottom"/>
          </w:tcPr>
          <w:p>
            <w:pPr>
              <w:spacing w:after="0"/>
              <w:rPr>
                <w:sz w:val="21"/>
                <w:szCs w:val="21"/>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rPr>
              <w:t>69 Acres</w:t>
            </w:r>
          </w:p>
        </w:tc>
        <w:tc>
          <w:tcPr>
            <w:tcW w:w="1740" w:type="dxa"/>
            <w:vAlign w:val="bottom"/>
            <w:gridSpan w:val="2"/>
          </w:tcPr>
          <w:p>
            <w:pPr>
              <w:ind w:left="240"/>
              <w:spacing w:after="0"/>
              <w:rPr>
                <w:sz w:val="20"/>
                <w:szCs w:val="20"/>
                <w:color w:val="auto"/>
              </w:rPr>
            </w:pPr>
            <w:r>
              <w:rPr>
                <w:rFonts w:ascii="Arial" w:cs="Arial" w:eastAsia="Arial" w:hAnsi="Arial"/>
                <w:sz w:val="18"/>
                <w:szCs w:val="18"/>
                <w:color w:val="auto"/>
              </w:rPr>
              <w:t>November 2018</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842</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949</w:t>
            </w:r>
          </w:p>
        </w:tc>
      </w:tr>
      <w:tr>
        <w:trPr>
          <w:trHeight w:val="243"/>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Horseshoe Bay, Texas</w:t>
            </w: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133 Acres</w:t>
            </w:r>
          </w:p>
        </w:tc>
        <w:tc>
          <w:tcPr>
            <w:tcW w:w="1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7"/>
              </w:rPr>
              <w:t>Various 2018-2019</w:t>
            </w: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4,481</w:t>
            </w:r>
          </w:p>
        </w:tc>
      </w:tr>
      <w:tr>
        <w:trPr>
          <w:trHeight w:val="243"/>
        </w:trPr>
        <w:tc>
          <w:tcPr>
            <w:tcW w:w="3100" w:type="dxa"/>
            <w:vAlign w:val="bottom"/>
          </w:tcPr>
          <w:p>
            <w:pPr>
              <w:ind w:left="20"/>
              <w:spacing w:after="0"/>
              <w:rPr>
                <w:sz w:val="20"/>
                <w:szCs w:val="20"/>
                <w:color w:val="auto"/>
              </w:rPr>
            </w:pPr>
            <w:r>
              <w:rPr>
                <w:rFonts w:ascii="Arial" w:cs="Arial" w:eastAsia="Arial" w:hAnsi="Arial"/>
                <w:sz w:val="18"/>
                <w:szCs w:val="18"/>
                <w:color w:val="auto"/>
              </w:rPr>
              <w:t>Johnson County, Texas</w:t>
            </w:r>
          </w:p>
        </w:tc>
        <w:tc>
          <w:tcPr>
            <w:tcW w:w="180" w:type="dxa"/>
            <w:vAlign w:val="bottom"/>
          </w:tcPr>
          <w:p>
            <w:pPr>
              <w:spacing w:after="0"/>
              <w:rPr>
                <w:sz w:val="21"/>
                <w:szCs w:val="21"/>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9"/>
              </w:rPr>
              <w:t>91.5 Acres</w:t>
            </w:r>
          </w:p>
        </w:tc>
        <w:tc>
          <w:tcPr>
            <w:tcW w:w="1740" w:type="dxa"/>
            <w:vAlign w:val="bottom"/>
            <w:gridSpan w:val="2"/>
          </w:tcPr>
          <w:p>
            <w:pPr>
              <w:ind w:left="240"/>
              <w:spacing w:after="0"/>
              <w:rPr>
                <w:sz w:val="20"/>
                <w:szCs w:val="20"/>
                <w:color w:val="auto"/>
              </w:rPr>
            </w:pPr>
            <w:r>
              <w:rPr>
                <w:rFonts w:ascii="Arial" w:cs="Arial" w:eastAsia="Arial" w:hAnsi="Arial"/>
                <w:sz w:val="18"/>
                <w:szCs w:val="18"/>
                <w:color w:val="auto"/>
              </w:rPr>
              <w:t>July 2019</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449</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449</w:t>
            </w:r>
          </w:p>
        </w:tc>
      </w:tr>
      <w:tr>
        <w:trPr>
          <w:trHeight w:val="243"/>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Venus, Texas</w:t>
            </w: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50 Acres</w:t>
            </w:r>
          </w:p>
        </w:tc>
        <w:tc>
          <w:tcPr>
            <w:tcW w:w="1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August 2019</w:t>
            </w: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r>
      <w:tr>
        <w:trPr>
          <w:trHeight w:val="243"/>
        </w:trPr>
        <w:tc>
          <w:tcPr>
            <w:tcW w:w="3100" w:type="dxa"/>
            <w:vAlign w:val="bottom"/>
          </w:tcPr>
          <w:p>
            <w:pPr>
              <w:ind w:left="20"/>
              <w:spacing w:after="0"/>
              <w:rPr>
                <w:sz w:val="20"/>
                <w:szCs w:val="20"/>
                <w:color w:val="auto"/>
              </w:rPr>
            </w:pPr>
            <w:r>
              <w:rPr>
                <w:rFonts w:ascii="Arial" w:cs="Arial" w:eastAsia="Arial" w:hAnsi="Arial"/>
                <w:sz w:val="18"/>
                <w:szCs w:val="18"/>
                <w:color w:val="auto"/>
              </w:rPr>
              <w:t>Wise County, Texas</w:t>
            </w:r>
          </w:p>
        </w:tc>
        <w:tc>
          <w:tcPr>
            <w:tcW w:w="180" w:type="dxa"/>
            <w:vAlign w:val="bottom"/>
          </w:tcPr>
          <w:p>
            <w:pPr>
              <w:spacing w:after="0"/>
              <w:rPr>
                <w:sz w:val="21"/>
                <w:szCs w:val="21"/>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9"/>
              </w:rPr>
              <w:t>81.5 Acres</w:t>
            </w:r>
          </w:p>
        </w:tc>
        <w:tc>
          <w:tcPr>
            <w:tcW w:w="1740" w:type="dxa"/>
            <w:vAlign w:val="bottom"/>
            <w:gridSpan w:val="2"/>
          </w:tcPr>
          <w:p>
            <w:pPr>
              <w:ind w:left="240"/>
              <w:spacing w:after="0"/>
              <w:rPr>
                <w:sz w:val="20"/>
                <w:szCs w:val="20"/>
                <w:color w:val="auto"/>
              </w:rPr>
            </w:pPr>
            <w:r>
              <w:rPr>
                <w:rFonts w:ascii="Arial" w:cs="Arial" w:eastAsia="Arial" w:hAnsi="Arial"/>
                <w:sz w:val="18"/>
                <w:szCs w:val="18"/>
                <w:color w:val="auto"/>
              </w:rPr>
              <w:t>September 2020</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889</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889</w:t>
            </w:r>
          </w:p>
        </w:tc>
      </w:tr>
      <w:tr>
        <w:trPr>
          <w:trHeight w:val="243"/>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Bexar County, Texas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233 Acres</w:t>
            </w:r>
          </w:p>
        </w:tc>
        <w:tc>
          <w:tcPr>
            <w:tcW w:w="17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February 2021</w:t>
            </w:r>
          </w:p>
        </w:tc>
        <w:tc>
          <w:tcPr>
            <w:tcW w:w="1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2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w:t>
            </w:r>
          </w:p>
        </w:tc>
      </w:tr>
      <w:tr>
        <w:trPr>
          <w:trHeight w:val="210"/>
        </w:trPr>
        <w:tc>
          <w:tcPr>
            <w:tcW w:w="3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11,006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6,160</w:t>
            </w:r>
          </w:p>
        </w:tc>
        <w:tc>
          <w:tcPr>
            <w:tcW w:w="2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17,166</w:t>
            </w:r>
          </w:p>
        </w:tc>
      </w:tr>
      <w:tr>
        <w:trPr>
          <w:trHeight w:val="20"/>
        </w:trPr>
        <w:tc>
          <w:tcPr>
            <w:tcW w:w="3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040" w:right="399" w:hanging="315"/>
        <w:spacing w:after="0" w:line="296" w:lineRule="auto"/>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also expect to provide financing solutions to a select group of our manufactured housing community-owner customers in a manner that includes developing new sites for products in or near urban locations where there is a shortage of sites to place our products. These solutions will be structured to give us an attractive return on investment when coupled with the gross margin we expect to make on products specifically targeted for sale to these new manufactured housing communities.</w:t>
      </w:r>
    </w:p>
    <w:p>
      <w:pPr>
        <w:spacing w:after="0" w:line="134" w:lineRule="exact"/>
        <w:rPr>
          <w:rFonts w:ascii="Arial" w:cs="Arial" w:eastAsia="Arial" w:hAnsi="Arial"/>
          <w:sz w:val="16"/>
          <w:szCs w:val="16"/>
          <w:color w:val="auto"/>
        </w:rPr>
      </w:pPr>
    </w:p>
    <w:p>
      <w:pPr>
        <w:ind w:left="1040" w:right="219" w:hanging="315"/>
        <w:spacing w:after="0" w:line="275" w:lineRule="auto"/>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Inflation has most recently been at it’s highest rate in the U.S. over the last 30 years. Our ability to maintain gross margins can be adversely impacted by sudden increases in specific costs, such as the increases in material and labor. In addition, measures used to combat inflation, such as increases in interest rates, could also have an impact on the ability of home buyers to obtain affordable financing. We continue to explore opportunities to minimize the impact of inflation on our future profitability.</w:t>
      </w:r>
    </w:p>
    <w:p>
      <w:pPr>
        <w:spacing w:after="0" w:line="135" w:lineRule="exact"/>
        <w:rPr>
          <w:rFonts w:ascii="Arial" w:cs="Arial" w:eastAsia="Arial" w:hAnsi="Arial"/>
          <w:sz w:val="17"/>
          <w:szCs w:val="17"/>
          <w:color w:val="auto"/>
        </w:rPr>
      </w:pPr>
    </w:p>
    <w:p>
      <w:pPr>
        <w:ind w:left="1040" w:right="119" w:hanging="315"/>
        <w:spacing w:after="0" w:line="269" w:lineRule="auto"/>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color w:val="auto"/>
        </w:rPr>
        <w:t>Finally, our financial performance will be impacted by our ability to fulfill current orders for our manufactured homes from dealers and customers. Our Georgia manufacturing facility has unutilized square footage available and with additional investment can add capacity to increase the number of homes that can be manufactured. We intend to increase production at the Georgia facility over time, particularly in response to orders increasingly being generated from new markets in Florida and the Carolinas. In order to maintain long term growth, we must be able to continue to properly estimate anticipated future volumes when making commitments regarding the level of business that we will seek and accept, the mix of products that we intend to manufacture, the timing of production schedules and the levels and utilization of inventory, equipment and personnel. We are actively reviewing organic and inorganic opportunities to add production capacity in attractive regions to meet future demand.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left="60" w:right="239" w:firstLine="648"/>
        <w:spacing w:after="0" w:line="277" w:lineRule="auto"/>
        <w:rPr>
          <w:sz w:val="20"/>
          <w:szCs w:val="20"/>
          <w:color w:val="auto"/>
        </w:rPr>
      </w:pPr>
      <w:r>
        <w:rPr>
          <w:rFonts w:ascii="Arial" w:cs="Arial" w:eastAsia="Arial" w:hAnsi="Arial"/>
          <w:sz w:val="18"/>
          <w:szCs w:val="18"/>
          <w:color w:val="auto"/>
        </w:rPr>
        <w:t>The following discussion should be read in conjunction with the information set forth in the financial statements and the accompanying notes appearing elsewhere in this Form 10-Q.</w:t>
      </w:r>
    </w:p>
    <w:p>
      <w:pPr>
        <w:spacing w:after="0" w:line="200" w:lineRule="exact"/>
        <w:rPr>
          <w:sz w:val="20"/>
          <w:szCs w:val="20"/>
          <w:color w:val="auto"/>
        </w:rPr>
      </w:pPr>
    </w:p>
    <w:p>
      <w:pPr>
        <w:spacing w:after="0" w:line="32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Comparison of Three Months ended June 30, 2023 and 2022 (in thousands)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5"/>
              </w:rPr>
              <w:t>$ change</w:t>
            </w:r>
          </w:p>
        </w:tc>
        <w:tc>
          <w:tcPr>
            <w:tcW w:w="10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right"/>
              <w:ind w:right="251"/>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Product sales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42,316</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55,098</w:t>
            </w:r>
          </w:p>
        </w:tc>
        <w:tc>
          <w:tcPr>
            <w:tcW w:w="18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(12,782)</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Consumer and MHP loans interest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13.2 %</w:t>
            </w:r>
          </w:p>
        </w:tc>
        <w:tc>
          <w:tcPr>
            <w:tcW w:w="0" w:type="dxa"/>
            <w:vAlign w:val="bottom"/>
          </w:tcPr>
          <w:p>
            <w:pPr>
              <w:spacing w:after="0"/>
              <w:rPr>
                <w:sz w:val="1"/>
                <w:szCs w:val="1"/>
                <w:color w:val="auto"/>
              </w:rPr>
            </w:pPr>
          </w:p>
        </w:tc>
      </w:tr>
      <w:tr>
        <w:trPr>
          <w:trHeight w:val="229"/>
        </w:trPr>
        <w:tc>
          <w:tcPr>
            <w:tcW w:w="4480" w:type="dxa"/>
            <w:vAlign w:val="bottom"/>
          </w:tcPr>
          <w:p>
            <w:pPr>
              <w:ind w:left="1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1,832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1,616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216</w:t>
            </w:r>
          </w:p>
        </w:tc>
        <w:tc>
          <w:tcPr>
            <w:tcW w:w="1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13.4 %</w:t>
            </w:r>
          </w:p>
        </w:tc>
        <w:tc>
          <w:tcPr>
            <w:tcW w:w="0" w:type="dxa"/>
            <w:vAlign w:val="bottom"/>
          </w:tcPr>
          <w:p>
            <w:pPr>
              <w:spacing w:after="0"/>
              <w:rPr>
                <w:sz w:val="1"/>
                <w:szCs w:val="1"/>
                <w:color w:val="auto"/>
              </w:rPr>
            </w:pPr>
          </w:p>
        </w:tc>
      </w:tr>
      <w:tr>
        <w:trPr>
          <w:trHeight w:val="20"/>
        </w:trPr>
        <w:tc>
          <w:tcPr>
            <w:tcW w:w="44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Total net revenue</w:t>
            </w: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52,636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64,211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(11,575)</w:t>
            </w:r>
          </w:p>
        </w:tc>
        <w:tc>
          <w:tcPr>
            <w:tcW w:w="180" w:type="dxa"/>
            <w:vAlign w:val="bottom"/>
            <w:vMerge w:val="continue"/>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9"/>
        </w:trPr>
        <w:tc>
          <w:tcPr>
            <w:tcW w:w="44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product sales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37,411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(7,702)</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Selling, general administrative expenses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5,527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5,901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(374)</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Dealer incentive</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(539)</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0"/>
        </w:trPr>
        <w:tc>
          <w:tcPr>
            <w:tcW w:w="4480" w:type="dxa"/>
            <w:vAlign w:val="bottom"/>
            <w:vMerge w:val="restart"/>
          </w:tcPr>
          <w:p>
            <w:pPr>
              <w:ind w:left="20"/>
              <w:spacing w:after="0"/>
              <w:rPr>
                <w:sz w:val="20"/>
                <w:szCs w:val="20"/>
                <w:color w:val="auto"/>
              </w:rPr>
            </w:pPr>
            <w:r>
              <w:rPr>
                <w:rFonts w:ascii="Arial" w:cs="Arial" w:eastAsia="Arial" w:hAnsi="Arial"/>
                <w:sz w:val="18"/>
                <w:szCs w:val="18"/>
                <w:color w:val="auto"/>
              </w:rPr>
              <w:t>Income from operations</w:t>
            </w: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17,500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20,460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(2,960)</w:t>
            </w:r>
          </w:p>
        </w:tc>
        <w:tc>
          <w:tcPr>
            <w:tcW w:w="180" w:type="dxa"/>
            <w:vAlign w:val="bottom"/>
            <w:vMerge w:val="continue"/>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9"/>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operating interest income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(157)</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Miscellaneous, net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835.3 %</w:t>
            </w: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(195)</w:t>
            </w:r>
          </w:p>
        </w:tc>
        <w:tc>
          <w:tcPr>
            <w:tcW w:w="2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(183)</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other</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44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80" w:type="dxa"/>
            <w:vAlign w:val="bottom"/>
          </w:tcPr>
          <w:p>
            <w:pPr>
              <w:ind w:left="220"/>
              <w:spacing w:after="0"/>
              <w:rPr>
                <w:sz w:val="20"/>
                <w:szCs w:val="20"/>
                <w:color w:val="auto"/>
              </w:rPr>
            </w:pPr>
            <w:r>
              <w:rPr>
                <w:rFonts w:ascii="Arial" w:cs="Arial" w:eastAsia="Arial" w:hAnsi="Arial"/>
                <w:sz w:val="18"/>
                <w:szCs w:val="18"/>
                <w:color w:val="auto"/>
              </w:rPr>
              <w:t>Income before income tax expense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18,090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21,077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(2,987)</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(3,070)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(3,816)</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44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15,020</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17,261</w:t>
            </w:r>
          </w:p>
        </w:tc>
        <w:tc>
          <w:tcPr>
            <w:tcW w:w="18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(2,241)</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39" w:firstLine="648"/>
        <w:spacing w:after="0" w:line="279" w:lineRule="auto"/>
        <w:rPr>
          <w:sz w:val="20"/>
          <w:szCs w:val="20"/>
          <w:color w:val="auto"/>
        </w:rPr>
      </w:pPr>
      <w:r>
        <w:rPr>
          <w:rFonts w:ascii="Arial" w:cs="Arial" w:eastAsia="Arial" w:hAnsi="Arial"/>
          <w:sz w:val="17"/>
          <w:szCs w:val="17"/>
          <w:color w:val="auto"/>
        </w:rPr>
        <w:t>Product sales primarily consist of direct sales, commercial sales, inventory finance sales and retail store sales. Product sales decreased $12.8 million, or 23.2%, during the three months ended June 30, 2023 as compared to the same period in 2022. This decrease was driven by an industry wide decrease in unit volumes and a decrease in the conversion of certain independent dealer consignment arrangements to financing arrangements.</w:t>
      </w:r>
    </w:p>
    <w:p>
      <w:pPr>
        <w:spacing w:after="0" w:line="144" w:lineRule="exact"/>
        <w:rPr>
          <w:sz w:val="20"/>
          <w:szCs w:val="20"/>
          <w:color w:val="auto"/>
        </w:rPr>
      </w:pPr>
    </w:p>
    <w:p>
      <w:pPr>
        <w:ind w:left="60" w:right="279" w:firstLine="648"/>
        <w:spacing w:after="0" w:line="277" w:lineRule="auto"/>
        <w:rPr>
          <w:sz w:val="20"/>
          <w:szCs w:val="20"/>
          <w:color w:val="auto"/>
        </w:rPr>
      </w:pPr>
      <w:r>
        <w:rPr>
          <w:rFonts w:ascii="Arial" w:cs="Arial" w:eastAsia="Arial" w:hAnsi="Arial"/>
          <w:sz w:val="18"/>
          <w:szCs w:val="18"/>
          <w:color w:val="auto"/>
        </w:rPr>
        <w:t>Net revenue attributable to our factory-built housing consisted of the following during the three months of 2023 and 2022:</w:t>
      </w:r>
    </w:p>
    <w:p>
      <w:pPr>
        <w:spacing w:after="0" w:line="135" w:lineRule="exact"/>
        <w:rPr>
          <w:sz w:val="20"/>
          <w:szCs w:val="20"/>
          <w:color w:val="auto"/>
        </w:rPr>
      </w:pPr>
    </w:p>
    <w:p>
      <w:pPr>
        <w:jc w:val="center"/>
        <w:ind w:left="21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2100"/>
        <w:spacing w:after="0"/>
        <w:rPr>
          <w:sz w:val="20"/>
          <w:szCs w:val="20"/>
          <w:color w:val="auto"/>
        </w:rPr>
      </w:pPr>
      <w:r>
        <w:rPr>
          <w:rFonts w:ascii="Arial" w:cs="Arial" w:eastAsia="Arial" w:hAnsi="Arial"/>
          <w:sz w:val="14"/>
          <w:szCs w:val="14"/>
          <w:b w:val="1"/>
          <w:bCs w:val="1"/>
          <w:color w:val="auto"/>
        </w:rPr>
        <w:t>June 30,</w:t>
      </w:r>
    </w:p>
    <w:p>
      <w:pPr>
        <w:ind w:left="5140"/>
        <w:spacing w:after="0" w:line="232" w:lineRule="auto"/>
        <w:rPr>
          <w:sz w:val="20"/>
          <w:szCs w:val="20"/>
          <w:color w:val="auto"/>
        </w:rPr>
      </w:pPr>
      <w:r>
        <w:rPr>
          <w:rFonts w:ascii="Arial" w:cs="Arial" w:eastAsia="Arial" w:hAnsi="Arial"/>
          <w:sz w:val="14"/>
          <w:szCs w:val="14"/>
          <w:b w:val="1"/>
          <w:bCs w:val="1"/>
          <w:color w:val="auto"/>
        </w:rPr>
        <w:t>(in thousands)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3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w w:val="95"/>
              </w:rPr>
              <w:t>$ Change</w:t>
            </w:r>
          </w:p>
        </w:tc>
        <w:tc>
          <w:tcPr>
            <w:tcW w:w="180" w:type="dxa"/>
            <w:vAlign w:val="bottom"/>
          </w:tcPr>
          <w:p>
            <w:pPr>
              <w:spacing w:after="0"/>
              <w:rPr>
                <w:sz w:val="12"/>
                <w:szCs w:val="12"/>
                <w:color w:val="auto"/>
              </w:rPr>
            </w:pPr>
          </w:p>
        </w:tc>
        <w:tc>
          <w:tcPr>
            <w:tcW w:w="102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 Change</w:t>
            </w:r>
          </w:p>
        </w:tc>
      </w:tr>
      <w:tr>
        <w:trPr>
          <w:trHeight w:val="210"/>
        </w:trPr>
        <w:tc>
          <w:tcPr>
            <w:tcW w:w="3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1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3300" w:type="dxa"/>
            <w:vAlign w:val="bottom"/>
          </w:tcPr>
          <w:p>
            <w:pPr>
              <w:ind w:left="120"/>
              <w:spacing w:after="0"/>
              <w:rPr>
                <w:sz w:val="20"/>
                <w:szCs w:val="20"/>
                <w:color w:val="auto"/>
              </w:rPr>
            </w:pPr>
            <w:r>
              <w:rPr>
                <w:rFonts w:ascii="Arial" w:cs="Arial" w:eastAsia="Arial" w:hAnsi="Arial"/>
                <w:sz w:val="18"/>
                <w:szCs w:val="18"/>
                <w:color w:val="auto"/>
              </w:rPr>
              <w:t>Products sold</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42,316</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55,098</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(12,782)</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(23.2)%</w:t>
            </w: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products sold</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(14.6)%</w:t>
            </w: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color w:val="auto"/>
              </w:rPr>
              <w:t>Net revenue per product sold</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62.4</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69.4</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(10.1)%</w:t>
            </w:r>
          </w:p>
        </w:tc>
      </w:tr>
    </w:tbl>
    <w:p>
      <w:pPr>
        <w:spacing w:after="0" w:line="363" w:lineRule="exact"/>
        <w:rPr>
          <w:sz w:val="20"/>
          <w:szCs w:val="20"/>
          <w:color w:val="auto"/>
        </w:rPr>
      </w:pPr>
    </w:p>
    <w:p>
      <w:pPr>
        <w:ind w:left="60" w:right="119" w:firstLine="648"/>
        <w:spacing w:after="0" w:line="275" w:lineRule="auto"/>
        <w:rPr>
          <w:sz w:val="20"/>
          <w:szCs w:val="20"/>
          <w:color w:val="auto"/>
        </w:rPr>
      </w:pPr>
      <w:r>
        <w:rPr>
          <w:rFonts w:ascii="Arial" w:cs="Arial" w:eastAsia="Arial" w:hAnsi="Arial"/>
          <w:sz w:val="17"/>
          <w:szCs w:val="17"/>
          <w:color w:val="auto"/>
        </w:rPr>
        <w:t>For the three months ended June 30, 2023, our net revenue per product sold decreased primarily due to changes in our product sales mix slightly offset by increases in unit prices over the first half of 2022, as rising material and labor costs were passed on to our customers. We had decreases in direct sales, inventory finance sales and retail store sales, partially offset by an increase in commercial sales and other product sales. Our commercial sales have lower margins than sales through our company-owned retail stores and our inventory financed sales.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59" w:firstLine="648"/>
        <w:spacing w:after="0" w:line="279" w:lineRule="auto"/>
        <w:rPr>
          <w:sz w:val="20"/>
          <w:szCs w:val="20"/>
          <w:color w:val="auto"/>
        </w:rPr>
      </w:pPr>
      <w:r>
        <w:rPr>
          <w:rFonts w:ascii="Arial" w:cs="Arial" w:eastAsia="Arial" w:hAnsi="Arial"/>
          <w:sz w:val="17"/>
          <w:szCs w:val="17"/>
          <w:color w:val="auto"/>
        </w:rPr>
        <w:t>Consumer and MHP loans interest income grew $1.0 million, or 13.2%, during the three months ended June 30, 2023 as compared to the same period in 2022 and is related to our increase in average outstanding MHP note portfolio balance and average outstanding consumer loan portfolio balance. Between June 30, 2023 and June 30, 2022 our MHP note portfolio increased by $43.9 million and our consumer loan portfolio increased by $15.1 million.</w:t>
      </w:r>
    </w:p>
    <w:p>
      <w:pPr>
        <w:spacing w:after="0" w:line="144"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Other revenue primarily consists of contract forfeitures, dealer finance fees and commercial lease rents and increased $0.2 million, or 13.4% during the three months ended June 30, 2023 as compared to the same period in 2022. This increase was primarily due to $0.1 million increase in forfeited deposits, a $0.2 million increase in dealer finance fees, partially offset by a $0.1 million decrease in portfolio fees &amp; servicer revenue. Commercial lease rents were flat for the quarter.</w:t>
      </w:r>
    </w:p>
    <w:p>
      <w:pPr>
        <w:spacing w:after="0" w:line="147" w:lineRule="exact"/>
        <w:rPr>
          <w:sz w:val="20"/>
          <w:szCs w:val="20"/>
          <w:color w:val="auto"/>
        </w:rPr>
      </w:pPr>
    </w:p>
    <w:p>
      <w:pPr>
        <w:ind w:left="60" w:right="579" w:firstLine="648"/>
        <w:spacing w:after="0" w:line="342" w:lineRule="auto"/>
        <w:rPr>
          <w:sz w:val="20"/>
          <w:szCs w:val="20"/>
          <w:color w:val="auto"/>
        </w:rPr>
      </w:pPr>
      <w:r>
        <w:rPr>
          <w:rFonts w:ascii="Arial" w:cs="Arial" w:eastAsia="Arial" w:hAnsi="Arial"/>
          <w:sz w:val="16"/>
          <w:szCs w:val="16"/>
          <w:color w:val="auto"/>
        </w:rPr>
        <w:t>The cost of product sales decreased $7.7 million, or 20.6%, during the three months ended June 30, 2023 as compared to the same period in 2022. The decrease in costs is primarily related to the decrease in units sold.</w:t>
      </w:r>
    </w:p>
    <w:p>
      <w:pPr>
        <w:spacing w:after="0" w:line="83" w:lineRule="exact"/>
        <w:rPr>
          <w:sz w:val="20"/>
          <w:szCs w:val="20"/>
          <w:color w:val="auto"/>
        </w:rPr>
      </w:pPr>
    </w:p>
    <w:p>
      <w:pPr>
        <w:ind w:left="60" w:right="399" w:firstLine="713"/>
        <w:spacing w:after="0" w:line="275" w:lineRule="auto"/>
        <w:rPr>
          <w:sz w:val="20"/>
          <w:szCs w:val="20"/>
          <w:color w:val="auto"/>
        </w:rPr>
      </w:pPr>
      <w:r>
        <w:rPr>
          <w:rFonts w:ascii="Arial" w:cs="Arial" w:eastAsia="Arial" w:hAnsi="Arial"/>
          <w:sz w:val="17"/>
          <w:szCs w:val="17"/>
          <w:color w:val="auto"/>
        </w:rPr>
        <w:t>Selling, general and administrative expenses decreased $0.4 million, or 6.3%, during the three months ended June 30, 2023 as compared to the same period in 2022. This decrease was primarily due to a $0.4 million decrease in consulting and professional fees, a $0.2 million decrease in warranty costs and a net $0.3 million decrease in other miscellaneous costs, partially offset by a $0.1 million increase in salaries and incentive costs, a $0.2 million increase in legal expense, and a $0.2 million increase in loan loss provision.</w:t>
      </w:r>
    </w:p>
    <w:p>
      <w:pPr>
        <w:spacing w:after="0" w:line="149" w:lineRule="exact"/>
        <w:rPr>
          <w:sz w:val="20"/>
          <w:szCs w:val="20"/>
          <w:color w:val="auto"/>
        </w:rPr>
      </w:pPr>
    </w:p>
    <w:p>
      <w:pPr>
        <w:ind w:left="60" w:right="399" w:firstLine="713"/>
        <w:spacing w:after="0" w:line="277" w:lineRule="auto"/>
        <w:rPr>
          <w:sz w:val="20"/>
          <w:szCs w:val="20"/>
          <w:color w:val="auto"/>
        </w:rPr>
      </w:pPr>
      <w:r>
        <w:rPr>
          <w:rFonts w:ascii="Arial" w:cs="Arial" w:eastAsia="Arial" w:hAnsi="Arial"/>
          <w:sz w:val="18"/>
          <w:szCs w:val="18"/>
          <w:color w:val="auto"/>
        </w:rPr>
        <w:t>Dealer incentive expense decreased $0.5 million, or 122.8%, during the three months ended June 30, 2023 as compared to the same period in 2022.</w:t>
      </w:r>
    </w:p>
    <w:p>
      <w:pPr>
        <w:spacing w:after="0" w:line="130" w:lineRule="exact"/>
        <w:rPr>
          <w:sz w:val="20"/>
          <w:szCs w:val="20"/>
          <w:color w:val="auto"/>
        </w:rPr>
      </w:pPr>
    </w:p>
    <w:p>
      <w:pPr>
        <w:ind w:left="60" w:right="359" w:firstLine="713"/>
        <w:spacing w:after="0" w:line="263" w:lineRule="auto"/>
        <w:rPr>
          <w:sz w:val="20"/>
          <w:szCs w:val="20"/>
          <w:color w:val="auto"/>
        </w:rPr>
      </w:pPr>
      <w:r>
        <w:rPr>
          <w:rFonts w:ascii="Arial" w:cs="Arial" w:eastAsia="Arial" w:hAnsi="Arial"/>
          <w:sz w:val="18"/>
          <w:szCs w:val="18"/>
          <w:color w:val="auto"/>
        </w:rPr>
        <w:t>Other income (expense), net was flat during the three months ended June 30, 2023 as compared to the same period in 2022. There was a decrease of $0.2 million in non-operating interest income, net offset by an increase of $0.2 million in miscellaneous income, net.</w:t>
      </w:r>
    </w:p>
    <w:p>
      <w:pPr>
        <w:spacing w:after="0" w:line="143" w:lineRule="exact"/>
        <w:rPr>
          <w:sz w:val="20"/>
          <w:szCs w:val="20"/>
          <w:color w:val="auto"/>
        </w:rPr>
      </w:pPr>
    </w:p>
    <w:p>
      <w:pPr>
        <w:ind w:left="60" w:right="179" w:firstLine="648"/>
        <w:spacing w:after="0" w:line="255" w:lineRule="auto"/>
        <w:rPr>
          <w:sz w:val="20"/>
          <w:szCs w:val="20"/>
          <w:color w:val="auto"/>
        </w:rPr>
      </w:pPr>
      <w:r>
        <w:rPr>
          <w:rFonts w:ascii="Arial" w:cs="Arial" w:eastAsia="Arial" w:hAnsi="Arial"/>
          <w:sz w:val="18"/>
          <w:szCs w:val="18"/>
          <w:color w:val="auto"/>
        </w:rPr>
        <w:t>Income tax expense was $3.1 million during the three months ended June 30, 2023 compared to $3.8 million for the same period in 2022. The effective tax rate for the three months ended June 30, 2023 was 17.0% and differs from the federal statutory rate of 21% primarily due to a federal tax credit for energy efficient construction, partially offset by state income taxes. The effective tax rate for the three months ended June 30, 2022 was 18.1% and differs from the federal statutory rate of 21% primarily due to a federal tax credit for energy efficient construction, partially offset by state income taxes.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Comparison of Six Months ended June 30, 2023 and 2022 (in thousands)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5"/>
              </w:rPr>
              <w:t>$ change</w:t>
            </w:r>
          </w:p>
        </w:tc>
        <w:tc>
          <w:tcPr>
            <w:tcW w:w="160" w:type="dxa"/>
            <w:vAlign w:val="bottom"/>
          </w:tcPr>
          <w:p>
            <w:pPr>
              <w:spacing w:after="0"/>
              <w:rPr>
                <w:sz w:val="14"/>
                <w:szCs w:val="14"/>
                <w:color w:val="auto"/>
              </w:rPr>
            </w:pPr>
          </w:p>
        </w:tc>
        <w:tc>
          <w:tcPr>
            <w:tcW w:w="10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231"/>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20"/>
              <w:spacing w:after="0"/>
              <w:rPr>
                <w:sz w:val="20"/>
                <w:szCs w:val="20"/>
                <w:color w:val="auto"/>
              </w:rPr>
            </w:pPr>
            <w:r>
              <w:rPr>
                <w:rFonts w:ascii="Arial" w:cs="Arial" w:eastAsia="Arial" w:hAnsi="Arial"/>
                <w:sz w:val="18"/>
                <w:szCs w:val="18"/>
                <w:color w:val="auto"/>
              </w:rPr>
              <w:t>Product sales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85,497</w:t>
            </w:r>
          </w:p>
        </w:tc>
        <w:tc>
          <w:tcPr>
            <w:tcW w:w="1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106,885</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(21,388)</w:t>
            </w: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450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Consumer and MHP loans interest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29"/>
        </w:trPr>
        <w:tc>
          <w:tcPr>
            <w:tcW w:w="4500" w:type="dxa"/>
            <w:vAlign w:val="bottom"/>
          </w:tcPr>
          <w:p>
            <w:pPr>
              <w:ind w:left="1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3,803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2,992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811</w:t>
            </w:r>
          </w:p>
        </w:tc>
        <w:tc>
          <w:tcPr>
            <w:tcW w:w="16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27.1 %</w:t>
            </w:r>
          </w:p>
        </w:tc>
        <w:tc>
          <w:tcPr>
            <w:tcW w:w="0" w:type="dxa"/>
            <w:vAlign w:val="bottom"/>
          </w:tcPr>
          <w:p>
            <w:pPr>
              <w:spacing w:after="0"/>
              <w:rPr>
                <w:sz w:val="1"/>
                <w:szCs w:val="1"/>
                <w:color w:val="auto"/>
              </w:rPr>
            </w:pPr>
          </w:p>
        </w:tc>
      </w:tr>
      <w:tr>
        <w:trPr>
          <w:trHeight w:val="20"/>
        </w:trPr>
        <w:tc>
          <w:tcPr>
            <w:tcW w:w="4500" w:type="dxa"/>
            <w:vAlign w:val="bottom"/>
            <w:tcBorders>
              <w:right w:val="single" w:sz="8" w:color="CCEEFF"/>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Total net revenue</w:t>
            </w: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tcBorders>
              <w:right w:val="single" w:sz="8" w:color="CCEEFF"/>
            </w:tcBorders>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105,493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124,139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(18,646)</w:t>
            </w:r>
          </w:p>
        </w:tc>
        <w:tc>
          <w:tcPr>
            <w:tcW w:w="160" w:type="dxa"/>
            <w:vAlign w:val="bottom"/>
            <w:vMerge w:val="continue"/>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9"/>
        </w:trPr>
        <w:tc>
          <w:tcPr>
            <w:tcW w:w="45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Cost of product sales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58,670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71,138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(12,468)</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4500" w:type="dxa"/>
            <w:vAlign w:val="bottom"/>
          </w:tcPr>
          <w:p>
            <w:pPr>
              <w:ind w:left="120"/>
              <w:spacing w:after="0"/>
              <w:rPr>
                <w:sz w:val="20"/>
                <w:szCs w:val="20"/>
                <w:color w:val="auto"/>
              </w:rPr>
            </w:pPr>
            <w:r>
              <w:rPr>
                <w:rFonts w:ascii="Arial" w:cs="Arial" w:eastAsia="Arial" w:hAnsi="Arial"/>
                <w:sz w:val="18"/>
                <w:szCs w:val="18"/>
                <w:color w:val="auto"/>
              </w:rPr>
              <w:t>Selling, general administrative expenses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10,938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13,560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(2,622)</w:t>
            </w: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450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Dealer incentive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0"/>
        </w:trPr>
        <w:tc>
          <w:tcPr>
            <w:tcW w:w="4500" w:type="dxa"/>
            <w:vAlign w:val="bottom"/>
            <w:vMerge w:val="restart"/>
          </w:tcPr>
          <w:p>
            <w:pPr>
              <w:ind w:left="20"/>
              <w:spacing w:after="0"/>
              <w:rPr>
                <w:sz w:val="20"/>
                <w:szCs w:val="20"/>
                <w:color w:val="auto"/>
              </w:rPr>
            </w:pPr>
            <w:r>
              <w:rPr>
                <w:rFonts w:ascii="Arial" w:cs="Arial" w:eastAsia="Arial" w:hAnsi="Arial"/>
                <w:sz w:val="18"/>
                <w:szCs w:val="18"/>
                <w:color w:val="auto"/>
              </w:rPr>
              <w:t>Income from operations</w:t>
            </w: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35,853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38,728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(2,875)</w:t>
            </w:r>
          </w:p>
        </w:tc>
        <w:tc>
          <w:tcPr>
            <w:tcW w:w="160" w:type="dxa"/>
            <w:vAlign w:val="bottom"/>
            <w:vMerge w:val="continue"/>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20"/>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operating interest income</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1,321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1,635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(314)</w:t>
            </w: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450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Miscellaneous, net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51.2 %</w:t>
            </w:r>
          </w:p>
        </w:tc>
        <w:tc>
          <w:tcPr>
            <w:tcW w:w="0" w:type="dxa"/>
            <w:vAlign w:val="bottom"/>
          </w:tcPr>
          <w:p>
            <w:pPr>
              <w:spacing w:after="0"/>
              <w:rPr>
                <w:sz w:val="1"/>
                <w:szCs w:val="1"/>
                <w:color w:val="auto"/>
              </w:rPr>
            </w:pPr>
          </w:p>
        </w:tc>
      </w:tr>
      <w:tr>
        <w:trPr>
          <w:trHeight w:val="216"/>
        </w:trPr>
        <w:tc>
          <w:tcPr>
            <w:tcW w:w="450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(239)</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w:t>
            </w: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19.2 %</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other</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45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00" w:type="dxa"/>
            <w:vAlign w:val="bottom"/>
          </w:tcPr>
          <w:p>
            <w:pPr>
              <w:ind w:left="220"/>
              <w:spacing w:after="0"/>
              <w:rPr>
                <w:sz w:val="20"/>
                <w:szCs w:val="20"/>
                <w:color w:val="auto"/>
              </w:rPr>
            </w:pPr>
            <w:r>
              <w:rPr>
                <w:rFonts w:ascii="Arial" w:cs="Arial" w:eastAsia="Arial" w:hAnsi="Arial"/>
                <w:sz w:val="18"/>
                <w:szCs w:val="18"/>
                <w:color w:val="auto"/>
              </w:rPr>
              <w:t>Income before income tax expense</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37,801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40,727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(2,926)</w:t>
            </w: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45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(7,375)</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45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31,296</w:t>
            </w:r>
          </w:p>
        </w:tc>
        <w:tc>
          <w:tcPr>
            <w:tcW w:w="1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33,352</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(2,056)</w:t>
            </w: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60" w:right="139" w:firstLine="648"/>
        <w:spacing w:after="0" w:line="279" w:lineRule="auto"/>
        <w:rPr>
          <w:sz w:val="20"/>
          <w:szCs w:val="20"/>
          <w:color w:val="auto"/>
        </w:rPr>
      </w:pPr>
      <w:r>
        <w:rPr>
          <w:rFonts w:ascii="Arial" w:cs="Arial" w:eastAsia="Arial" w:hAnsi="Arial"/>
          <w:sz w:val="17"/>
          <w:szCs w:val="17"/>
          <w:color w:val="auto"/>
        </w:rPr>
        <w:t>Product sales primarily consist of direct sales, commercial sales, inventory finance sales and retail store sales. Product sales decreased $21.4 million, or 20.0%, during the six months ended June 30, 2023 as compared to the same period in 2022. This decrease was driven by an industry wide decrease in unit volumes and a decrease in the conversion of certain independent dealer consignment arrangements to financing arrangements.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Net revenue attributable to our factory-built housing consisted of the following during the six months of 2023 and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2022:</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4"/>
          </w:tcPr>
          <w:p>
            <w:pPr>
              <w:jc w:val="center"/>
              <w:ind w:right="115"/>
              <w:spacing w:after="0"/>
              <w:rPr>
                <w:sz w:val="20"/>
                <w:szCs w:val="20"/>
                <w:color w:val="auto"/>
              </w:rPr>
            </w:pPr>
            <w:r>
              <w:rPr>
                <w:rFonts w:ascii="Arial" w:cs="Arial" w:eastAsia="Arial" w:hAnsi="Arial"/>
                <w:sz w:val="14"/>
                <w:szCs w:val="14"/>
                <w:b w:val="1"/>
                <w:bCs w:val="1"/>
                <w:color w:val="auto"/>
                <w:w w:val="93"/>
              </w:rPr>
              <w:t>Six Months Ended</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3"/>
          </w:tcPr>
          <w:p>
            <w:pPr>
              <w:jc w:val="center"/>
              <w:ind w:left="420"/>
              <w:spacing w:after="0" w:line="149" w:lineRule="exact"/>
              <w:rPr>
                <w:sz w:val="20"/>
                <w:szCs w:val="20"/>
                <w:color w:val="auto"/>
              </w:rPr>
            </w:pPr>
            <w:r>
              <w:rPr>
                <w:rFonts w:ascii="Arial" w:cs="Arial" w:eastAsia="Arial" w:hAnsi="Arial"/>
                <w:sz w:val="14"/>
                <w:szCs w:val="14"/>
                <w:b w:val="1"/>
                <w:bCs w:val="1"/>
                <w:color w:val="auto"/>
                <w:w w:val="92"/>
              </w:rPr>
              <w:t>June 30,</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center"/>
              <w:ind w:right="95"/>
              <w:spacing w:after="0"/>
              <w:rPr>
                <w:sz w:val="20"/>
                <w:szCs w:val="20"/>
                <w:color w:val="auto"/>
              </w:rPr>
            </w:pPr>
            <w:r>
              <w:rPr>
                <w:rFonts w:ascii="Arial" w:cs="Arial" w:eastAsia="Arial" w:hAnsi="Arial"/>
                <w:sz w:val="14"/>
                <w:szCs w:val="14"/>
                <w:b w:val="1"/>
                <w:bCs w:val="1"/>
                <w:color w:val="auto"/>
                <w:w w:val="91"/>
              </w:rPr>
              <w:t>(in thousands)</w:t>
            </w:r>
          </w:p>
        </w:tc>
        <w:tc>
          <w:tcPr>
            <w:tcW w:w="46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w:t>
            </w:r>
          </w:p>
        </w:tc>
        <w:tc>
          <w:tcPr>
            <w:tcW w:w="68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89"/>
              </w:rPr>
              <w:t>Change</w:t>
            </w:r>
          </w:p>
        </w:tc>
        <w:tc>
          <w:tcPr>
            <w:tcW w:w="140" w:type="dxa"/>
            <w:vAlign w:val="bottom"/>
          </w:tcPr>
          <w:p>
            <w:pPr>
              <w:spacing w:after="0"/>
              <w:rPr>
                <w:sz w:val="14"/>
                <w:szCs w:val="14"/>
                <w:color w:val="auto"/>
              </w:rPr>
            </w:pPr>
          </w:p>
        </w:tc>
        <w:tc>
          <w:tcPr>
            <w:tcW w:w="10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240"/>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235"/>
              <w:spacing w:after="0" w:line="142" w:lineRule="exact"/>
              <w:rPr>
                <w:sz w:val="20"/>
                <w:szCs w:val="20"/>
                <w:color w:val="auto"/>
              </w:rPr>
            </w:pPr>
            <w:r>
              <w:rPr>
                <w:rFonts w:ascii="Arial" w:cs="Arial" w:eastAsia="Arial" w:hAnsi="Arial"/>
                <w:sz w:val="14"/>
                <w:szCs w:val="14"/>
                <w:b w:val="1"/>
                <w:bCs w:val="1"/>
                <w:color w:val="auto"/>
              </w:rPr>
              <w:t>2022</w:t>
            </w:r>
          </w:p>
        </w:tc>
        <w:tc>
          <w:tcPr>
            <w:tcW w:w="46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1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20"/>
              <w:spacing w:after="0"/>
              <w:rPr>
                <w:sz w:val="20"/>
                <w:szCs w:val="20"/>
                <w:color w:val="auto"/>
              </w:rPr>
            </w:pPr>
            <w:r>
              <w:rPr>
                <w:rFonts w:ascii="Arial" w:cs="Arial" w:eastAsia="Arial" w:hAnsi="Arial"/>
                <w:sz w:val="18"/>
                <w:szCs w:val="18"/>
                <w:color w:val="auto"/>
              </w:rPr>
              <w:t>Products sold</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85,497</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106,885</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(21,388)</w:t>
            </w: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products sold</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color w:val="auto"/>
              </w:rPr>
              <w:t>Net revenue per product sold</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62.6</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67.0</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(4.4)</w:t>
            </w: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bl>
    <w:p>
      <w:pPr>
        <w:spacing w:after="0" w:line="376" w:lineRule="exact"/>
        <w:rPr>
          <w:sz w:val="20"/>
          <w:szCs w:val="20"/>
          <w:color w:val="auto"/>
        </w:rPr>
      </w:pPr>
    </w:p>
    <w:p>
      <w:pPr>
        <w:ind w:left="60" w:right="99" w:firstLine="648"/>
        <w:spacing w:after="0" w:line="288" w:lineRule="auto"/>
        <w:rPr>
          <w:sz w:val="20"/>
          <w:szCs w:val="20"/>
          <w:color w:val="auto"/>
        </w:rPr>
      </w:pPr>
      <w:r>
        <w:rPr>
          <w:rFonts w:ascii="Arial" w:cs="Arial" w:eastAsia="Arial" w:hAnsi="Arial"/>
          <w:sz w:val="16"/>
          <w:szCs w:val="16"/>
          <w:color w:val="auto"/>
        </w:rPr>
        <w:t>For the six months ended June 30, 2023, our net revenue per product sold decreased primarily due to changes in our product sales mix slightly offset by increases in unit prices over the first half of 2022, as rising material and labor costs were passed on to our customers. We had decreases in inventory finance sales, direct sales, retail store sales, and other product sales, partially offset by an increase in commercial sales. Our commercial sales have lower margins than sales through our company-owned retail stores and our inventory financed sales. For the six months ending June 30, 2023, we experienced a decrease in net revenue attributable to product sales due to the Company and the State of Georgia’s efforts to evaluate and improve the quality and consistency of homes manufactured in our Eatonton facility. These efforts have resulted in a temporary decrease in the rate of issuing HUD Labels of Certification and shipping finished homes from our Eatonton facility. We increased shipments from our Eatonton facility during the second quarter of 2023 and plan to meet or exceed historical levels in 2023, pending market conditions.</w:t>
      </w:r>
    </w:p>
    <w:p>
      <w:pPr>
        <w:spacing w:after="0" w:line="128" w:lineRule="exact"/>
        <w:rPr>
          <w:sz w:val="20"/>
          <w:szCs w:val="20"/>
          <w:color w:val="auto"/>
        </w:rPr>
      </w:pPr>
    </w:p>
    <w:p>
      <w:pPr>
        <w:ind w:left="60" w:right="419" w:firstLine="648"/>
        <w:spacing w:after="0" w:line="342" w:lineRule="auto"/>
        <w:rPr>
          <w:sz w:val="20"/>
          <w:szCs w:val="20"/>
          <w:color w:val="auto"/>
        </w:rPr>
      </w:pPr>
      <w:r>
        <w:rPr>
          <w:rFonts w:ascii="Arial" w:cs="Arial" w:eastAsia="Arial" w:hAnsi="Arial"/>
          <w:sz w:val="16"/>
          <w:szCs w:val="16"/>
          <w:color w:val="auto"/>
        </w:rPr>
        <w:t>Consumer and MHP loans interest income grew $1.9 million, or 13.5%, during the six months ended June 30, 2023 as compared to the same period in 2022 and is related to our increase in average outstanding MHP note portfolio</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balance and average outstanding consumer loan portfolio balance. Between June 30, 2023 and June 30, 2022 our MHP note portfolio increased by $43.9 million and our consumer loan portfolio increased by $15.1 million.</w:t>
      </w:r>
    </w:p>
    <w:p>
      <w:pPr>
        <w:spacing w:after="0" w:line="143" w:lineRule="exact"/>
        <w:rPr>
          <w:sz w:val="20"/>
          <w:szCs w:val="20"/>
          <w:color w:val="auto"/>
        </w:rPr>
      </w:pPr>
    </w:p>
    <w:p>
      <w:pPr>
        <w:ind w:left="60" w:right="79" w:firstLine="648"/>
        <w:spacing w:after="0" w:line="275" w:lineRule="auto"/>
        <w:rPr>
          <w:sz w:val="20"/>
          <w:szCs w:val="20"/>
          <w:color w:val="auto"/>
        </w:rPr>
      </w:pPr>
      <w:r>
        <w:rPr>
          <w:rFonts w:ascii="Arial" w:cs="Arial" w:eastAsia="Arial" w:hAnsi="Arial"/>
          <w:sz w:val="17"/>
          <w:szCs w:val="17"/>
          <w:color w:val="auto"/>
        </w:rPr>
        <w:t>Other revenue primarily consists of contract forfeitures, dealer finance fees and commercial lease rents and increased $0.8 million, or 27.1% during the six months ended June 30, 2023 as compared to the same period in 2022. This increase was primarily due to $0.2 million increase in forfeited deposits, a $0.6 million increase in dealer finance fees and a $0.1 million increase in commercial lease rents and a $0.1 million increase in setup and service sales, partially offset by a $0.2 million decrease in portfolio fees &amp; servicer revenue.</w:t>
      </w:r>
    </w:p>
    <w:p>
      <w:pPr>
        <w:spacing w:after="0" w:line="136" w:lineRule="exact"/>
        <w:rPr>
          <w:sz w:val="20"/>
          <w:szCs w:val="20"/>
          <w:color w:val="auto"/>
        </w:rPr>
      </w:pPr>
    </w:p>
    <w:p>
      <w:pPr>
        <w:ind w:left="60" w:right="639" w:firstLine="648"/>
        <w:spacing w:after="0" w:line="342" w:lineRule="auto"/>
        <w:rPr>
          <w:sz w:val="20"/>
          <w:szCs w:val="20"/>
          <w:color w:val="auto"/>
        </w:rPr>
      </w:pPr>
      <w:r>
        <w:rPr>
          <w:rFonts w:ascii="Arial" w:cs="Arial" w:eastAsia="Arial" w:hAnsi="Arial"/>
          <w:sz w:val="16"/>
          <w:szCs w:val="16"/>
          <w:color w:val="auto"/>
        </w:rPr>
        <w:t>The cost of product sales decreased $12.5 million, or 17.5%, during the six months ended June 30, 2023 as compared to the same period in 2022. The decrease in costs is primarily related to the decrease in units sold.</w:t>
      </w:r>
    </w:p>
    <w:p>
      <w:pPr>
        <w:spacing w:after="0" w:line="83" w:lineRule="exact"/>
        <w:rPr>
          <w:sz w:val="20"/>
          <w:szCs w:val="20"/>
          <w:color w:val="auto"/>
        </w:rPr>
      </w:pPr>
    </w:p>
    <w:p>
      <w:pPr>
        <w:ind w:left="60" w:right="119" w:firstLine="713"/>
        <w:spacing w:after="0" w:line="291" w:lineRule="auto"/>
        <w:rPr>
          <w:sz w:val="20"/>
          <w:szCs w:val="20"/>
          <w:color w:val="auto"/>
        </w:rPr>
      </w:pPr>
      <w:r>
        <w:rPr>
          <w:rFonts w:ascii="Arial" w:cs="Arial" w:eastAsia="Arial" w:hAnsi="Arial"/>
          <w:sz w:val="16"/>
          <w:szCs w:val="16"/>
          <w:color w:val="auto"/>
        </w:rPr>
        <w:t xml:space="preserve">Selling, general and administrative expenses decreased $2.6 million, or 19.3%, during the six months ended June 30, 2023 as compared to the same period in 2022. This decrease was primarily due to a $3.2 million decrease in salaries and incentive costs, a $0.4 million decrease in consulting and professional fees, a $0.2 million decrease in legal expense and a net $0.1 million decrease in other miscellaneous costs, partially offset by a $0.7 million increase in warranty costs, a $0.1 million increase in loan loss provision related to the adoption of ASU 2016-13 </w:t>
      </w:r>
      <w:r>
        <w:rPr>
          <w:rFonts w:ascii="Arial" w:cs="Arial" w:eastAsia="Arial" w:hAnsi="Arial"/>
          <w:sz w:val="16"/>
          <w:szCs w:val="16"/>
          <w:i w:val="1"/>
          <w:iCs w:val="1"/>
          <w:color w:val="auto"/>
        </w:rPr>
        <w:t>Financial Instruments—Credit Losses</w:t>
      </w:r>
      <w:r>
        <w:rPr>
          <w:rFonts w:ascii="Arial" w:cs="Arial" w:eastAsia="Arial" w:hAnsi="Arial"/>
          <w:sz w:val="16"/>
          <w:szCs w:val="16"/>
          <w:color w:val="auto"/>
        </w:rPr>
        <w:t xml:space="preserve"> </w:t>
      </w:r>
      <w:r>
        <w:rPr>
          <w:rFonts w:ascii="Arial" w:cs="Arial" w:eastAsia="Arial" w:hAnsi="Arial"/>
          <w:sz w:val="16"/>
          <w:szCs w:val="16"/>
          <w:i w:val="1"/>
          <w:iCs w:val="1"/>
          <w:color w:val="auto"/>
        </w:rPr>
        <w:t>(Topic 326): Measurement of Credit Losses on Financial Instruments</w:t>
      </w:r>
      <w:r>
        <w:rPr>
          <w:rFonts w:ascii="Arial" w:cs="Arial" w:eastAsia="Arial" w:hAnsi="Arial"/>
          <w:sz w:val="16"/>
          <w:szCs w:val="16"/>
          <w:color w:val="auto"/>
        </w:rPr>
        <w:t>, a $0.4 million increase in loan loss provision not</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to the adoption of ASU 2016-13, and a $0.1 million increase in advertising costs.</w:t>
      </w:r>
    </w:p>
    <w:p>
      <w:pPr>
        <w:spacing w:after="0" w:line="139" w:lineRule="exact"/>
        <w:rPr>
          <w:sz w:val="20"/>
          <w:szCs w:val="20"/>
          <w:color w:val="auto"/>
        </w:rPr>
      </w:pPr>
    </w:p>
    <w:p>
      <w:pPr>
        <w:ind w:left="60" w:right="639" w:firstLine="713"/>
        <w:spacing w:after="0" w:line="277" w:lineRule="auto"/>
        <w:rPr>
          <w:sz w:val="20"/>
          <w:szCs w:val="20"/>
          <w:color w:val="auto"/>
        </w:rPr>
      </w:pPr>
      <w:r>
        <w:rPr>
          <w:rFonts w:ascii="Arial" w:cs="Arial" w:eastAsia="Arial" w:hAnsi="Arial"/>
          <w:sz w:val="18"/>
          <w:szCs w:val="18"/>
          <w:color w:val="auto"/>
        </w:rPr>
        <w:t>Dealer incentive expense decreased $0.7 million, or 95.5%, during the six months ended June 30, 2023 as compared to the same period in 2022.</w:t>
      </w:r>
    </w:p>
    <w:p>
      <w:pPr>
        <w:spacing w:after="0" w:line="130" w:lineRule="exact"/>
        <w:rPr>
          <w:sz w:val="20"/>
          <w:szCs w:val="20"/>
          <w:color w:val="auto"/>
        </w:rPr>
      </w:pPr>
    </w:p>
    <w:p>
      <w:pPr>
        <w:ind w:left="60" w:right="159" w:firstLine="713"/>
        <w:spacing w:after="0" w:line="263" w:lineRule="auto"/>
        <w:rPr>
          <w:sz w:val="20"/>
          <w:szCs w:val="20"/>
          <w:color w:val="auto"/>
        </w:rPr>
      </w:pPr>
      <w:r>
        <w:rPr>
          <w:rFonts w:ascii="Arial" w:cs="Arial" w:eastAsia="Arial" w:hAnsi="Arial"/>
          <w:sz w:val="18"/>
          <w:szCs w:val="18"/>
          <w:color w:val="auto"/>
        </w:rPr>
        <w:t>Other income (expense), net was flat during the six months ended June 30, 2023 as compared to the same period in 2022. There was a decrease of $0.3 million in non-operating interest income offset by an increase of $0.3 million in miscellaneous income, net.</w:t>
      </w:r>
    </w:p>
    <w:p>
      <w:pPr>
        <w:spacing w:after="0" w:line="143"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Income tax expense was $6.5 million during the six months ended June 30, 2023 compared to $7.4 million for the same period in 2022. The effective tax rate for the six months ended June 30, 2023 was 17.2% and differs from the federal statutory rate of 21% primarily due to a federal tax credit for energy efficient construction, partially offset by state income taxes. The effective tax rate for the six months ended June 30, 2022 was 18.1% and differs from the federal statutory rate of 21% primarily due to a federal tax credit for energy efficient construction and partially offset by state income taxes.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Cash and Cash Equivalents</w:t>
      </w:r>
    </w:p>
    <w:p>
      <w:pPr>
        <w:spacing w:after="0" w:line="175" w:lineRule="exact"/>
        <w:rPr>
          <w:sz w:val="20"/>
          <w:szCs w:val="20"/>
          <w:color w:val="auto"/>
        </w:rPr>
      </w:pPr>
    </w:p>
    <w:p>
      <w:pPr>
        <w:ind w:left="60" w:right="59" w:firstLine="648"/>
        <w:spacing w:after="0" w:line="290" w:lineRule="auto"/>
        <w:rPr>
          <w:sz w:val="20"/>
          <w:szCs w:val="20"/>
          <w:color w:val="auto"/>
        </w:rPr>
      </w:pPr>
      <w:r>
        <w:rPr>
          <w:rFonts w:ascii="Arial" w:cs="Arial" w:eastAsia="Arial" w:hAnsi="Arial"/>
          <w:sz w:val="16"/>
          <w:szCs w:val="16"/>
          <w:color w:val="auto"/>
        </w:rPr>
        <w:t xml:space="preserve">We consider all cash and highly liquid investments with an original maturity of three months or less to be cash equivalents. We maintain cash balances in bank accounts that may, at times, exceed federally insured limits. We have not incurred any losses from such accounts and management considers the risk of loss to be minimal. We believe that cash flow from operations, cash and cash equivalents at June 30, 2023, and availability on our lines of credit will be sufficient to fund our operations and provide for growth for the next 12 to 18 months and into the foreseeable future. In 2020, we negotiated a credit agreement with Capital One, N.A. that expanded and extended our credit availability (see </w:t>
      </w:r>
      <w:r>
        <w:rPr>
          <w:rFonts w:ascii="Arial" w:cs="Arial" w:eastAsia="Arial" w:hAnsi="Arial"/>
          <w:sz w:val="16"/>
          <w:szCs w:val="16"/>
          <w:b w:val="1"/>
          <w:bCs w:val="1"/>
          <w:i w:val="1"/>
          <w:iCs w:val="1"/>
          <w:color w:val="auto"/>
        </w:rPr>
        <w:t>Indebtedness</w:t>
      </w:r>
      <w:r>
        <w:rPr>
          <w:rFonts w:ascii="Arial" w:cs="Arial" w:eastAsia="Arial" w:hAnsi="Arial"/>
          <w:sz w:val="16"/>
          <w:szCs w:val="16"/>
          <w:color w:val="auto"/>
        </w:rPr>
        <w:t xml:space="preserve"> – </w:t>
      </w:r>
      <w:r>
        <w:rPr>
          <w:rFonts w:ascii="Arial" w:cs="Arial" w:eastAsia="Arial" w:hAnsi="Arial"/>
          <w:sz w:val="16"/>
          <w:szCs w:val="16"/>
          <w:b w:val="1"/>
          <w:bCs w:val="1"/>
          <w:color w:val="auto"/>
        </w:rPr>
        <w:t>Capital</w:t>
      </w:r>
      <w:r>
        <w:rPr>
          <w:rFonts w:ascii="Arial" w:cs="Arial" w:eastAsia="Arial" w:hAnsi="Arial"/>
          <w:sz w:val="16"/>
          <w:szCs w:val="16"/>
          <w:color w:val="auto"/>
        </w:rPr>
        <w:t xml:space="preserve"> </w:t>
      </w:r>
      <w:r>
        <w:rPr>
          <w:rFonts w:ascii="Arial" w:cs="Arial" w:eastAsia="Arial" w:hAnsi="Arial"/>
          <w:sz w:val="16"/>
          <w:szCs w:val="16"/>
          <w:b w:val="1"/>
          <w:bCs w:val="1"/>
          <w:color w:val="auto"/>
        </w:rPr>
        <w:t>One Revolver</w:t>
      </w:r>
      <w:r>
        <w:rPr>
          <w:rFonts w:ascii="Arial" w:cs="Arial" w:eastAsia="Arial" w:hAnsi="Arial"/>
          <w:sz w:val="16"/>
          <w:szCs w:val="16"/>
          <w:color w:val="auto"/>
        </w:rPr>
        <w:t>, below). As of June 30, 2023, we had approximately $1.5 million in cash and cash equivalents, compared to</w:t>
      </w:r>
      <w:r>
        <w:rPr>
          <w:rFonts w:ascii="Arial" w:cs="Arial" w:eastAsia="Arial" w:hAnsi="Arial"/>
          <w:sz w:val="16"/>
          <w:szCs w:val="16"/>
          <w:b w:val="1"/>
          <w:bCs w:val="1"/>
          <w:color w:val="auto"/>
        </w:rPr>
        <w:t xml:space="preserve"> </w:t>
      </w:r>
      <w:r>
        <w:rPr>
          <w:rFonts w:ascii="Arial" w:cs="Arial" w:eastAsia="Arial" w:hAnsi="Arial"/>
          <w:sz w:val="16"/>
          <w:szCs w:val="16"/>
          <w:color w:val="auto"/>
        </w:rPr>
        <w:t>$2.8 million as of December 31, 2022. On July 28, 2023, the Company entered into a new Credit Agreement with Prosperity Bank and terminated the Revolver with Capital One. See Note 18 – Subsequent Events in our June 30, 2023 Condensed Financial Statements, included in Part I, Item 1, Financial Statements (Unaudited), of this Quarterly Report.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Cash Flow Activities</w:t>
      </w:r>
    </w:p>
    <w:p>
      <w:pPr>
        <w:spacing w:after="0" w:line="163" w:lineRule="exact"/>
        <w:rPr>
          <w:sz w:val="20"/>
          <w:szCs w:val="20"/>
          <w:color w:val="auto"/>
        </w:rPr>
      </w:pPr>
    </w:p>
    <w:p>
      <w:pPr>
        <w:ind w:left="6980"/>
        <w:spacing w:after="0"/>
        <w:rPr>
          <w:sz w:val="20"/>
          <w:szCs w:val="20"/>
          <w:color w:val="auto"/>
        </w:rPr>
      </w:pPr>
      <w:r>
        <w:rPr>
          <w:rFonts w:ascii="Arial" w:cs="Arial" w:eastAsia="Arial" w:hAnsi="Arial"/>
          <w:sz w:val="14"/>
          <w:szCs w:val="14"/>
          <w:b w:val="1"/>
          <w:bCs w:val="1"/>
          <w:color w:val="auto"/>
        </w:rPr>
        <w:t>Six Months Ended</w:t>
      </w:r>
    </w:p>
    <w:p>
      <w:pPr>
        <w:ind w:left="7280"/>
        <w:spacing w:after="0" w:line="226" w:lineRule="auto"/>
        <w:rPr>
          <w:sz w:val="20"/>
          <w:szCs w:val="20"/>
          <w:color w:val="auto"/>
        </w:rPr>
      </w:pPr>
      <w:r>
        <w:rPr>
          <w:rFonts w:ascii="Arial" w:cs="Arial" w:eastAsia="Arial" w:hAnsi="Arial"/>
          <w:sz w:val="14"/>
          <w:szCs w:val="14"/>
          <w:b w:val="1"/>
          <w:bCs w:val="1"/>
          <w:color w:val="auto"/>
        </w:rPr>
        <w:t>June 30,</w:t>
      </w:r>
    </w:p>
    <w:p>
      <w:pPr>
        <w:ind w:left="7120"/>
        <w:spacing w:after="0" w:line="231" w:lineRule="auto"/>
        <w:rPr>
          <w:sz w:val="20"/>
          <w:szCs w:val="20"/>
          <w:color w:val="auto"/>
        </w:rPr>
      </w:pPr>
      <w:r>
        <w:rPr>
          <w:rFonts w:ascii="Arial" w:cs="Arial" w:eastAsia="Arial" w:hAnsi="Arial"/>
          <w:sz w:val="14"/>
          <w:szCs w:val="14"/>
          <w:b w:val="1"/>
          <w:bCs w:val="1"/>
          <w:color w:val="auto"/>
        </w:rPr>
        <w:t>(in thousands)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6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2022</w:t>
            </w:r>
          </w:p>
        </w:tc>
      </w:tr>
      <w:tr>
        <w:trPr>
          <w:trHeight w:val="142"/>
        </w:trPr>
        <w:tc>
          <w:tcPr>
            <w:tcW w:w="6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16"/>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(7,464)</w:t>
            </w:r>
          </w:p>
        </w:tc>
        <w:tc>
          <w:tcPr>
            <w:tcW w:w="5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w:t>
            </w:r>
          </w:p>
        </w:tc>
      </w:tr>
      <w:tr>
        <w:trPr>
          <w:trHeight w:val="216"/>
        </w:trPr>
        <w:tc>
          <w:tcPr>
            <w:tcW w:w="6100" w:type="dxa"/>
            <w:vAlign w:val="bottom"/>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300" w:type="dxa"/>
            <w:vAlign w:val="bottom"/>
            <w:gridSpan w:val="2"/>
          </w:tcPr>
          <w:p>
            <w:pPr>
              <w:jc w:val="right"/>
              <w:ind w:right="127"/>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3,937</w:t>
            </w:r>
          </w:p>
        </w:tc>
        <w:tc>
          <w:tcPr>
            <w:tcW w:w="5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10,072</w:t>
            </w:r>
          </w:p>
        </w:tc>
      </w:tr>
      <w:tr>
        <w:trPr>
          <w:trHeight w:val="216"/>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5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7,109</w:t>
            </w:r>
          </w:p>
        </w:tc>
      </w:tr>
      <w:tr>
        <w:trPr>
          <w:trHeight w:val="210"/>
        </w:trPr>
        <w:tc>
          <w:tcPr>
            <w:tcW w:w="6100" w:type="dxa"/>
            <w:vAlign w:val="bottom"/>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20" w:type="dxa"/>
            <w:vAlign w:val="bottom"/>
          </w:tcPr>
          <w:p>
            <w:pPr>
              <w:spacing w:after="0"/>
              <w:rPr>
                <w:sz w:val="18"/>
                <w:szCs w:val="18"/>
                <w:color w:val="auto"/>
              </w:rPr>
            </w:pPr>
          </w:p>
        </w:tc>
        <w:tc>
          <w:tcPr>
            <w:tcW w:w="280" w:type="dxa"/>
            <w:vAlign w:val="bottom"/>
            <w:tcBorders>
              <w:top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(1,287)</w:t>
            </w:r>
          </w:p>
        </w:tc>
        <w:tc>
          <w:tcPr>
            <w:tcW w:w="240" w:type="dxa"/>
            <w:vAlign w:val="bottom"/>
          </w:tcPr>
          <w:p>
            <w:pPr>
              <w:spacing w:after="0"/>
              <w:rPr>
                <w:sz w:val="18"/>
                <w:szCs w:val="18"/>
                <w:color w:val="auto"/>
              </w:rPr>
            </w:pPr>
          </w:p>
        </w:tc>
        <w:tc>
          <w:tcPr>
            <w:tcW w:w="280" w:type="dxa"/>
            <w:vAlign w:val="bottom"/>
            <w:tcBorders>
              <w:top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13,225</w:t>
            </w:r>
          </w:p>
        </w:tc>
      </w:tr>
      <w:tr>
        <w:trPr>
          <w:trHeight w:val="216"/>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5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r>
      <w:tr>
        <w:trPr>
          <w:trHeight w:val="209"/>
        </w:trPr>
        <w:tc>
          <w:tcPr>
            <w:tcW w:w="610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1,531</w:t>
            </w:r>
          </w:p>
        </w:tc>
        <w:tc>
          <w:tcPr>
            <w:tcW w:w="2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14,267</w:t>
            </w:r>
          </w:p>
        </w:tc>
      </w:tr>
    </w:tbl>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Comparison of Cash Flow Activities from June 30, 2023 to June 30, 2022</w:t>
      </w:r>
    </w:p>
    <w:p>
      <w:pPr>
        <w:spacing w:after="0" w:line="189" w:lineRule="exact"/>
        <w:rPr>
          <w:sz w:val="20"/>
          <w:szCs w:val="20"/>
          <w:color w:val="auto"/>
        </w:rPr>
      </w:pPr>
    </w:p>
    <w:p>
      <w:pPr>
        <w:ind w:left="60" w:right="139" w:firstLine="648"/>
        <w:spacing w:after="0" w:line="255" w:lineRule="auto"/>
        <w:rPr>
          <w:sz w:val="20"/>
          <w:szCs w:val="20"/>
          <w:color w:val="auto"/>
        </w:rPr>
      </w:pPr>
      <w:r>
        <w:rPr>
          <w:rFonts w:ascii="Arial" w:cs="Arial" w:eastAsia="Arial" w:hAnsi="Arial"/>
          <w:sz w:val="18"/>
          <w:szCs w:val="18"/>
          <w:color w:val="auto"/>
        </w:rPr>
        <w:t>Net cash used in operating activities increased $3.5 million during the six months ended June 30, 2023, compared to the same period in 2022, primarily as a result of increased MHP originations net of collections, increased dealer inventory loan originations net of collections, increased volume of consumer loan originations net of principal collections, increased inventories, decrease in customer deposits, decrease in accounts payable and accrued liabilities and a decrease in dealer incentive liability. The increase in cash used in operating activities was partially offset by an increase in escrow liability.</w:t>
      </w:r>
    </w:p>
    <w:p>
      <w:pPr>
        <w:spacing w:after="0" w:line="152" w:lineRule="exact"/>
        <w:rPr>
          <w:sz w:val="20"/>
          <w:szCs w:val="20"/>
          <w:color w:val="auto"/>
        </w:rPr>
      </w:pPr>
    </w:p>
    <w:p>
      <w:pPr>
        <w:ind w:left="60" w:right="399" w:firstLine="648"/>
        <w:spacing w:after="0" w:line="296" w:lineRule="auto"/>
        <w:rPr>
          <w:sz w:val="20"/>
          <w:szCs w:val="20"/>
          <w:color w:val="auto"/>
        </w:rPr>
      </w:pPr>
      <w:r>
        <w:rPr>
          <w:rFonts w:ascii="Arial" w:cs="Arial" w:eastAsia="Arial" w:hAnsi="Arial"/>
          <w:sz w:val="16"/>
          <w:szCs w:val="16"/>
          <w:color w:val="auto"/>
        </w:rPr>
        <w:t>Net cash provided by investing activities of $3.9 million in 2023 was primarily attributable to $8.5 million in proceeds from the sale of treasury notes, $1.1 million in proceeds from the sale of leased property, $0.9 million of collections related to loans to third parties for the development of manufactured housing parks and collections of $0.2 million from our purchased consumer loans. These were offset by $5.3 million used for loans to third parties for the development of manufactured housing parks and $1.5 million used for the acquisition of property plant and equipment.</w:t>
      </w:r>
    </w:p>
    <w:p>
      <w:pPr>
        <w:spacing w:after="0" w:line="134" w:lineRule="exact"/>
        <w:rPr>
          <w:sz w:val="20"/>
          <w:szCs w:val="20"/>
          <w:color w:val="auto"/>
        </w:rPr>
      </w:pPr>
    </w:p>
    <w:p>
      <w:pPr>
        <w:ind w:left="60" w:right="219" w:firstLine="648"/>
        <w:spacing w:after="0" w:line="259" w:lineRule="auto"/>
        <w:rPr>
          <w:sz w:val="20"/>
          <w:szCs w:val="20"/>
          <w:color w:val="auto"/>
        </w:rPr>
      </w:pPr>
      <w:r>
        <w:rPr>
          <w:rFonts w:ascii="Arial" w:cs="Arial" w:eastAsia="Arial" w:hAnsi="Arial"/>
          <w:sz w:val="18"/>
          <w:szCs w:val="18"/>
          <w:color w:val="auto"/>
        </w:rPr>
        <w:t>Net cash provided by financing activities of $2.2 million in 2023 was attributable to net proceeds of $2.1 million on our lines of credit and $0.1 million received from the exercise of stock options. Net cash used in financing activities of $7.1 million in 2022 was attributable to net proceeds of $4.6 million on our lines of credit and $2.5 million in proceeds from other liabilities.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Indebtedness</w:t>
      </w:r>
    </w:p>
    <w:p>
      <w:pPr>
        <w:spacing w:after="0" w:line="194" w:lineRule="exact"/>
        <w:rPr>
          <w:sz w:val="20"/>
          <w:szCs w:val="20"/>
          <w:color w:val="auto"/>
        </w:rPr>
      </w:pPr>
    </w:p>
    <w:p>
      <w:pPr>
        <w:ind w:left="60" w:right="99" w:firstLine="648"/>
        <w:spacing w:after="0" w:line="266" w:lineRule="auto"/>
        <w:rPr>
          <w:sz w:val="20"/>
          <w:szCs w:val="20"/>
          <w:color w:val="auto"/>
        </w:rPr>
      </w:pPr>
      <w:r>
        <w:rPr>
          <w:rFonts w:ascii="Arial" w:cs="Arial" w:eastAsia="Arial" w:hAnsi="Arial"/>
          <w:sz w:val="18"/>
          <w:szCs w:val="18"/>
          <w:b w:val="1"/>
          <w:bCs w:val="1"/>
          <w:color w:val="auto"/>
        </w:rPr>
        <w:t xml:space="preserve">Capital One Revolver. </w:t>
      </w:r>
      <w:r>
        <w:rPr>
          <w:rFonts w:ascii="Arial" w:cs="Arial" w:eastAsia="Arial" w:hAnsi="Arial"/>
          <w:sz w:val="18"/>
          <w:szCs w:val="18"/>
          <w:color w:val="auto"/>
        </w:rPr>
        <w:t>On March 30, 2020, we entered into an agreement with Capital One, N.A.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One”) for a new revolving line of credit (“Revolver”). The Revolver had a maximum credit limit of $70,000 and a maturity date of March 30, 2024.</w:t>
      </w:r>
    </w:p>
    <w:p>
      <w:pPr>
        <w:spacing w:after="0" w:line="139"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On June 21, 2022, we received a Reservation of Rights notice from Capital One. The letter stated that our Revolver was in default. The default condition occurred due to our failure to timely file the Form 10-K and deliver certain financial statements to Capital One. On July 28, 2022, we entered into a Limited Waiver and First Amendment to Credit Agreement (the “Amendment”) with Capital One, N.A. The Amendment replaced the LIBOR borrowing rate with a secured overnight financing rate (“SOFR”) and waived a default arising out of a monetary judgement against the Company that exceeded the amount allowed in the Revolver.</w:t>
      </w:r>
    </w:p>
    <w:p>
      <w:pPr>
        <w:spacing w:after="0" w:line="152"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On August 24, 2022, we received a Notice of Default and Partial Suspension of Loan Commitments from Capital One. The notice stated that the July 28, 2022 forbearance agreement had been terminated and that Capital One was suspending $50,000 of the $70,000 loan commitment under the Revolver. As a result, the available line of credit in the Revolver has been limited to $20,000.</w:t>
      </w:r>
    </w:p>
    <w:p>
      <w:pPr>
        <w:spacing w:after="0" w:line="16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Revolver accrues interest at one-month SOFR plus 2.00%. The interest rates in effect as of June 30, 2023 and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December 31, 2022 are 7.17% and 6.12%, respectively. Amounts available under the Revolver are subject to a formula</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based on eligible consumer loans and MHP Notes and are secured by all accounts receivable, consumer loans and MHP</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Notes. The amount of available credit under the Revolver was $15,315 and $17,400 as of June 30, 2023 and December 31,</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2022, respectively. In connection with the Revolver, we paid certain arrangement fees and other fees of approximately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$295, which were capitalized as unamortized debt issuance costs and will be amortized to interest expense over the life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Revolver.</w:t>
      </w:r>
    </w:p>
    <w:p>
      <w:pPr>
        <w:spacing w:after="0" w:line="170" w:lineRule="exact"/>
        <w:rPr>
          <w:sz w:val="20"/>
          <w:szCs w:val="20"/>
          <w:color w:val="auto"/>
        </w:rPr>
      </w:pPr>
    </w:p>
    <w:p>
      <w:pPr>
        <w:ind w:left="60" w:right="119" w:firstLine="648"/>
        <w:spacing w:after="0" w:line="273" w:lineRule="auto"/>
        <w:rPr>
          <w:sz w:val="20"/>
          <w:szCs w:val="20"/>
          <w:color w:val="auto"/>
        </w:rPr>
      </w:pPr>
      <w:r>
        <w:rPr>
          <w:rFonts w:ascii="Arial" w:cs="Arial" w:eastAsia="Arial" w:hAnsi="Arial"/>
          <w:sz w:val="17"/>
          <w:szCs w:val="17"/>
          <w:color w:val="auto"/>
        </w:rPr>
        <w:t>For the three months ended June 30, 2023 and 2022, interest expense under the Revolver was $195 and $182, respectively. For the six months ended June 30, 2023 and 2022, interest expense under the Revolver was $286 and $239, respectively. The outstanding balance as of June 30, 2023 and December 31, 2022 was $4,685 and $2,545, respectively. The Revolver requires the Company to comply with certain financial and non-financial covenants. We were in compliance with all financial covenants as of as of June 30, 2023, including that we maintain a tangible net worth of at least $120,000 and that it maintain a ratio of debt to EBITDA of 4 to 1, or less.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is a summary of contractual cash obligations as of June 30, 2023:</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1"/>
              </w:rPr>
              <w:t>Payments Due by Period (in thousands)</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291"/>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Contractual Obligations</w:t>
            </w: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24"/>
                <w:szCs w:val="24"/>
                <w:color w:val="auto"/>
              </w:rPr>
            </w:pPr>
          </w:p>
        </w:tc>
        <w:tc>
          <w:tcPr>
            <w:tcW w:w="70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2024 - 2025</w:t>
            </w:r>
          </w:p>
        </w:tc>
        <w:tc>
          <w:tcPr>
            <w:tcW w:w="18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2026 - 2027</w:t>
            </w:r>
          </w:p>
        </w:tc>
        <w:tc>
          <w:tcPr>
            <w:tcW w:w="180" w:type="dxa"/>
            <w:vAlign w:val="bottom"/>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After 2027</w:t>
            </w:r>
          </w:p>
        </w:tc>
      </w:tr>
      <w:tr>
        <w:trPr>
          <w:trHeight w:val="209"/>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Lines of credit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4,685</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4,685</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Operating lease obligations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2,204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305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1,043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743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113</w:t>
            </w:r>
          </w:p>
        </w:tc>
      </w:tr>
    </w:tbl>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 Balance Sheet Arrangements</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We did not have any off-balance sheet arrangements that are reasonably likely to have a current or future effect</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on our financial condition, net sales, results of operations, liquidity or capital expenditures. However, we do have a</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repurchase agreement with a financial institution that provides inventory financing for independent retailers of our</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products. Under this agreement, we have agreed to repurchase homes at declining prices over the term of the agreement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(24 months). Our obligation under this repurchase agreement ceases upon the purchase of the home by the retail customer.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maximum amount of our contingent obligations under such repurchase agreements was approximately $6,740 and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$8,925 as of June 30, 2023 and December 31, 2022, respectively, without reduction for the resale value of the homes. We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may be required to honor contingent repurchase obligations in the future and may incur additional expense as a</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7"/>
          <w:szCs w:val="17"/>
          <w:color w:val="auto"/>
        </w:rPr>
        <w:t>consequence of these repurchase agreements. We consider our obligations on current contracts to be immaterial and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accordingly we have not recorded any reserve for repurchase commitment as of June 30, 2023.</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189"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Critical accounting estimates are those that we believe are both significant and require us to make difficult, subjective or complex judgments, often because we need to estimate the effect of inherently uncertain matters. We base our estimates and judgments on historical experiences and various other factors that we believe to be appropriate under the circumstances. Actual results may differ from these estimates, and we might obtain different estimates if we used different assumptions or conditions. Our critical accounting estimates are identified and described in our Annual Report on Form 10-K for the year ended December 31, 2022. Subsequent to the filing of our Annual Report, we adopted FASB’s ASC 326 for determining Current Expected Credit Losses. In connection with this adoption, we implemented certain changes to our processes and controls related to our methods for estimating allowances for credit losses.</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left="60" w:right="319" w:firstLine="648"/>
        <w:spacing w:after="0" w:line="263" w:lineRule="auto"/>
        <w:rPr>
          <w:sz w:val="20"/>
          <w:szCs w:val="20"/>
          <w:color w:val="auto"/>
        </w:rPr>
      </w:pPr>
      <w:r>
        <w:rPr>
          <w:rFonts w:ascii="Arial" w:cs="Arial" w:eastAsia="Arial" w:hAnsi="Arial"/>
          <w:sz w:val="18"/>
          <w:szCs w:val="18"/>
          <w:color w:val="auto"/>
        </w:rPr>
        <w:t>For information regarding recent accounting pronouncements, see Note 1 – Nature of Operations, Recent Accounting Pronouncements to our June 30, 2023 Condensed Financial Statements, included in Part I, Item 1, Financial Statements (Unaudited), of this Quarterly Report.</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Emerging Growth Company Status</w:t>
      </w:r>
    </w:p>
    <w:p>
      <w:pPr>
        <w:spacing w:after="0" w:line="202" w:lineRule="exact"/>
        <w:rPr>
          <w:sz w:val="20"/>
          <w:szCs w:val="20"/>
          <w:color w:val="auto"/>
        </w:rPr>
      </w:pPr>
    </w:p>
    <w:p>
      <w:pPr>
        <w:ind w:left="60" w:right="159" w:firstLine="648"/>
        <w:spacing w:after="0" w:line="273" w:lineRule="auto"/>
        <w:rPr>
          <w:sz w:val="20"/>
          <w:szCs w:val="20"/>
          <w:color w:val="auto"/>
        </w:rPr>
      </w:pPr>
      <w:r>
        <w:rPr>
          <w:rFonts w:ascii="Arial" w:cs="Arial" w:eastAsia="Arial" w:hAnsi="Arial"/>
          <w:sz w:val="17"/>
          <w:szCs w:val="17"/>
          <w:color w:val="auto"/>
        </w:rPr>
        <w:t>We are an “emerging growth company,” as defined in the JOBS Act.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elected to take advantage of these exemptions until we are no longer an emerging growth company or until we affirmatively and irrevocably opt out of this exemption.</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 for smaller reporting companies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Disclosure Controls and Procedures</w:t>
      </w:r>
    </w:p>
    <w:p>
      <w:pPr>
        <w:spacing w:after="0" w:line="243"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We are subject to the periodic reporting requirements as defined in Rule 13a-15(e) of the Exchange Act that require designing disclosure controls and procedures to provide reasonable assurance that the information we disclose in reports we file or submit with the SEC are recorded, processed, summarized, and reported within the time periods specified in the rules and forms. Disclosure controls and procedures include, without limitation, controls and procedures designed to ensure that information required to be disclosed by us in the reports that we file or submit under the Exchange Act is accumulated and communicated to our management, including our principal executive officer and principal financial officer, as appropriate, to allow for timely decisions regarding required disclosures.</w:t>
      </w:r>
    </w:p>
    <w:p>
      <w:pPr>
        <w:spacing w:after="0" w:line="150"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As of the end of the period covered by this Quarterly Report on Form 10-Q, the Company’s management conducted an evaluation, under the supervision and with the participation of the Chief Executive Officer and the Chief Financial Officer, of the effectiveness of the design and operation of the Company’s disclosure controls and procedures of the Exchange Act). Based on this evaluation, the Chief Executive Officer and the Chief Financial Officer each concluded, as of the end of the period, that our disclosure controls and procedures were not effective as of June 30, 2023, due to material weaknesses in internal control over financial reporting that were disclosed in our Annual Report on Form 10-K for the fiscal year ended December 31, 2022, as described below.</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Material Weaknesses in Internal Control Over Financial Reporting</w:t>
      </w:r>
    </w:p>
    <w:p>
      <w:pPr>
        <w:spacing w:after="0" w:line="189" w:lineRule="exact"/>
        <w:rPr>
          <w:sz w:val="20"/>
          <w:szCs w:val="20"/>
          <w:color w:val="auto"/>
        </w:rPr>
      </w:pPr>
    </w:p>
    <w:p>
      <w:pPr>
        <w:ind w:left="60" w:right="239" w:firstLine="648"/>
        <w:spacing w:after="0" w:line="296" w:lineRule="auto"/>
        <w:rPr>
          <w:sz w:val="20"/>
          <w:szCs w:val="20"/>
          <w:color w:val="auto"/>
        </w:rPr>
      </w:pPr>
      <w:r>
        <w:rPr>
          <w:rFonts w:ascii="Arial" w:cs="Arial" w:eastAsia="Arial" w:hAnsi="Arial"/>
          <w:sz w:val="16"/>
          <w:szCs w:val="16"/>
          <w:color w:val="auto"/>
        </w:rPr>
        <w:t>As previously disclosed in our Annual report on Form 10-K filed with the SEC for the year ended December 31, 2022 we identified material weaknesses in our internal control over financial reporting during the preparation of our financial statements. Under standards established by the PCAOB, a material weakness is a deficiency or combination of deficiencies in internal control over financial reporting, such that there is a reasonable possibility that a material misstatement of annual or interim financial statements will not be prevented or detected and corrected on a timely basis.</w:t>
      </w:r>
    </w:p>
    <w:p>
      <w:pPr>
        <w:spacing w:after="0" w:line="13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material weaknesses in financial reporting as of June 30, 2023 are summarized as follows:</w:t>
      </w:r>
    </w:p>
    <w:p>
      <w:pPr>
        <w:spacing w:after="0" w:line="185" w:lineRule="exact"/>
        <w:rPr>
          <w:sz w:val="20"/>
          <w:szCs w:val="20"/>
          <w:color w:val="auto"/>
        </w:rPr>
      </w:pPr>
    </w:p>
    <w:p>
      <w:pPr>
        <w:ind w:left="60" w:right="219" w:firstLine="638"/>
        <w:spacing w:after="0" w:line="263" w:lineRule="auto"/>
        <w:tabs>
          <w:tab w:leader="none" w:pos="1356"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determined that we did not have sufficient accounting systems and procedures in-place, particularly in the areas of revenue recognition, processing of accounts payable, prepaid expenses, and inventory costing and management.</w:t>
      </w:r>
    </w:p>
    <w:p>
      <w:pPr>
        <w:spacing w:after="0" w:line="143" w:lineRule="exact"/>
        <w:rPr>
          <w:rFonts w:ascii="Arial" w:cs="Arial" w:eastAsia="Arial" w:hAnsi="Arial"/>
          <w:sz w:val="18"/>
          <w:szCs w:val="18"/>
          <w:color w:val="auto"/>
        </w:rPr>
      </w:pPr>
    </w:p>
    <w:p>
      <w:pPr>
        <w:ind w:left="60" w:right="259" w:firstLine="638"/>
        <w:spacing w:after="0" w:line="263" w:lineRule="auto"/>
        <w:tabs>
          <w:tab w:leader="none" w:pos="1356"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determined that we did not have sufficient policies and procedures to ensure the appropriate review and approval of user access rights to our accounting system, and lack of approval of journal entries and segregation of duties in our financial reporting process.</w:t>
      </w:r>
    </w:p>
    <w:p>
      <w:pPr>
        <w:spacing w:after="0" w:line="156" w:lineRule="exact"/>
        <w:rPr>
          <w:rFonts w:ascii="Arial" w:cs="Arial" w:eastAsia="Arial" w:hAnsi="Arial"/>
          <w:sz w:val="18"/>
          <w:szCs w:val="18"/>
          <w:color w:val="auto"/>
        </w:rPr>
      </w:pPr>
    </w:p>
    <w:p>
      <w:pPr>
        <w:ind w:left="60" w:right="459" w:firstLine="638"/>
        <w:spacing w:after="0" w:line="277" w:lineRule="auto"/>
        <w:tabs>
          <w:tab w:leader="none" w:pos="1356"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determined that our information technology infrastructure does not provide sufficient safeguards required by the COBIT framework.</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Remediation Efforts to Address Previously-Identified Material Weaknesses</w:t>
      </w:r>
    </w:p>
    <w:p>
      <w:pPr>
        <w:spacing w:after="0" w:line="189" w:lineRule="exact"/>
        <w:rPr>
          <w:sz w:val="20"/>
          <w:szCs w:val="20"/>
          <w:color w:val="auto"/>
        </w:rPr>
      </w:pPr>
    </w:p>
    <w:p>
      <w:pPr>
        <w:ind w:left="60" w:right="259" w:firstLine="648"/>
        <w:spacing w:after="0" w:line="257" w:lineRule="auto"/>
        <w:rPr>
          <w:sz w:val="20"/>
          <w:szCs w:val="20"/>
          <w:color w:val="auto"/>
        </w:rPr>
      </w:pPr>
      <w:r>
        <w:rPr>
          <w:rFonts w:ascii="Arial" w:cs="Arial" w:eastAsia="Arial" w:hAnsi="Arial"/>
          <w:sz w:val="18"/>
          <w:szCs w:val="18"/>
          <w:color w:val="auto"/>
        </w:rPr>
        <w:t>As previously described in Item 9A of our Annual Report on Form 10-K for the year ended December 31, 2022, Management has evaluated the material weaknesses described above and implemented a remediation plan to address its material weaknesses. During the three-month period ending June 30, 2023 we continued implementing a broad range of remedial procedures to address the material weaknesses in our internal control over financial reporting and accounting functions.</w:t>
      </w:r>
    </w:p>
    <w:p>
      <w:pPr>
        <w:spacing w:after="0" w:line="161" w:lineRule="exact"/>
        <w:rPr>
          <w:sz w:val="20"/>
          <w:szCs w:val="20"/>
          <w:color w:val="auto"/>
        </w:rPr>
      </w:pPr>
    </w:p>
    <w:p>
      <w:pPr>
        <w:ind w:left="60" w:right="379" w:firstLine="648"/>
        <w:spacing w:after="0" w:line="301" w:lineRule="auto"/>
        <w:rPr>
          <w:sz w:val="20"/>
          <w:szCs w:val="20"/>
          <w:color w:val="auto"/>
        </w:rPr>
      </w:pPr>
      <w:r>
        <w:rPr>
          <w:rFonts w:ascii="Arial" w:cs="Arial" w:eastAsia="Arial" w:hAnsi="Arial"/>
          <w:sz w:val="16"/>
          <w:szCs w:val="16"/>
          <w:color w:val="auto"/>
        </w:rPr>
        <w:t>While significant actions to improve our internal processes continue to be implemented, the enhanced controls have not operated for a sufficient period-of-time to demonstrate that the material weakness have been remediated as of June 30, 2023. Our material weaknesses will not be considered remediated until the applicable controls operate for a sufficient period-of-time and management has concluded, through testing, that the controls operate effectively.</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We are committed to improving our internal control processes and will continue to diligently and vigorously review our financial reporting controls and procedures. We expect to complete the remediation of our material weaknesses by the end of fiscal year 2023.</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Under the applicable SEC rules, management is required to evaluate any changes in internal control over financial reporting that occurred during each fiscal quarter that materially affected, or are reasonably likely to materially affect, our internal control over financial reporting.</w:t>
      </w:r>
    </w:p>
    <w:p>
      <w:pPr>
        <w:spacing w:after="0" w:line="143" w:lineRule="exact"/>
        <w:rPr>
          <w:sz w:val="20"/>
          <w:szCs w:val="20"/>
          <w:color w:val="auto"/>
        </w:rPr>
      </w:pPr>
    </w:p>
    <w:p>
      <w:pPr>
        <w:ind w:left="60" w:right="399" w:firstLine="648"/>
        <w:spacing w:after="0" w:line="259" w:lineRule="auto"/>
        <w:rPr>
          <w:sz w:val="20"/>
          <w:szCs w:val="20"/>
          <w:color w:val="auto"/>
        </w:rPr>
      </w:pPr>
      <w:r>
        <w:rPr>
          <w:rFonts w:ascii="Arial" w:cs="Arial" w:eastAsia="Arial" w:hAnsi="Arial"/>
          <w:sz w:val="18"/>
          <w:szCs w:val="18"/>
          <w:color w:val="auto"/>
        </w:rPr>
        <w:t>As discussed in “Item 9A. Controls and Procedures” of the 2022 Report, we have undertaken a broad range of remedial procedures to address material weaknesses in our internal control over financial reporting. These remedial procedures continued throughout the three months ended June 30, 2023 and will continue throughout the remainder of 2023.</w:t>
      </w:r>
    </w:p>
    <w:p>
      <w:pPr>
        <w:spacing w:after="0" w:line="160" w:lineRule="exact"/>
        <w:rPr>
          <w:sz w:val="20"/>
          <w:szCs w:val="20"/>
          <w:color w:val="auto"/>
        </w:rPr>
      </w:pPr>
    </w:p>
    <w:p>
      <w:pPr>
        <w:ind w:left="60" w:right="159" w:firstLine="648"/>
        <w:spacing w:after="0" w:line="279" w:lineRule="auto"/>
        <w:rPr>
          <w:sz w:val="20"/>
          <w:szCs w:val="20"/>
          <w:color w:val="auto"/>
        </w:rPr>
      </w:pPr>
      <w:r>
        <w:rPr>
          <w:rFonts w:ascii="Arial" w:cs="Arial" w:eastAsia="Arial" w:hAnsi="Arial"/>
          <w:sz w:val="17"/>
          <w:szCs w:val="17"/>
          <w:color w:val="auto"/>
        </w:rPr>
        <w:t>While we continue to implement remediation efforts and design enhancements to our internal control procedures, we believe there were no other changes to our internal control over financial reporting identified in connection with the evaluation required by Rule 13a-15(d) under the Exchange Act during the second quarter of 2023 that materially affected, or are reasonably likely to materially affect, our internal control over financial reporting.</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89"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Our disclosure controls and procedures are designed to provide reasonable assurance of achieving their objectives, as specified above. Our management recognizes that any control system, no matter how well designed and operated, is based upon certain judgments and assumptions and cannot provide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3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See Note 14 - Commitments and Contingencies in our June 30, 2023 Condensed Financial Statements, included in Part I, Item 1, Financial Statements (Unaudited), of this Quarterly Report.</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66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763"/>
        </w:trPr>
        <w:tc>
          <w:tcPr>
            <w:tcW w:w="20" w:type="dxa"/>
            <w:vAlign w:val="bottom"/>
          </w:tcPr>
          <w:p>
            <w:pPr>
              <w:spacing w:after="0"/>
              <w:rPr>
                <w:sz w:val="24"/>
                <w:szCs w:val="24"/>
                <w:color w:val="auto"/>
              </w:rPr>
            </w:pPr>
          </w:p>
        </w:tc>
        <w:tc>
          <w:tcPr>
            <w:tcW w:w="1260" w:type="dxa"/>
            <w:vAlign w:val="bottom"/>
            <w:tcBorders>
              <w:top w:val="single" w:sz="8" w:color="0000EE"/>
            </w:tcBorders>
            <w:gridSpan w:val="2"/>
          </w:tcPr>
          <w:p>
            <w:pPr>
              <w:spacing w:after="0"/>
              <w:rPr>
                <w:sz w:val="20"/>
                <w:szCs w:val="20"/>
                <w:color w:val="auto"/>
              </w:rPr>
            </w:pPr>
            <w:r>
              <w:rPr>
                <w:rFonts w:ascii="Arial" w:cs="Arial" w:eastAsia="Arial" w:hAnsi="Arial"/>
                <w:sz w:val="18"/>
                <w:szCs w:val="18"/>
                <w:b w:val="1"/>
                <w:bCs w:val="1"/>
                <w:color w:val="auto"/>
                <w:w w:val="90"/>
              </w:rPr>
              <w:t>Item 6. Exhibits.</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8"/>
                <w:szCs w:val="18"/>
                <w:color w:val="auto"/>
                <w:w w:val="94"/>
              </w:rPr>
              <w:t>Exhibit No.</w:t>
            </w:r>
          </w:p>
        </w:tc>
        <w:tc>
          <w:tcPr>
            <w:tcW w:w="82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7100" w:type="dxa"/>
            <w:vAlign w:val="bottom"/>
            <w:gridSpan w:val="7"/>
          </w:tcPr>
          <w:p>
            <w:pPr>
              <w:spacing w:after="0"/>
              <w:rPr>
                <w:sz w:val="20"/>
                <w:szCs w:val="20"/>
                <w:color w:val="auto"/>
              </w:rPr>
            </w:pPr>
            <w:r>
              <w:rPr>
                <w:rFonts w:ascii="Arial" w:cs="Arial" w:eastAsia="Arial" w:hAnsi="Arial"/>
                <w:sz w:val="18"/>
                <w:szCs w:val="18"/>
                <w:color w:val="auto"/>
              </w:rPr>
              <w:t>Description</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Arial" w:cs="Arial" w:eastAsia="Arial" w:hAnsi="Arial"/>
                <w:sz w:val="18"/>
                <w:szCs w:val="18"/>
                <w:color w:val="auto"/>
              </w:rPr>
              <w:t>EXHIBIT 10.1</w:t>
            </w:r>
          </w:p>
        </w:tc>
        <w:tc>
          <w:tcPr>
            <w:tcW w:w="140" w:type="dxa"/>
            <w:vAlign w:val="bottom"/>
          </w:tcPr>
          <w:p>
            <w:pPr>
              <w:spacing w:after="0"/>
              <w:rPr>
                <w:sz w:val="24"/>
                <w:szCs w:val="24"/>
                <w:color w:val="auto"/>
              </w:rPr>
            </w:pPr>
          </w:p>
        </w:tc>
        <w:tc>
          <w:tcPr>
            <w:tcW w:w="6320" w:type="dxa"/>
            <w:vAlign w:val="bottom"/>
            <w:tcBorders>
              <w:bottom w:val="single" w:sz="8" w:color="0000EE"/>
            </w:tcBorders>
            <w:gridSpan w:val="5"/>
          </w:tcPr>
          <w:p>
            <w:pPr>
              <w:spacing w:after="0"/>
              <w:rPr>
                <w:rFonts w:ascii="Arial" w:cs="Arial" w:eastAsia="Arial" w:hAnsi="Arial"/>
                <w:sz w:val="18"/>
                <w:szCs w:val="18"/>
                <w:color w:val="0000EE"/>
                <w:w w:val="90"/>
              </w:rPr>
            </w:pPr>
            <w:hyperlink r:id="rId49">
              <w:r>
                <w:rPr>
                  <w:rFonts w:ascii="Arial" w:cs="Arial" w:eastAsia="Arial" w:hAnsi="Arial"/>
                  <w:sz w:val="18"/>
                  <w:szCs w:val="18"/>
                  <w:color w:val="0000EE"/>
                  <w:w w:val="90"/>
                </w:rPr>
                <w:t>Credit Agreement, dated as of July 28, 2023, between Legacy Housing Corporation and</w:t>
              </w:r>
            </w:hyperlink>
          </w:p>
        </w:tc>
        <w:tc>
          <w:tcPr>
            <w:tcW w:w="780" w:type="dxa"/>
            <w:vAlign w:val="bottom"/>
            <w:gridSpan w:val="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6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49">
              <w:r>
                <w:rPr>
                  <w:rFonts w:ascii="Arial" w:cs="Arial" w:eastAsia="Arial" w:hAnsi="Arial"/>
                  <w:sz w:val="18"/>
                  <w:szCs w:val="18"/>
                  <w:color w:val="0000EE"/>
                  <w:w w:val="91"/>
                </w:rPr>
                <w:t>Prosperity Bank (incorporated by reference to Exhibit 10.1of the registrant’s Current Report on</w:t>
              </w:r>
            </w:hyperlink>
          </w:p>
        </w:tc>
        <w:tc>
          <w:tcPr>
            <w:tcW w:w="2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100" w:type="dxa"/>
            <w:vAlign w:val="bottom"/>
            <w:gridSpan w:val="7"/>
          </w:tcPr>
          <w:p>
            <w:pPr>
              <w:spacing w:after="0" w:line="196" w:lineRule="exact"/>
              <w:rPr>
                <w:rFonts w:ascii="Arial" w:cs="Arial" w:eastAsia="Arial" w:hAnsi="Arial"/>
                <w:sz w:val="18"/>
                <w:szCs w:val="18"/>
                <w:color w:val="0000EE"/>
              </w:rPr>
            </w:pPr>
            <w:hyperlink r:id="rId49">
              <w:r>
                <w:rPr>
                  <w:rFonts w:ascii="Arial" w:cs="Arial" w:eastAsia="Arial" w:hAnsi="Arial"/>
                  <w:sz w:val="18"/>
                  <w:szCs w:val="18"/>
                  <w:color w:val="0000EE"/>
                </w:rPr>
                <w:t>Form 8-K filed on August 2, 2023).</w:t>
              </w:r>
            </w:hyperlink>
          </w:p>
        </w:tc>
      </w:tr>
      <w:tr>
        <w:trPr>
          <w:trHeight w:val="20"/>
        </w:trPr>
        <w:tc>
          <w:tcPr>
            <w:tcW w:w="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Arial" w:cs="Arial" w:eastAsia="Arial" w:hAnsi="Arial"/>
                <w:sz w:val="18"/>
                <w:szCs w:val="18"/>
                <w:color w:val="auto"/>
              </w:rPr>
              <w:t>EXHIBIT 31.1 *</w:t>
            </w:r>
          </w:p>
        </w:tc>
        <w:tc>
          <w:tcPr>
            <w:tcW w:w="7240" w:type="dxa"/>
            <w:vAlign w:val="bottom"/>
            <w:gridSpan w:val="8"/>
          </w:tcPr>
          <w:p>
            <w:pPr>
              <w:ind w:left="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Rule 13a—14(a) / 15d—14(a) Certifications — Chief Executive Officer.</w:t>
            </w:r>
          </w:p>
        </w:tc>
      </w:tr>
      <w:tr>
        <w:trPr>
          <w:trHeight w:val="20"/>
        </w:trPr>
        <w:tc>
          <w:tcPr>
            <w:tcW w:w="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3220" w:type="dxa"/>
            <w:vAlign w:val="bottom"/>
            <w:gridSpan w:val="2"/>
            <w:shd w:val="clear" w:color="auto" w:fill="0000EE"/>
          </w:tcPr>
          <w:p>
            <w:pPr>
              <w:spacing w:after="0" w:line="20" w:lineRule="exact"/>
              <w:rPr>
                <w:sz w:val="1"/>
                <w:szCs w:val="1"/>
                <w:color w:val="auto"/>
              </w:rPr>
            </w:pPr>
          </w:p>
        </w:tc>
        <w:tc>
          <w:tcPr>
            <w:tcW w:w="1920" w:type="dxa"/>
            <w:vAlign w:val="bottom"/>
            <w:tcBorders>
              <w:left w:val="single" w:sz="8" w:color="0000EE"/>
            </w:tcBorders>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Arial" w:cs="Arial" w:eastAsia="Arial" w:hAnsi="Arial"/>
                <w:sz w:val="18"/>
                <w:szCs w:val="18"/>
                <w:color w:val="auto"/>
              </w:rPr>
              <w:t>EXHIBIT 31.2 *</w:t>
            </w:r>
          </w:p>
        </w:tc>
        <w:tc>
          <w:tcPr>
            <w:tcW w:w="7240" w:type="dxa"/>
            <w:vAlign w:val="bottom"/>
            <w:gridSpan w:val="8"/>
          </w:tcPr>
          <w:p>
            <w:pPr>
              <w:ind w:left="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Rule 13a—14(a) / 15d—14(a) Certifications — Chief Financial Officer.</w:t>
            </w:r>
          </w:p>
        </w:tc>
      </w:tr>
      <w:tr>
        <w:trPr>
          <w:trHeight w:val="20"/>
        </w:trPr>
        <w:tc>
          <w:tcPr>
            <w:tcW w:w="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3220" w:type="dxa"/>
            <w:vAlign w:val="bottom"/>
            <w:gridSpan w:val="2"/>
            <w:shd w:val="clear" w:color="auto" w:fill="0000EE"/>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Arial" w:cs="Arial" w:eastAsia="Arial" w:hAnsi="Arial"/>
                <w:sz w:val="18"/>
                <w:szCs w:val="18"/>
                <w:color w:val="auto"/>
              </w:rPr>
              <w:t>EXHIBIT 32.1 *</w:t>
            </w:r>
          </w:p>
        </w:tc>
        <w:tc>
          <w:tcPr>
            <w:tcW w:w="7240" w:type="dxa"/>
            <w:vAlign w:val="bottom"/>
            <w:gridSpan w:val="8"/>
          </w:tcPr>
          <w:p>
            <w:pPr>
              <w:ind w:left="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Section 1350 Certification.</w:t>
            </w:r>
          </w:p>
        </w:tc>
      </w:tr>
      <w:tr>
        <w:trPr>
          <w:trHeight w:val="20"/>
        </w:trPr>
        <w:tc>
          <w:tcPr>
            <w:tcW w:w="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Arial" w:cs="Arial" w:eastAsia="Arial" w:hAnsi="Arial"/>
                <w:sz w:val="18"/>
                <w:szCs w:val="18"/>
                <w:color w:val="auto"/>
              </w:rPr>
              <w:t>EXHIBIT 32.2 *</w:t>
            </w:r>
          </w:p>
        </w:tc>
        <w:tc>
          <w:tcPr>
            <w:tcW w:w="7240" w:type="dxa"/>
            <w:vAlign w:val="bottom"/>
            <w:gridSpan w:val="8"/>
          </w:tcPr>
          <w:p>
            <w:pPr>
              <w:ind w:left="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Section 1350 Certification.</w:t>
            </w:r>
          </w:p>
        </w:tc>
      </w:tr>
      <w:tr>
        <w:trPr>
          <w:trHeight w:val="20"/>
        </w:trPr>
        <w:tc>
          <w:tcPr>
            <w:tcW w:w="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Arial" w:cs="Arial" w:eastAsia="Arial" w:hAnsi="Arial"/>
                <w:sz w:val="18"/>
                <w:szCs w:val="18"/>
                <w:color w:val="auto"/>
              </w:rPr>
              <w:t>EXHIBIT 101.INS *</w:t>
            </w:r>
          </w:p>
        </w:tc>
        <w:tc>
          <w:tcPr>
            <w:tcW w:w="7240" w:type="dxa"/>
            <w:vAlign w:val="bottom"/>
            <w:gridSpan w:val="8"/>
          </w:tcPr>
          <w:p>
            <w:pPr>
              <w:ind w:left="60"/>
              <w:spacing w:after="0"/>
              <w:rPr>
                <w:sz w:val="20"/>
                <w:szCs w:val="20"/>
                <w:color w:val="auto"/>
              </w:rPr>
            </w:pPr>
            <w:r>
              <w:rPr>
                <w:rFonts w:ascii="Arial" w:cs="Arial" w:eastAsia="Arial" w:hAnsi="Arial"/>
                <w:sz w:val="18"/>
                <w:szCs w:val="18"/>
                <w:color w:val="auto"/>
              </w:rPr>
              <w:t>- XBRL Instance Document.</w:t>
            </w:r>
          </w:p>
        </w:tc>
      </w:tr>
      <w:tr>
        <w:trPr>
          <w:trHeight w:val="432"/>
        </w:trPr>
        <w:tc>
          <w:tcPr>
            <w:tcW w:w="2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Arial" w:cs="Arial" w:eastAsia="Arial" w:hAnsi="Arial"/>
                <w:sz w:val="18"/>
                <w:szCs w:val="18"/>
                <w:color w:val="auto"/>
              </w:rPr>
              <w:t>EXHIBIT 101.SCH *</w:t>
            </w:r>
          </w:p>
        </w:tc>
        <w:tc>
          <w:tcPr>
            <w:tcW w:w="7240" w:type="dxa"/>
            <w:vAlign w:val="bottom"/>
            <w:gridSpan w:val="8"/>
          </w:tcPr>
          <w:p>
            <w:pPr>
              <w:ind w:left="60"/>
              <w:spacing w:after="0"/>
              <w:rPr>
                <w:sz w:val="20"/>
                <w:szCs w:val="20"/>
                <w:color w:val="auto"/>
              </w:rPr>
            </w:pPr>
            <w:r>
              <w:rPr>
                <w:rFonts w:ascii="Arial" w:cs="Arial" w:eastAsia="Arial" w:hAnsi="Arial"/>
                <w:sz w:val="18"/>
                <w:szCs w:val="18"/>
                <w:color w:val="auto"/>
              </w:rPr>
              <w:t>- Inline XBRL Taxonomy Extension Schema Document.</w:t>
            </w:r>
          </w:p>
        </w:tc>
      </w:tr>
      <w:tr>
        <w:trPr>
          <w:trHeight w:val="432"/>
        </w:trPr>
        <w:tc>
          <w:tcPr>
            <w:tcW w:w="2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Arial" w:cs="Arial" w:eastAsia="Arial" w:hAnsi="Arial"/>
                <w:sz w:val="18"/>
                <w:szCs w:val="18"/>
                <w:color w:val="auto"/>
              </w:rPr>
              <w:t>EXHIBIT 101.CAL *</w:t>
            </w:r>
          </w:p>
        </w:tc>
        <w:tc>
          <w:tcPr>
            <w:tcW w:w="7240" w:type="dxa"/>
            <w:vAlign w:val="bottom"/>
            <w:gridSpan w:val="8"/>
          </w:tcPr>
          <w:p>
            <w:pPr>
              <w:ind w:left="60"/>
              <w:spacing w:after="0"/>
              <w:rPr>
                <w:sz w:val="20"/>
                <w:szCs w:val="20"/>
                <w:color w:val="auto"/>
              </w:rPr>
            </w:pPr>
            <w:r>
              <w:rPr>
                <w:rFonts w:ascii="Arial" w:cs="Arial" w:eastAsia="Arial" w:hAnsi="Arial"/>
                <w:sz w:val="18"/>
                <w:szCs w:val="18"/>
                <w:color w:val="auto"/>
              </w:rPr>
              <w:t>- Inline XBRL Taxonomy Extension Calculation Linkbase Document.</w:t>
            </w:r>
          </w:p>
        </w:tc>
      </w:tr>
      <w:tr>
        <w:trPr>
          <w:trHeight w:val="432"/>
        </w:trPr>
        <w:tc>
          <w:tcPr>
            <w:tcW w:w="2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Arial" w:cs="Arial" w:eastAsia="Arial" w:hAnsi="Arial"/>
                <w:sz w:val="18"/>
                <w:szCs w:val="18"/>
                <w:color w:val="auto"/>
              </w:rPr>
              <w:t>EXHIBIT 101.DEF *</w:t>
            </w:r>
          </w:p>
        </w:tc>
        <w:tc>
          <w:tcPr>
            <w:tcW w:w="7240" w:type="dxa"/>
            <w:vAlign w:val="bottom"/>
            <w:gridSpan w:val="8"/>
          </w:tcPr>
          <w:p>
            <w:pPr>
              <w:ind w:left="60"/>
              <w:spacing w:after="0"/>
              <w:rPr>
                <w:sz w:val="20"/>
                <w:szCs w:val="20"/>
                <w:color w:val="auto"/>
              </w:rPr>
            </w:pPr>
            <w:r>
              <w:rPr>
                <w:rFonts w:ascii="Arial" w:cs="Arial" w:eastAsia="Arial" w:hAnsi="Arial"/>
                <w:sz w:val="18"/>
                <w:szCs w:val="18"/>
                <w:color w:val="auto"/>
              </w:rPr>
              <w:t>- Inline XBRL Taxonomy Extension Definition Linkbase Document.</w:t>
            </w:r>
          </w:p>
        </w:tc>
      </w:tr>
      <w:tr>
        <w:trPr>
          <w:trHeight w:val="432"/>
        </w:trPr>
        <w:tc>
          <w:tcPr>
            <w:tcW w:w="2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Arial" w:cs="Arial" w:eastAsia="Arial" w:hAnsi="Arial"/>
                <w:sz w:val="18"/>
                <w:szCs w:val="18"/>
                <w:color w:val="auto"/>
              </w:rPr>
              <w:t>EXHIBIT 101.LAB *</w:t>
            </w:r>
          </w:p>
        </w:tc>
        <w:tc>
          <w:tcPr>
            <w:tcW w:w="7240" w:type="dxa"/>
            <w:vAlign w:val="bottom"/>
            <w:gridSpan w:val="8"/>
          </w:tcPr>
          <w:p>
            <w:pPr>
              <w:ind w:left="60"/>
              <w:spacing w:after="0"/>
              <w:rPr>
                <w:sz w:val="20"/>
                <w:szCs w:val="20"/>
                <w:color w:val="auto"/>
              </w:rPr>
            </w:pPr>
            <w:r>
              <w:rPr>
                <w:rFonts w:ascii="Arial" w:cs="Arial" w:eastAsia="Arial" w:hAnsi="Arial"/>
                <w:sz w:val="18"/>
                <w:szCs w:val="18"/>
                <w:color w:val="auto"/>
              </w:rPr>
              <w:t>- Inline XBRL Taxonomy Extension Label Linkbase Document.</w:t>
            </w:r>
          </w:p>
        </w:tc>
      </w:tr>
      <w:tr>
        <w:trPr>
          <w:trHeight w:val="432"/>
        </w:trPr>
        <w:tc>
          <w:tcPr>
            <w:tcW w:w="2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Arial" w:cs="Arial" w:eastAsia="Arial" w:hAnsi="Arial"/>
                <w:sz w:val="18"/>
                <w:szCs w:val="18"/>
                <w:color w:val="auto"/>
              </w:rPr>
              <w:t>EXHIBIT 101.PRE *</w:t>
            </w:r>
          </w:p>
        </w:tc>
        <w:tc>
          <w:tcPr>
            <w:tcW w:w="7240" w:type="dxa"/>
            <w:vAlign w:val="bottom"/>
            <w:gridSpan w:val="8"/>
          </w:tcPr>
          <w:p>
            <w:pPr>
              <w:ind w:left="60"/>
              <w:spacing w:after="0"/>
              <w:rPr>
                <w:sz w:val="20"/>
                <w:szCs w:val="20"/>
                <w:color w:val="auto"/>
              </w:rPr>
            </w:pPr>
            <w:r>
              <w:rPr>
                <w:rFonts w:ascii="Arial" w:cs="Arial" w:eastAsia="Arial" w:hAnsi="Arial"/>
                <w:sz w:val="18"/>
                <w:szCs w:val="18"/>
                <w:color w:val="auto"/>
              </w:rPr>
              <w:t>- Inline XBRL Taxonomy Extension Presentation Linkbase Document.</w:t>
            </w:r>
          </w:p>
        </w:tc>
      </w:tr>
      <w:tr>
        <w:trPr>
          <w:trHeight w:val="432"/>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100" w:type="dxa"/>
            <w:vAlign w:val="bottom"/>
            <w:gridSpan w:val="7"/>
          </w:tcPr>
          <w:p>
            <w:pPr>
              <w:spacing w:after="0"/>
              <w:rPr>
                <w:sz w:val="20"/>
                <w:szCs w:val="20"/>
                <w:color w:val="auto"/>
              </w:rPr>
            </w:pPr>
            <w:r>
              <w:rPr>
                <w:rFonts w:ascii="Arial" w:cs="Arial" w:eastAsia="Arial" w:hAnsi="Arial"/>
                <w:sz w:val="18"/>
                <w:szCs w:val="18"/>
                <w:color w:val="auto"/>
                <w:w w:val="99"/>
              </w:rPr>
              <w:t>Cover Page Interactive Data File (formatted as Inline XBRL and contained in Exhibit 101)</w:t>
            </w:r>
          </w:p>
        </w:tc>
      </w:tr>
      <w:tr>
        <w:trPr>
          <w:trHeight w:val="432"/>
        </w:trPr>
        <w:tc>
          <w:tcPr>
            <w:tcW w:w="2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Arial" w:cs="Arial" w:eastAsia="Arial" w:hAnsi="Arial"/>
                <w:sz w:val="18"/>
                <w:szCs w:val="18"/>
                <w:color w:val="auto"/>
              </w:rPr>
              <w:t>* Filed herewith</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74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320" w:type="dxa"/>
            <w:vAlign w:val="bottom"/>
            <w:gridSpan w:val="5"/>
          </w:tcPr>
          <w:p>
            <w:pPr>
              <w:ind w:left="2700"/>
              <w:spacing w:after="0"/>
              <w:rPr>
                <w:sz w:val="20"/>
                <w:szCs w:val="20"/>
                <w:color w:val="auto"/>
              </w:rPr>
            </w:pPr>
            <w:r>
              <w:rPr>
                <w:rFonts w:ascii="Arial" w:cs="Arial" w:eastAsia="Arial" w:hAnsi="Arial"/>
                <w:sz w:val="18"/>
                <w:szCs w:val="18"/>
                <w:color w:val="auto"/>
              </w:rPr>
              <w:t>35</w:t>
            </w: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00"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2" w:lineRule="exact"/>
        <w:rPr>
          <w:sz w:val="20"/>
          <w:szCs w:val="20"/>
          <w:color w:val="auto"/>
        </w:rPr>
      </w:pPr>
    </w:p>
    <w:p>
      <w:pPr>
        <w:ind w:left="60" w:right="15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5900" w:type="dxa"/>
            <w:vAlign w:val="bottom"/>
            <w:gridSpan w:val="2"/>
          </w:tcPr>
          <w:p>
            <w:pPr>
              <w:ind w:left="1460"/>
              <w:spacing w:after="0"/>
              <w:rPr>
                <w:sz w:val="20"/>
                <w:szCs w:val="20"/>
                <w:color w:val="auto"/>
              </w:rPr>
            </w:pPr>
            <w:r>
              <w:rPr>
                <w:rFonts w:ascii="Arial" w:cs="Arial" w:eastAsia="Arial" w:hAnsi="Arial"/>
                <w:sz w:val="18"/>
                <w:szCs w:val="18"/>
                <w:b w:val="1"/>
                <w:bCs w:val="1"/>
                <w:color w:val="auto"/>
              </w:rPr>
              <w:t>LEGACY HOUSING CORPORATION</w:t>
            </w:r>
          </w:p>
        </w:tc>
      </w:tr>
      <w:tr>
        <w:trPr>
          <w:trHeight w:val="432"/>
        </w:trPr>
        <w:tc>
          <w:tcPr>
            <w:tcW w:w="3020" w:type="dxa"/>
            <w:vAlign w:val="bottom"/>
          </w:tcPr>
          <w:p>
            <w:pPr>
              <w:ind w:left="20"/>
              <w:spacing w:after="0"/>
              <w:rPr>
                <w:sz w:val="20"/>
                <w:szCs w:val="20"/>
                <w:color w:val="auto"/>
              </w:rPr>
            </w:pPr>
            <w:r>
              <w:rPr>
                <w:rFonts w:ascii="Arial" w:cs="Arial" w:eastAsia="Arial" w:hAnsi="Arial"/>
                <w:sz w:val="18"/>
                <w:szCs w:val="18"/>
                <w:color w:val="auto"/>
              </w:rPr>
              <w:t>Dated: August 9, 2023</w:t>
            </w:r>
          </w:p>
        </w:tc>
        <w:tc>
          <w:tcPr>
            <w:tcW w:w="5900" w:type="dxa"/>
            <w:vAlign w:val="bottom"/>
            <w:gridSpan w:val="2"/>
          </w:tcPr>
          <w:p>
            <w:pPr>
              <w:ind w:left="1460"/>
              <w:spacing w:after="0"/>
              <w:rPr>
                <w:sz w:val="20"/>
                <w:szCs w:val="20"/>
                <w:color w:val="auto"/>
              </w:rPr>
            </w:pPr>
            <w:r>
              <w:rPr>
                <w:rFonts w:ascii="Arial" w:cs="Arial" w:eastAsia="Arial" w:hAnsi="Arial"/>
                <w:sz w:val="18"/>
                <w:szCs w:val="18"/>
                <w:color w:val="auto"/>
              </w:rPr>
              <w:t>By:  /s/ Ronald Arrington</w:t>
            </w:r>
          </w:p>
        </w:tc>
      </w:tr>
      <w:tr>
        <w:trPr>
          <w:trHeight w:val="195"/>
        </w:trPr>
        <w:tc>
          <w:tcPr>
            <w:tcW w:w="30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Ronald Arrington</w:t>
            </w:r>
          </w:p>
        </w:tc>
      </w:tr>
      <w:tr>
        <w:trPr>
          <w:trHeight w:val="216"/>
        </w:trPr>
        <w:tc>
          <w:tcPr>
            <w:tcW w:w="30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Title: Chief Financial Officer</w:t>
            </w:r>
          </w:p>
        </w:tc>
      </w:tr>
      <w:tr>
        <w:trPr>
          <w:trHeight w:val="216"/>
        </w:trPr>
        <w:tc>
          <w:tcPr>
            <w:tcW w:w="30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i w:val="1"/>
                <w:iCs w:val="1"/>
                <w:color w:val="auto"/>
                <w:w w:val="99"/>
              </w:rPr>
              <w:t>(On behalf of Registrant and as Principal Financial</w:t>
            </w:r>
          </w:p>
        </w:tc>
      </w:tr>
      <w:tr>
        <w:trPr>
          <w:trHeight w:val="230"/>
        </w:trPr>
        <w:tc>
          <w:tcPr>
            <w:tcW w:w="30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i w:val="1"/>
                <w:iCs w:val="1"/>
                <w:color w:val="auto"/>
              </w:rPr>
              <w:t>Officer)</w:t>
            </w:r>
          </w:p>
        </w:tc>
      </w:tr>
      <w:tr>
        <w:trPr>
          <w:trHeight w:val="891"/>
        </w:trPr>
        <w:tc>
          <w:tcPr>
            <w:tcW w:w="3020" w:type="dxa"/>
            <w:vAlign w:val="bottom"/>
          </w:tcPr>
          <w:p>
            <w:pPr>
              <w:spacing w:after="0"/>
              <w:rPr>
                <w:sz w:val="24"/>
                <w:szCs w:val="24"/>
                <w:color w:val="auto"/>
              </w:rPr>
            </w:pPr>
          </w:p>
        </w:tc>
        <w:tc>
          <w:tcPr>
            <w:tcW w:w="1880" w:type="dxa"/>
            <w:vAlign w:val="bottom"/>
          </w:tcPr>
          <w:p>
            <w:pPr>
              <w:jc w:val="right"/>
              <w:ind w:right="250"/>
              <w:spacing w:after="0"/>
              <w:rPr>
                <w:sz w:val="20"/>
                <w:szCs w:val="20"/>
                <w:color w:val="auto"/>
              </w:rPr>
            </w:pPr>
            <w:r>
              <w:rPr>
                <w:rFonts w:ascii="Arial" w:cs="Arial" w:eastAsia="Arial" w:hAnsi="Arial"/>
                <w:sz w:val="18"/>
                <w:szCs w:val="18"/>
                <w:color w:val="auto"/>
              </w:rPr>
              <w:t>36</w:t>
            </w:r>
          </w:p>
        </w:tc>
        <w:tc>
          <w:tcPr>
            <w:tcW w:w="4020" w:type="dxa"/>
            <w:vAlign w:val="bottom"/>
          </w:tcPr>
          <w:p>
            <w:pPr>
              <w:spacing w:after="0"/>
              <w:rPr>
                <w:sz w:val="24"/>
                <w:szCs w:val="24"/>
                <w:color w:val="auto"/>
              </w:rPr>
            </w:pPr>
          </w:p>
        </w:tc>
      </w:tr>
      <w:tr>
        <w:trPr>
          <w:trHeight w:val="561"/>
        </w:trPr>
        <w:tc>
          <w:tcPr>
            <w:tcW w:w="30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Duncan Bates, certify that:</w:t>
      </w:r>
    </w:p>
    <w:p>
      <w:pPr>
        <w:spacing w:after="0" w:line="225" w:lineRule="exact"/>
        <w:rPr>
          <w:sz w:val="20"/>
          <w:szCs w:val="20"/>
          <w:color w:val="auto"/>
        </w:rPr>
      </w:pPr>
    </w:p>
    <w:p>
      <w:pPr>
        <w:ind w:left="840" w:hanging="184"/>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Legacy Housing Corporation;</w:t>
      </w:r>
    </w:p>
    <w:p>
      <w:pPr>
        <w:spacing w:after="0" w:line="225" w:lineRule="exact"/>
        <w:rPr>
          <w:rFonts w:ascii="Arial" w:cs="Arial" w:eastAsia="Arial" w:hAnsi="Arial"/>
          <w:sz w:val="18"/>
          <w:szCs w:val="18"/>
          <w:color w:val="auto"/>
        </w:rPr>
      </w:pPr>
    </w:p>
    <w:p>
      <w:pPr>
        <w:ind w:right="240" w:firstLine="656"/>
        <w:spacing w:after="0" w:line="263" w:lineRule="auto"/>
        <w:tabs>
          <w:tab w:leader="none" w:pos="8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right="100" w:firstLine="656"/>
        <w:spacing w:after="0" w:line="263" w:lineRule="auto"/>
        <w:tabs>
          <w:tab w:leader="none" w:pos="8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656"/>
        <w:spacing w:after="0" w:line="263" w:lineRule="auto"/>
        <w:tabs>
          <w:tab w:leader="none" w:pos="82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260" w:right="240" w:firstLine="655"/>
        <w:spacing w:after="0" w:line="311" w:lineRule="auto"/>
        <w:tabs>
          <w:tab w:leader="none" w:pos="1198"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260" w:right="60" w:firstLine="655"/>
        <w:spacing w:after="0" w:line="286" w:lineRule="auto"/>
        <w:tabs>
          <w:tab w:leader="none" w:pos="1208"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260" w:right="80" w:firstLine="655"/>
        <w:spacing w:after="0" w:line="263" w:lineRule="auto"/>
        <w:tabs>
          <w:tab w:leader="none" w:pos="1198"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260" w:right="20" w:firstLine="655"/>
        <w:spacing w:after="0" w:line="286" w:lineRule="auto"/>
        <w:tabs>
          <w:tab w:leader="none" w:pos="1208" w:val="left"/>
        </w:tabs>
        <w:numPr>
          <w:ilvl w:val="1"/>
          <w:numId w:val="1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right="240" w:firstLine="656"/>
        <w:spacing w:after="0" w:line="263" w:lineRule="auto"/>
        <w:tabs>
          <w:tab w:leader="none" w:pos="82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260" w:right="320" w:firstLine="655"/>
        <w:spacing w:after="0" w:line="263" w:lineRule="auto"/>
        <w:tabs>
          <w:tab w:leader="none" w:pos="1188"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260" w:right="360" w:firstLine="655"/>
        <w:spacing w:after="0" w:line="277" w:lineRule="auto"/>
        <w:tabs>
          <w:tab w:leader="none" w:pos="1198"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 August 9, 2023</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Duncan Bates</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Name: Duncan Bates</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Ronald Arrington, certify that:</w:t>
      </w:r>
    </w:p>
    <w:p>
      <w:pPr>
        <w:spacing w:after="0" w:line="225" w:lineRule="exact"/>
        <w:rPr>
          <w:sz w:val="20"/>
          <w:szCs w:val="20"/>
          <w:color w:val="auto"/>
        </w:rPr>
      </w:pPr>
    </w:p>
    <w:p>
      <w:pPr>
        <w:ind w:left="840" w:hanging="184"/>
        <w:spacing w:after="0"/>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Legacy Housing Corporation;</w:t>
      </w:r>
    </w:p>
    <w:p>
      <w:pPr>
        <w:spacing w:after="0" w:line="225" w:lineRule="exact"/>
        <w:rPr>
          <w:rFonts w:ascii="Arial" w:cs="Arial" w:eastAsia="Arial" w:hAnsi="Arial"/>
          <w:sz w:val="18"/>
          <w:szCs w:val="18"/>
          <w:color w:val="auto"/>
        </w:rPr>
      </w:pPr>
    </w:p>
    <w:p>
      <w:pPr>
        <w:ind w:right="240" w:firstLine="656"/>
        <w:spacing w:after="0" w:line="263" w:lineRule="auto"/>
        <w:tabs>
          <w:tab w:leader="none" w:pos="8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right="100" w:firstLine="656"/>
        <w:spacing w:after="0" w:line="263" w:lineRule="auto"/>
        <w:tabs>
          <w:tab w:leader="none" w:pos="8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656"/>
        <w:spacing w:after="0" w:line="263" w:lineRule="auto"/>
        <w:tabs>
          <w:tab w:leader="none" w:pos="82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260" w:right="240" w:firstLine="655"/>
        <w:spacing w:after="0" w:line="311" w:lineRule="auto"/>
        <w:tabs>
          <w:tab w:leader="none" w:pos="1198"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260" w:right="60" w:firstLine="655"/>
        <w:spacing w:after="0" w:line="286" w:lineRule="auto"/>
        <w:tabs>
          <w:tab w:leader="none" w:pos="1208"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260" w:right="80" w:firstLine="655"/>
        <w:spacing w:after="0" w:line="263" w:lineRule="auto"/>
        <w:tabs>
          <w:tab w:leader="none" w:pos="1198"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260" w:right="20" w:firstLine="655"/>
        <w:spacing w:after="0" w:line="286" w:lineRule="auto"/>
        <w:tabs>
          <w:tab w:leader="none" w:pos="1208" w:val="left"/>
        </w:tabs>
        <w:numPr>
          <w:ilvl w:val="1"/>
          <w:numId w:val="1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right="240" w:firstLine="656"/>
        <w:spacing w:after="0" w:line="263" w:lineRule="auto"/>
        <w:tabs>
          <w:tab w:leader="none" w:pos="82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260" w:right="320" w:firstLine="655"/>
        <w:spacing w:after="0" w:line="263" w:lineRule="auto"/>
        <w:tabs>
          <w:tab w:leader="none" w:pos="118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260" w:right="360" w:firstLine="655"/>
        <w:spacing w:after="0" w:line="277" w:lineRule="auto"/>
        <w:tabs>
          <w:tab w:leader="none" w:pos="119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 August 9, 2023</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Arrington</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Name: Ronald Arrington</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Title: Chief Financial Officer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connection with the quarterly report of Legacy Housing Corporation (the “Company”) on Form 10-Q for the quarter ended June 30, 2023, as filed with the Securities and Exchange Commission on the date hereof (the “Report”), I, Duncan Bates, President and Chief Executive Officer of the Company, certify, pursuant to 18 U.S.C. §1350, as adopted pursuant to Section 906 of the Sarbanes-Oxley Act of 2002, that:</w:t>
      </w:r>
    </w:p>
    <w:p>
      <w:pPr>
        <w:spacing w:after="0" w:line="187" w:lineRule="exact"/>
        <w:rPr>
          <w:sz w:val="20"/>
          <w:szCs w:val="20"/>
          <w:color w:val="auto"/>
        </w:rPr>
      </w:pPr>
    </w:p>
    <w:p>
      <w:pPr>
        <w:ind w:left="1300" w:right="260" w:hanging="644"/>
        <w:spacing w:after="0" w:line="277" w:lineRule="auto"/>
        <w:tabs>
          <w:tab w:leader="none" w:pos="128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1300" w:right="300" w:hanging="644"/>
        <w:spacing w:after="0" w:line="277" w:lineRule="auto"/>
        <w:tabs>
          <w:tab w:leader="none" w:pos="128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 August 9, 2023</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Duncan Bates</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Name: Duncan Bates</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r>
        <w:trPr>
          <w:trHeight w:val="777"/>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connection with the quarterly report of Legacy Housing Corporation (the “Company”) on Form 10-Q for the quarter ended June 30, 2023, as filed with the Securities and Exchange Commission on the date hereof (the “Report”), I, Ronald Arrington, Chief Financial Officer of the Company, certify, pursuant to 18 U.S.C. §1350, as adopted pursuant to Section 906 of the Sarbanes-Oxley Act of 2002, that:</w:t>
      </w:r>
    </w:p>
    <w:p>
      <w:pPr>
        <w:spacing w:after="0" w:line="187" w:lineRule="exact"/>
        <w:rPr>
          <w:sz w:val="20"/>
          <w:szCs w:val="20"/>
          <w:color w:val="auto"/>
        </w:rPr>
      </w:pPr>
    </w:p>
    <w:p>
      <w:pPr>
        <w:ind w:left="1300" w:right="260" w:hanging="644"/>
        <w:spacing w:after="0" w:line="277" w:lineRule="auto"/>
        <w:tabs>
          <w:tab w:leader="none" w:pos="128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1300" w:right="300" w:hanging="644"/>
        <w:spacing w:after="0" w:line="277" w:lineRule="auto"/>
        <w:tabs>
          <w:tab w:leader="none" w:pos="128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 August 9, 2023</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Arrington</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Name: Ronald Arrington</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Title: Chief Financial Officer</w:t>
            </w:r>
          </w:p>
        </w:tc>
      </w:tr>
      <w:tr>
        <w:trPr>
          <w:trHeight w:val="777"/>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66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
    </w:lvl>
    <w:lvl w:ilvl="1">
      <w:lvlJc w:val="left"/>
      <w:lvlText w:val="(%2)"/>
      <w:numFmt w:val="decimal"/>
      <w:start w:val="1"/>
    </w:lvl>
  </w:abstractNum>
  <w:abstractNum w:abstractNumId="4">
    <w:nsid w:val="5BD062C2"/>
    <w:multiLevelType w:val="hybridMultilevel"/>
    <w:lvl w:ilvl="0">
      <w:lvlJc w:val="left"/>
      <w:lvlText w:val="%1."/>
      <w:numFmt w:val="decimal"/>
      <w:start w:val="7"/>
    </w:lvl>
    <w:lvl w:ilvl="1">
      <w:lvlJc w:val="left"/>
      <w:lvlText w:val="%2"/>
      <w:numFmt w:val="decimal"/>
      <w:start w:val="1"/>
    </w:lvl>
  </w:abstractNum>
  <w:abstractNum w:abstractNumId="5">
    <w:nsid w:val="12200854"/>
    <w:multiLevelType w:val="hybridMultilevel"/>
    <w:lvl w:ilvl="0">
      <w:lvlJc w:val="left"/>
      <w:lvlText w:val="(%1)"/>
      <w:numFmt w:val="decimal"/>
      <w:start w:val="2"/>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hyperlink" Target="https://www.sec.gov/Archives/edgar/data/1436208/000155837023012792/legh-20230728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2023-08-09T14:31:01Z</dcterms:created>
  <dcterms:modified xsi:type="dcterms:W3CDTF">2023-08-09T14:31:01Z</dcterms:modified>
</cp:coreProperties>
</file>