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160655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31"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3"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71120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2" w:lineRule="exact"/>
        <w:rPr>
          <w:sz w:val="24"/>
          <w:szCs w:val="24"/>
          <w:color w:val="auto"/>
        </w:rPr>
      </w:pPr>
    </w:p>
    <w:p>
      <w:pPr>
        <w:ind w:left="450" w:right="180" w:hanging="450"/>
        <w:spacing w:after="0" w:line="265" w:lineRule="auto"/>
        <w:tabs>
          <w:tab w:leader="none" w:pos="45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3"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73"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450" w:right="160" w:hanging="450"/>
        <w:spacing w:after="0" w:line="265" w:lineRule="auto"/>
        <w:tabs>
          <w:tab w:leader="none" w:pos="45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3" w:lineRule="exact"/>
        <w:rPr>
          <w:sz w:val="24"/>
          <w:szCs w:val="24"/>
          <w:color w:val="auto"/>
        </w:rPr>
      </w:pPr>
    </w:p>
    <w:p>
      <w:pPr>
        <w:ind w:left="3770"/>
        <w:spacing w:after="0"/>
        <w:tabs>
          <w:tab w:leader="none" w:pos="629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3"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Commission file number 001-38761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71755</wp:posOffset>
            </wp:positionV>
            <wp:extent cx="162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59"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Legacy Housing Corporation</w:t>
      </w:r>
    </w:p>
    <w:p>
      <w:pPr>
        <w:spacing w:after="0" w:line="35" w:lineRule="exact"/>
        <w:rPr>
          <w:sz w:val="24"/>
          <w:szCs w:val="24"/>
          <w:color w:val="auto"/>
        </w:rPr>
      </w:pPr>
    </w:p>
    <w:p>
      <w:pPr>
        <w:jc w:val="center"/>
        <w:ind w:right="1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p>
      <w:pPr>
        <w:spacing w:after="0" w:line="298" w:lineRule="exact"/>
        <w:rPr>
          <w:sz w:val="24"/>
          <w:szCs w:val="24"/>
          <w:color w:val="auto"/>
        </w:rPr>
      </w:pPr>
    </w:p>
    <w:p>
      <w:pPr>
        <w:ind w:left="2390"/>
        <w:spacing w:after="0"/>
        <w:rPr>
          <w:sz w:val="20"/>
          <w:szCs w:val="20"/>
          <w:color w:val="auto"/>
        </w:rPr>
      </w:pPr>
      <w:r>
        <w:rPr>
          <w:rFonts w:ascii="Arial" w:cs="Arial" w:eastAsia="Arial" w:hAnsi="Arial"/>
          <w:sz w:val="16"/>
          <w:szCs w:val="16"/>
          <w:b w:val="1"/>
          <w:bCs w:val="1"/>
          <w:color w:val="auto"/>
        </w:rPr>
        <w:t>Texas</w:t>
      </w:r>
    </w:p>
    <w:p>
      <w:pPr>
        <w:spacing w:after="0" w:line="26" w:lineRule="exact"/>
        <w:rPr>
          <w:sz w:val="24"/>
          <w:szCs w:val="24"/>
          <w:color w:val="auto"/>
        </w:rPr>
      </w:pPr>
    </w:p>
    <w:p>
      <w:pPr>
        <w:ind w:left="1650"/>
        <w:spacing w:after="0"/>
        <w:rPr>
          <w:sz w:val="20"/>
          <w:szCs w:val="20"/>
          <w:color w:val="auto"/>
        </w:rPr>
      </w:pPr>
      <w:r>
        <w:rPr>
          <w:rFonts w:ascii="Arial" w:cs="Arial" w:eastAsia="Arial" w:hAnsi="Arial"/>
          <w:sz w:val="15"/>
          <w:szCs w:val="15"/>
          <w:color w:val="auto"/>
        </w:rPr>
        <w:t>(State or other jurisdiction of</w:t>
      </w:r>
    </w:p>
    <w:p>
      <w:pPr>
        <w:spacing w:after="0" w:line="30" w:lineRule="exact"/>
        <w:rPr>
          <w:sz w:val="24"/>
          <w:szCs w:val="24"/>
          <w:color w:val="auto"/>
        </w:rPr>
      </w:pPr>
    </w:p>
    <w:p>
      <w:pPr>
        <w:ind w:left="161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20-2897516</w:t>
      </w:r>
    </w:p>
    <w:p>
      <w:pPr>
        <w:spacing w:after="0" w:line="26"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1940"/>
        <w:spacing w:after="0"/>
        <w:rPr>
          <w:sz w:val="20"/>
          <w:szCs w:val="20"/>
          <w:color w:val="auto"/>
        </w:rPr>
      </w:pPr>
      <w:r>
        <w:rPr>
          <w:rFonts w:ascii="Arial" w:cs="Arial" w:eastAsia="Arial" w:hAnsi="Arial"/>
          <w:sz w:val="15"/>
          <w:szCs w:val="15"/>
          <w:color w:val="auto"/>
        </w:rPr>
        <w:t>Identification No.)</w:t>
      </w:r>
    </w:p>
    <w:p>
      <w:pPr>
        <w:spacing w:after="0" w:line="144" w:lineRule="exact"/>
        <w:rPr>
          <w:sz w:val="24"/>
          <w:szCs w:val="24"/>
          <w:color w:val="auto"/>
        </w:rPr>
      </w:pPr>
    </w:p>
    <w:p>
      <w:pPr>
        <w:sectPr>
          <w:pgSz w:w="11900" w:h="16838" w:orient="portrait"/>
          <w:cols w:equalWidth="0" w:num="2">
            <w:col w:w="6370" w:space="720"/>
            <w:col w:w="3140"/>
          </w:cols>
          <w:pgMar w:left="830" w:top="665" w:right="839" w:bottom="1440" w:gutter="0" w:footer="0" w:header="0"/>
          <w:type w:val="continuous"/>
        </w:sectPr>
      </w:pPr>
    </w:p>
    <w:p>
      <w:pPr>
        <w:jc w:val="center"/>
        <w:ind w:right="10"/>
        <w:spacing w:after="0"/>
        <w:rPr>
          <w:sz w:val="20"/>
          <w:szCs w:val="20"/>
          <w:color w:val="auto"/>
        </w:rPr>
      </w:pPr>
      <w:r>
        <w:rPr>
          <w:rFonts w:ascii="Arial" w:cs="Arial" w:eastAsia="Arial" w:hAnsi="Arial"/>
          <w:sz w:val="16"/>
          <w:szCs w:val="16"/>
          <w:b w:val="1"/>
          <w:bCs w:val="1"/>
          <w:color w:val="auto"/>
        </w:rPr>
        <w:t>1600 Airport Freeway, #100</w:t>
      </w:r>
    </w:p>
    <w:p>
      <w:pPr>
        <w:spacing w:after="0" w:line="26"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Bedford, Texas 76022</w:t>
      </w:r>
    </w:p>
    <w:p>
      <w:pPr>
        <w:spacing w:after="0" w:line="19" w:lineRule="exact"/>
        <w:rPr>
          <w:sz w:val="24"/>
          <w:szCs w:val="24"/>
          <w:color w:val="auto"/>
        </w:rPr>
      </w:pPr>
    </w:p>
    <w:p>
      <w:pPr>
        <w:jc w:val="center"/>
        <w:ind w:right="10"/>
        <w:spacing w:after="0"/>
        <w:rPr>
          <w:sz w:val="20"/>
          <w:szCs w:val="20"/>
          <w:color w:val="auto"/>
        </w:rPr>
      </w:pPr>
      <w:r>
        <w:rPr>
          <w:rFonts w:ascii="Arial" w:cs="Arial" w:eastAsia="Arial" w:hAnsi="Arial"/>
          <w:sz w:val="14"/>
          <w:szCs w:val="14"/>
          <w:color w:val="auto"/>
        </w:rPr>
        <w:t>(Address of principal executive offices)</w:t>
      </w:r>
    </w:p>
    <w:p>
      <w:pPr>
        <w:spacing w:after="0" w:line="42" w:lineRule="exact"/>
        <w:rPr>
          <w:sz w:val="24"/>
          <w:szCs w:val="24"/>
          <w:color w:val="auto"/>
        </w:rPr>
      </w:pPr>
    </w:p>
    <w:p>
      <w:pPr>
        <w:jc w:val="center"/>
        <w:ind w:right="10"/>
        <w:spacing w:after="0"/>
        <w:rPr>
          <w:sz w:val="20"/>
          <w:szCs w:val="20"/>
          <w:color w:val="auto"/>
        </w:rPr>
      </w:pPr>
      <w:r>
        <w:rPr>
          <w:rFonts w:ascii="Arial" w:cs="Arial" w:eastAsia="Arial" w:hAnsi="Arial"/>
          <w:sz w:val="16"/>
          <w:szCs w:val="16"/>
          <w:color w:val="auto"/>
        </w:rPr>
        <w:t>(Zip Code)</w:t>
      </w:r>
    </w:p>
    <w:p>
      <w:pPr>
        <w:sectPr>
          <w:pgSz w:w="11900" w:h="16838" w:orient="portrait"/>
          <w:cols w:equalWidth="0" w:num="1">
            <w:col w:w="10230"/>
          </w:cols>
          <w:pgMar w:left="830" w:top="665" w:right="839" w:bottom="1440" w:gutter="0" w:footer="0" w:header="0"/>
          <w:type w:val="continuous"/>
        </w:sectPr>
      </w:pPr>
    </w:p>
    <w:p>
      <w:pPr>
        <w:spacing w:after="0" w:line="119"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(817) 799-4900</w:t>
      </w:r>
    </w:p>
    <w:p>
      <w:pPr>
        <w:spacing w:after="0" w:line="26" w:lineRule="exact"/>
        <w:rPr>
          <w:sz w:val="24"/>
          <w:szCs w:val="24"/>
          <w:color w:val="auto"/>
        </w:rPr>
      </w:pPr>
    </w:p>
    <w:p>
      <w:pPr>
        <w:jc w:val="center"/>
        <w:ind w:right="1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135890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86" w:lineRule="exact"/>
        <w:rPr>
          <w:sz w:val="24"/>
          <w:szCs w:val="24"/>
          <w:color w:val="auto"/>
        </w:rPr>
      </w:pPr>
    </w:p>
    <w:p>
      <w:pPr>
        <w:ind w:left="10" w:right="3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left="10" w:right="44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left="10" w:right="520"/>
        <w:spacing w:after="0" w:line="27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type w:val="continuous"/>
        </w:sectPr>
      </w:pPr>
    </w:p>
    <w:p>
      <w:pPr>
        <w:spacing w:after="0" w:line="1" w:lineRule="exact"/>
        <w:rPr>
          <w:sz w:val="24"/>
          <w:szCs w:val="24"/>
          <w:color w:val="auto"/>
        </w:rPr>
      </w:pPr>
    </w:p>
    <w:p>
      <w:pPr>
        <w:ind w:left="169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2">
            <w:col w:w="6530" w:space="720"/>
            <w:col w:w="2980"/>
          </w:cols>
          <w:pgMar w:left="830" w:top="665" w:right="839" w:bottom="1440" w:gutter="0" w:footer="0" w:header="0"/>
          <w:type w:val="continuous"/>
        </w:sectPr>
      </w:pPr>
    </w:p>
    <w:p>
      <w:pPr>
        <w:spacing w:after="0" w:line="33" w:lineRule="exact"/>
        <w:rPr>
          <w:sz w:val="24"/>
          <w:szCs w:val="24"/>
          <w:color w:val="auto"/>
        </w:rPr>
      </w:pPr>
    </w:p>
    <w:p>
      <w:pPr>
        <w:ind w:left="173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8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190" w:space="720"/>
            <w:col w:w="3320"/>
          </w:cols>
          <w:pgMar w:left="830" w:top="665" w:right="839" w:bottom="1440" w:gutter="0" w:footer="0" w:header="0"/>
          <w:type w:val="continuous"/>
        </w:sectPr>
      </w:pPr>
    </w:p>
    <w:p>
      <w:pPr>
        <w:spacing w:after="0" w:line="3" w:lineRule="exact"/>
        <w:rPr>
          <w:sz w:val="24"/>
          <w:szCs w:val="24"/>
          <w:color w:val="auto"/>
        </w:rPr>
      </w:pPr>
    </w:p>
    <w:p>
      <w:pPr>
        <w:ind w:left="10" w:right="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3"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1" w:lineRule="exact"/>
        <w:rPr>
          <w:sz w:val="24"/>
          <w:szCs w:val="24"/>
          <w:color w:val="auto"/>
        </w:rPr>
      </w:pPr>
    </w:p>
    <w:tbl>
      <w:tblPr>
        <w:tblLayout w:type="fixed"/>
        <w:tblInd w:w="10" w:type="dxa"/>
        <w:tblCellMar>
          <w:top w:w="0" w:type="dxa"/>
          <w:left w:w="0" w:type="dxa"/>
          <w:bottom w:w="0" w:type="dxa"/>
          <w:right w:w="0" w:type="dxa"/>
        </w:tblCellMar>
      </w:tblPr>
      <w:tr>
        <w:trPr>
          <w:trHeight w:val="171"/>
        </w:trPr>
        <w:tc>
          <w:tcPr>
            <w:tcW w:w="3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Title of each class:</w:t>
            </w:r>
          </w:p>
        </w:tc>
        <w:tc>
          <w:tcPr>
            <w:tcW w:w="3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Trading Symbol</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($0.001 par value)</w:t>
            </w:r>
          </w:p>
        </w:tc>
        <w:tc>
          <w:tcPr>
            <w:tcW w:w="200" w:type="dxa"/>
            <w:vAlign w:val="bottom"/>
          </w:tcPr>
          <w:p>
            <w:pPr>
              <w:spacing w:after="0"/>
              <w:rPr>
                <w:sz w:val="15"/>
                <w:szCs w:val="15"/>
                <w:color w:val="auto"/>
              </w:rPr>
            </w:pPr>
          </w:p>
        </w:tc>
        <w:tc>
          <w:tcPr>
            <w:tcW w:w="3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LEGH</w:t>
            </w:r>
          </w:p>
        </w:tc>
        <w:tc>
          <w:tcPr>
            <w:tcW w:w="20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24" w:lineRule="exact"/>
        <w:rPr>
          <w:sz w:val="24"/>
          <w:szCs w:val="24"/>
          <w:color w:val="auto"/>
        </w:rPr>
      </w:pPr>
    </w:p>
    <w:p>
      <w:pPr>
        <w:ind w:left="650"/>
        <w:spacing w:after="0"/>
        <w:rPr>
          <w:sz w:val="20"/>
          <w:szCs w:val="20"/>
          <w:color w:val="auto"/>
        </w:rPr>
      </w:pPr>
      <w:r>
        <w:rPr>
          <w:rFonts w:ascii="Arial" w:cs="Arial" w:eastAsia="Arial" w:hAnsi="Arial"/>
          <w:sz w:val="16"/>
          <w:szCs w:val="16"/>
          <w:color w:val="auto"/>
        </w:rPr>
        <w:t>There were 24,406,020 shares of Common Stock ($0.001 par value) outstanding as of November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575310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95250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137795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7460" w:type="dxa"/>
            <w:vAlign w:val="bottom"/>
            <w:gridSpan w:val="16"/>
          </w:tcPr>
          <w:p>
            <w:pPr>
              <w:ind w:left="20"/>
              <w:spacing w:after="0"/>
              <w:rPr>
                <w:sz w:val="20"/>
                <w:szCs w:val="20"/>
                <w:color w:val="auto"/>
              </w:rPr>
            </w:pPr>
            <w:r>
              <w:rPr>
                <w:rFonts w:ascii="Arial" w:cs="Arial" w:eastAsia="Arial" w:hAnsi="Arial"/>
                <w:sz w:val="18"/>
                <w:szCs w:val="18"/>
                <w:color w:val="0000EE"/>
              </w:rPr>
              <w:t>Table of Contents</w:t>
            </w: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952"/>
        </w:trPr>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80" w:type="dxa"/>
            <w:vAlign w:val="bottom"/>
            <w:gridSpan w:val="5"/>
          </w:tcPr>
          <w:p>
            <w:pPr>
              <w:jc w:val="center"/>
              <w:ind w:right="1300"/>
              <w:spacing w:after="0"/>
              <w:rPr>
                <w:sz w:val="20"/>
                <w:szCs w:val="20"/>
                <w:color w:val="auto"/>
              </w:rPr>
            </w:pPr>
            <w:r>
              <w:rPr>
                <w:rFonts w:ascii="Arial" w:cs="Arial" w:eastAsia="Arial" w:hAnsi="Arial"/>
                <w:sz w:val="18"/>
                <w:szCs w:val="18"/>
                <w:b w:val="1"/>
                <w:bCs w:val="1"/>
                <w:color w:val="auto"/>
              </w:rPr>
              <w:t>LEGACY HOUSING CORPORATION</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2"/>
          </w:tcPr>
          <w:p>
            <w:pPr>
              <w:jc w:val="center"/>
              <w:ind w:right="1960"/>
              <w:spacing w:after="0"/>
              <w:rPr>
                <w:sz w:val="20"/>
                <w:szCs w:val="20"/>
                <w:color w:val="auto"/>
              </w:rPr>
            </w:pPr>
            <w:r>
              <w:rPr>
                <w:rFonts w:ascii="Arial" w:cs="Arial" w:eastAsia="Arial" w:hAnsi="Arial"/>
                <w:sz w:val="18"/>
                <w:szCs w:val="18"/>
                <w:b w:val="1"/>
                <w:bCs w:val="1"/>
                <w:color w:val="auto"/>
                <w:w w:val="98"/>
              </w:rPr>
              <w:t>TABLE OF CONTENTS</w:t>
            </w: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8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Page</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7"/>
              </w:rPr>
              <w:t>PART I - FINANCIAL INFORMATION</w:t>
            </w:r>
          </w:p>
        </w:tc>
        <w:tc>
          <w:tcPr>
            <w:tcW w:w="450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sz w:val="20"/>
                <w:szCs w:val="20"/>
                <w:color w:val="auto"/>
              </w:rPr>
            </w:pPr>
            <w:r>
              <w:rPr>
                <w:rFonts w:ascii="Arial" w:cs="Arial" w:eastAsia="Arial" w:hAnsi="Arial"/>
                <w:sz w:val="18"/>
                <w:szCs w:val="18"/>
                <w:color w:val="0000EE"/>
              </w:rPr>
              <w:t>Item 1.   Financial Statements (Unaudited)</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sz w:val="20"/>
                <w:szCs w:val="20"/>
                <w:color w:val="auto"/>
              </w:rPr>
            </w:pPr>
            <w:r>
              <w:rPr>
                <w:rFonts w:ascii="Arial" w:cs="Arial" w:eastAsia="Arial" w:hAnsi="Arial"/>
                <w:sz w:val="18"/>
                <w:szCs w:val="18"/>
                <w:color w:val="0000EE"/>
                <w:w w:val="91"/>
              </w:rPr>
              <w:t>Item 2.   Management’s Discussion and Analysis of Financial Condition and Results of Operations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sz w:val="20"/>
                <w:szCs w:val="20"/>
                <w:color w:val="auto"/>
              </w:rPr>
            </w:pPr>
            <w:r>
              <w:rPr>
                <w:rFonts w:ascii="Arial" w:cs="Arial" w:eastAsia="Arial" w:hAnsi="Arial"/>
                <w:sz w:val="18"/>
                <w:szCs w:val="18"/>
                <w:color w:val="0000EE"/>
              </w:rPr>
              <w:t>Item 3.   Quantitative and Qualitative Disclosures About Market Risk</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sz w:val="20"/>
                <w:szCs w:val="20"/>
                <w:color w:val="auto"/>
              </w:rPr>
            </w:pPr>
            <w:r>
              <w:rPr>
                <w:rFonts w:ascii="Arial" w:cs="Arial" w:eastAsia="Arial" w:hAnsi="Arial"/>
                <w:sz w:val="18"/>
                <w:szCs w:val="18"/>
                <w:color w:val="0000EE"/>
              </w:rPr>
              <w:t>Item 4.   Controls and Procedures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440" w:type="dxa"/>
            <w:vAlign w:val="bottom"/>
            <w:gridSpan w:val="15"/>
          </w:tcPr>
          <w:p>
            <w:pPr>
              <w:spacing w:after="0"/>
              <w:rPr>
                <w:sz w:val="20"/>
                <w:szCs w:val="20"/>
                <w:color w:val="auto"/>
              </w:rPr>
            </w:pPr>
            <w:r>
              <w:rPr>
                <w:rFonts w:ascii="Arial" w:cs="Arial" w:eastAsia="Arial" w:hAnsi="Arial"/>
                <w:sz w:val="18"/>
                <w:szCs w:val="18"/>
                <w:color w:val="0000EE"/>
              </w:rPr>
              <w:t>PART II - OTHER INFORMATION</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7"/>
              </w:rPr>
              <w:t>Item 1.</w:t>
            </w:r>
          </w:p>
        </w:tc>
        <w:tc>
          <w:tcPr>
            <w:tcW w:w="220" w:type="dxa"/>
            <w:vAlign w:val="bottom"/>
            <w:tcBorders>
              <w:top w:val="single" w:sz="8" w:color="0000EE"/>
            </w:tcBorders>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8"/>
              </w:rPr>
              <w:t>Legal Proceedings</w:t>
            </w:r>
          </w:p>
        </w:tc>
        <w:tc>
          <w:tcPr>
            <w:tcW w:w="300" w:type="dxa"/>
            <w:vAlign w:val="bottom"/>
            <w:tcBorders>
              <w:top w:val="single" w:sz="8" w:color="0000EE"/>
            </w:tcBorders>
          </w:tcPr>
          <w:p>
            <w:pPr>
              <w:spacing w:after="0"/>
              <w:rPr>
                <w:sz w:val="24"/>
                <w:szCs w:val="24"/>
                <w:color w:val="auto"/>
              </w:rPr>
            </w:pPr>
          </w:p>
        </w:tc>
        <w:tc>
          <w:tcPr>
            <w:tcW w:w="4820" w:type="dxa"/>
            <w:vAlign w:val="bottom"/>
            <w:gridSpan w:val="6"/>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sz w:val="20"/>
                <w:szCs w:val="20"/>
                <w:color w:val="auto"/>
              </w:rPr>
            </w:pPr>
            <w:r>
              <w:rPr>
                <w:rFonts w:ascii="Arial" w:cs="Arial" w:eastAsia="Arial" w:hAnsi="Arial"/>
                <w:sz w:val="18"/>
                <w:szCs w:val="18"/>
                <w:color w:val="0000EE"/>
              </w:rPr>
              <w:t>Item 2.   Unregistered Sales of Equity Securities and Use of Proceeds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80" w:type="dxa"/>
            <w:vAlign w:val="bottom"/>
            <w:gridSpan w:val="14"/>
          </w:tcPr>
          <w:p>
            <w:pPr>
              <w:spacing w:after="0"/>
              <w:rPr>
                <w:sz w:val="20"/>
                <w:szCs w:val="20"/>
                <w:color w:val="auto"/>
              </w:rPr>
            </w:pPr>
            <w:r>
              <w:rPr>
                <w:rFonts w:ascii="Arial" w:cs="Arial" w:eastAsia="Arial" w:hAnsi="Arial"/>
                <w:sz w:val="18"/>
                <w:szCs w:val="18"/>
                <w:color w:val="0000EE"/>
              </w:rPr>
              <w:t>Item 3.   Defaults Upon Senior Securities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87"/>
              </w:rPr>
              <w:t>Item 4.</w:t>
            </w:r>
          </w:p>
        </w:tc>
        <w:tc>
          <w:tcPr>
            <w:tcW w:w="2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1"/>
              </w:rPr>
              <w:t>Mine Safety Disclosures</w:t>
            </w:r>
          </w:p>
        </w:tc>
        <w:tc>
          <w:tcPr>
            <w:tcW w:w="540" w:type="dxa"/>
            <w:vAlign w:val="bottom"/>
            <w:tcBorders>
              <w:top w:val="single" w:sz="8" w:color="0000EE"/>
            </w:tcBorders>
            <w:gridSpan w:val="2"/>
          </w:tcPr>
          <w:p>
            <w:pPr>
              <w:spacing w:after="0"/>
              <w:rPr>
                <w:sz w:val="24"/>
                <w:szCs w:val="24"/>
                <w:color w:val="auto"/>
              </w:rPr>
            </w:pPr>
          </w:p>
        </w:tc>
        <w:tc>
          <w:tcPr>
            <w:tcW w:w="4140" w:type="dxa"/>
            <w:vAlign w:val="bottom"/>
            <w:gridSpan w:val="3"/>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7"/>
              </w:rPr>
              <w:t>Item 5.</w:t>
            </w:r>
          </w:p>
        </w:tc>
        <w:tc>
          <w:tcPr>
            <w:tcW w:w="220" w:type="dxa"/>
            <w:vAlign w:val="bottom"/>
          </w:tcPr>
          <w:p>
            <w:pPr>
              <w:spacing w:after="0"/>
              <w:rPr>
                <w:sz w:val="24"/>
                <w:szCs w:val="24"/>
                <w:color w:val="auto"/>
              </w:rPr>
            </w:pPr>
          </w:p>
        </w:tc>
        <w:tc>
          <w:tcPr>
            <w:tcW w:w="13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Other Information</w:t>
            </w:r>
          </w:p>
        </w:tc>
        <w:tc>
          <w:tcPr>
            <w:tcW w:w="5140" w:type="dxa"/>
            <w:vAlign w:val="bottom"/>
            <w:gridSpan w:val="8"/>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0000EE"/>
                <w:w w:val="87"/>
              </w:rPr>
              <w:t>Item 6.</w:t>
            </w:r>
          </w:p>
        </w:tc>
        <w:tc>
          <w:tcPr>
            <w:tcW w:w="220" w:type="dxa"/>
            <w:vAlign w:val="bottom"/>
          </w:tcPr>
          <w:p>
            <w:pPr>
              <w:spacing w:after="0"/>
              <w:rPr>
                <w:sz w:val="24"/>
                <w:szCs w:val="24"/>
                <w:color w:val="auto"/>
              </w:rPr>
            </w:pPr>
          </w:p>
        </w:tc>
        <w:tc>
          <w:tcPr>
            <w:tcW w:w="6460" w:type="dxa"/>
            <w:vAlign w:val="bottom"/>
            <w:gridSpan w:val="12"/>
          </w:tcPr>
          <w:p>
            <w:pPr>
              <w:spacing w:after="0"/>
              <w:rPr>
                <w:sz w:val="20"/>
                <w:szCs w:val="20"/>
                <w:color w:val="auto"/>
              </w:rPr>
            </w:pPr>
            <w:r>
              <w:rPr>
                <w:rFonts w:ascii="Arial" w:cs="Arial" w:eastAsia="Arial" w:hAnsi="Arial"/>
                <w:sz w:val="18"/>
                <w:szCs w:val="18"/>
                <w:color w:val="0000EE"/>
              </w:rPr>
              <w:t>Exhibits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60" w:type="dxa"/>
            <w:vAlign w:val="bottom"/>
            <w:gridSpan w:val="9"/>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7440" w:type="dxa"/>
            <w:vAlign w:val="bottom"/>
            <w:gridSpan w:val="15"/>
          </w:tcPr>
          <w:p>
            <w:pPr>
              <w:spacing w:after="0"/>
              <w:rPr>
                <w:sz w:val="20"/>
                <w:szCs w:val="20"/>
                <w:color w:val="auto"/>
              </w:rPr>
            </w:pPr>
            <w:r>
              <w:rPr>
                <w:rFonts w:ascii="Arial" w:cs="Arial" w:eastAsia="Arial" w:hAnsi="Arial"/>
                <w:sz w:val="18"/>
                <w:szCs w:val="18"/>
                <w:color w:val="0000EE"/>
              </w:rPr>
              <w:t>SIGNATURES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1674"/>
        </w:trPr>
        <w:tc>
          <w:tcPr>
            <w:tcW w:w="2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LEGACY HOUSING CORPORATION</w:t>
      </w:r>
    </w:p>
    <w:p>
      <w:pPr>
        <w:spacing w:after="0" w:line="15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30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11,268</w:t>
            </w:r>
          </w:p>
        </w:tc>
        <w:tc>
          <w:tcPr>
            <w:tcW w:w="2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5,472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5,118</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portion of contracts - dealer financed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Current portion of consumer loans receivable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6,562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6,080</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portion of notes receivable from mobile home parks (“MHP”)</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10,049</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Current portion of other notes receivable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9,577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21,070</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41,230</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4,205</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4,456</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103,139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92,541</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Contracts - dealer financed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Consumer loans receivable, net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127,888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119,543</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Notes receivable from mobile home parks (“MHP”)</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122,706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92,943</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Other notes receivable, net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20,930</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Inventories,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5,494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2,678</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Other assets - leased mobile homes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9,419</w:t>
            </w:r>
          </w:p>
        </w:tc>
        <w:tc>
          <w:tcPr>
            <w:tcW w:w="0" w:type="dxa"/>
            <w:vAlign w:val="bottom"/>
          </w:tcPr>
          <w:p>
            <w:pPr>
              <w:spacing w:after="0"/>
              <w:rPr>
                <w:sz w:val="1"/>
                <w:szCs w:val="1"/>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ROU assets - operating leases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2,916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Property, plant and equipment, net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29,927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27,516</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418,165</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366,667</w:t>
            </w:r>
          </w:p>
        </w:tc>
        <w:tc>
          <w:tcPr>
            <w:tcW w:w="0" w:type="dxa"/>
            <w:vAlign w:val="bottom"/>
          </w:tcPr>
          <w:p>
            <w:pPr>
              <w:spacing w:after="0"/>
              <w:rPr>
                <w:sz w:val="1"/>
                <w:szCs w:val="1"/>
                <w:color w:val="auto"/>
              </w:rPr>
            </w:pPr>
          </w:p>
        </w:tc>
      </w:tr>
      <w:tr>
        <w:trPr>
          <w:trHeight w:val="20"/>
        </w:trPr>
        <w:tc>
          <w:tcPr>
            <w:tcW w:w="6560" w:type="dxa"/>
            <w:vAlign w:val="bottom"/>
            <w:vMerge w:val="restart"/>
          </w:tcPr>
          <w:p>
            <w:pPr>
              <w:ind w:left="2000"/>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340" w:type="dxa"/>
            <w:vAlign w:val="bottom"/>
            <w:gridSpan w:val="2"/>
          </w:tcPr>
          <w:p>
            <w:pPr>
              <w:jc w:val="right"/>
              <w:ind w:right="65"/>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4,099</w:t>
            </w:r>
          </w:p>
        </w:tc>
        <w:tc>
          <w:tcPr>
            <w:tcW w:w="200" w:type="dxa"/>
            <w:vAlign w:val="bottom"/>
          </w:tcPr>
          <w:p>
            <w:pPr>
              <w:spacing w:after="0"/>
              <w:rPr>
                <w:sz w:val="17"/>
                <w:szCs w:val="17"/>
                <w:color w:val="auto"/>
              </w:rPr>
            </w:pPr>
          </w:p>
        </w:tc>
        <w:tc>
          <w:tcPr>
            <w:tcW w:w="220" w:type="dxa"/>
            <w:vAlign w:val="bottom"/>
            <w:gridSpan w:val="2"/>
          </w:tcPr>
          <w:p>
            <w:pPr>
              <w:jc w:val="right"/>
              <w:ind w:right="82"/>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4,155</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20,686</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Customer deposits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12,240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7,749</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Escrow liability</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9,350</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Operating lease obligation</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45,325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41,940</w:t>
            </w:r>
          </w:p>
        </w:tc>
        <w:tc>
          <w:tcPr>
            <w:tcW w:w="0" w:type="dxa"/>
            <w:vAlign w:val="bottom"/>
          </w:tcPr>
          <w:p>
            <w:pPr>
              <w:spacing w:after="0"/>
              <w:rPr>
                <w:sz w:val="1"/>
                <w:szCs w:val="1"/>
                <w:color w:val="auto"/>
              </w:rPr>
            </w:pPr>
          </w:p>
        </w:tc>
      </w:tr>
      <w:tr>
        <w:trPr>
          <w:trHeight w:val="203"/>
        </w:trPr>
        <w:tc>
          <w:tcPr>
            <w:tcW w:w="6560" w:type="dxa"/>
            <w:vAlign w:val="bottom"/>
          </w:tcPr>
          <w:p>
            <w:pPr>
              <w:spacing w:after="0" w:line="184" w:lineRule="exact"/>
              <w:rPr>
                <w:sz w:val="20"/>
                <w:szCs w:val="20"/>
                <w:color w:val="auto"/>
              </w:rPr>
            </w:pPr>
            <w:r>
              <w:rPr>
                <w:rFonts w:ascii="Arial" w:cs="Arial" w:eastAsia="Arial" w:hAnsi="Arial"/>
                <w:sz w:val="16"/>
                <w:szCs w:val="16"/>
                <w:color w:val="auto"/>
              </w:rPr>
              <w:t>Long</w:t>
            </w:r>
            <w:r>
              <w:rPr>
                <w:rFonts w:ascii="MS PGothic" w:cs="MS PGothic" w:eastAsia="MS PGothic" w:hAnsi="MS PGothic"/>
                <w:sz w:val="16"/>
                <w:szCs w:val="16"/>
                <w:color w:val="auto"/>
              </w:rPr>
              <w:t>‑</w:t>
            </w:r>
            <w:r>
              <w:rPr>
                <w:rFonts w:ascii="Arial" w:cs="Arial" w:eastAsia="Arial" w:hAnsi="Arial"/>
                <w:sz w:val="16"/>
                <w:szCs w:val="16"/>
                <w:color w:val="auto"/>
              </w:rPr>
              <w:t>term 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lease obligation, less current portion</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Lines of credit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7,993</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income taxes, net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Dealer incentive liability</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5,255</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55,940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57,273</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Commitments and contingencies (Note 13)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w w:val="94"/>
              </w:rPr>
              <w:t>Preferred stock, $.001 par value, 10,000,000 shares authorized: no shares issued or outstanding</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1"/>
              </w:rPr>
              <w:t>Common stock, $.001 par value, 90,000,000 shares authorized; 24,851,085 and 24,654,621 issued</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7"/>
              </w:rPr>
              <w:t>and 24,406,020 and 24,209,556 outstanding at September 30, 2022 and December 31, 2021,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respectively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Treasury stock at cost, 445,065 shares at September 30, 2022 and December 31, 2021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(4,477)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(4,477)</w:t>
            </w:r>
          </w:p>
        </w:tc>
        <w:tc>
          <w:tcPr>
            <w:tcW w:w="0" w:type="dxa"/>
            <w:vAlign w:val="bottom"/>
          </w:tcPr>
          <w:p>
            <w:pPr>
              <w:spacing w:after="0"/>
              <w:rPr>
                <w:sz w:val="1"/>
                <w:szCs w:val="1"/>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Additional paid-in-capital</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180,361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175,623</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Retained earnings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186,311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138,223</w:t>
            </w: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stockholders' equity</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362,225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309,394</w:t>
            </w:r>
          </w:p>
        </w:tc>
        <w:tc>
          <w:tcPr>
            <w:tcW w:w="0" w:type="dxa"/>
            <w:vAlign w:val="bottom"/>
          </w:tcPr>
          <w:p>
            <w:pPr>
              <w:spacing w:after="0"/>
              <w:rPr>
                <w:sz w:val="1"/>
                <w:szCs w:val="1"/>
                <w:color w:val="auto"/>
              </w:rPr>
            </w:pPr>
          </w:p>
        </w:tc>
      </w:tr>
      <w:tr>
        <w:trPr>
          <w:trHeight w:val="196"/>
        </w:trPr>
        <w:tc>
          <w:tcPr>
            <w:tcW w:w="6560" w:type="dxa"/>
            <w:vAlign w:val="bottom"/>
          </w:tcPr>
          <w:p>
            <w:pPr>
              <w:ind w:left="32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418,165</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366,667</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Three months ended September 30,</w:t>
            </w:r>
          </w:p>
        </w:tc>
        <w:tc>
          <w:tcPr>
            <w:tcW w:w="160" w:type="dxa"/>
            <w:vAlign w:val="bottom"/>
          </w:tcPr>
          <w:p>
            <w:pPr>
              <w:spacing w:after="0"/>
              <w:rPr>
                <w:sz w:val="14"/>
                <w:szCs w:val="14"/>
                <w:color w:val="auto"/>
              </w:rPr>
            </w:pPr>
          </w:p>
        </w:tc>
        <w:tc>
          <w:tcPr>
            <w:tcW w:w="224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37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8"/>
              </w:rPr>
              <w:t>(restated)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8"/>
              </w:rPr>
              <w:t>(restated)</w:t>
            </w: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Product sales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48,678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48,300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155,563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121,689</w:t>
            </w: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Consumer and MHP loans interest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20,631</w:t>
            </w:r>
          </w:p>
        </w:tc>
        <w:tc>
          <w:tcPr>
            <w:tcW w:w="60" w:type="dxa"/>
            <w:vAlign w:val="bottom"/>
            <w:shd w:val="clear" w:color="auto" w:fill="CCEEFF"/>
          </w:tcPr>
          <w:p>
            <w:pPr>
              <w:spacing w:after="0"/>
              <w:rPr>
                <w:sz w:val="18"/>
                <w:szCs w:val="18"/>
                <w:color w:val="auto"/>
              </w:rPr>
            </w:pPr>
          </w:p>
        </w:tc>
      </w:tr>
      <w:tr>
        <w:trPr>
          <w:trHeight w:val="216"/>
        </w:trPr>
        <w:tc>
          <w:tcPr>
            <w:tcW w:w="3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60" w:type="dxa"/>
            <w:vAlign w:val="bottom"/>
            <w:tcBorders>
              <w:bottom w:val="single" w:sz="8" w:color="CCEEFF"/>
            </w:tcBorders>
          </w:tcPr>
          <w:p>
            <w:pPr>
              <w:spacing w:after="0"/>
              <w:rPr>
                <w:sz w:val="18"/>
                <w:szCs w:val="18"/>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181,464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144,999</w:t>
            </w:r>
          </w:p>
        </w:tc>
        <w:tc>
          <w:tcPr>
            <w:tcW w:w="60" w:type="dxa"/>
            <w:vAlign w:val="bottom"/>
            <w:shd w:val="clear" w:color="auto" w:fill="CCEEFF"/>
          </w:tcPr>
          <w:p>
            <w:pPr>
              <w:spacing w:after="0"/>
              <w:rPr>
                <w:sz w:val="18"/>
                <w:szCs w:val="18"/>
                <w:color w:val="auto"/>
              </w:rPr>
            </w:pPr>
          </w:p>
        </w:tc>
      </w:tr>
      <w:tr>
        <w:trPr>
          <w:trHeight w:val="209"/>
        </w:trPr>
        <w:tc>
          <w:tcPr>
            <w:tcW w:w="376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 sales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86,020</w:t>
            </w: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15,005</w:t>
            </w: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Dealer incentive</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shd w:val="clear" w:color="auto" w:fill="CCEEFF"/>
          </w:tcPr>
          <w:p>
            <w:pPr>
              <w:spacing w:after="0"/>
              <w:rPr>
                <w:sz w:val="18"/>
                <w:szCs w:val="18"/>
                <w:color w:val="auto"/>
              </w:rPr>
            </w:pPr>
          </w:p>
        </w:tc>
      </w:tr>
      <w:tr>
        <w:trPr>
          <w:trHeight w:val="209"/>
        </w:trPr>
        <w:tc>
          <w:tcPr>
            <w:tcW w:w="37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42,976</w:t>
            </w: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ind w:left="10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1,265</w:t>
            </w: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Miscellaneous, net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60" w:type="dxa"/>
            <w:vAlign w:val="bottom"/>
            <w:shd w:val="clear" w:color="auto" w:fill="CCEEFF"/>
          </w:tcPr>
          <w:p>
            <w:pPr>
              <w:spacing w:after="0"/>
              <w:rPr>
                <w:sz w:val="18"/>
                <w:szCs w:val="18"/>
                <w:color w:val="auto"/>
              </w:rPr>
            </w:pPr>
          </w:p>
        </w:tc>
      </w:tr>
      <w:tr>
        <w:trPr>
          <w:trHeight w:val="216"/>
        </w:trPr>
        <w:tc>
          <w:tcPr>
            <w:tcW w:w="37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expense</w:t>
            </w:r>
          </w:p>
        </w:tc>
        <w:tc>
          <w:tcPr>
            <w:tcW w:w="4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60" w:type="dxa"/>
            <w:vAlign w:val="bottom"/>
            <w:tcBorders>
              <w:bottom w:val="single" w:sz="8" w:color="CCEEFF"/>
            </w:tcBorders>
          </w:tcPr>
          <w:p>
            <w:pPr>
              <w:spacing w:after="0"/>
              <w:rPr>
                <w:sz w:val="18"/>
                <w:szCs w:val="18"/>
                <w:color w:val="auto"/>
              </w:rPr>
            </w:pPr>
          </w:p>
        </w:tc>
      </w:tr>
      <w:tr>
        <w:trPr>
          <w:trHeight w:val="209"/>
        </w:trPr>
        <w:tc>
          <w:tcPr>
            <w:tcW w:w="3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60" w:type="dxa"/>
            <w:vAlign w:val="bottom"/>
            <w:shd w:val="clear" w:color="auto" w:fill="CCEEFF"/>
          </w:tcPr>
          <w:p>
            <w:pPr>
              <w:spacing w:after="0"/>
              <w:rPr>
                <w:sz w:val="18"/>
                <w:szCs w:val="18"/>
                <w:color w:val="auto"/>
              </w:rPr>
            </w:pPr>
          </w:p>
        </w:tc>
      </w:tr>
      <w:tr>
        <w:trPr>
          <w:trHeight w:val="210"/>
        </w:trPr>
        <w:tc>
          <w:tcPr>
            <w:tcW w:w="376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58,298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43,768</w:t>
            </w: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60" w:type="dxa"/>
            <w:vAlign w:val="bottom"/>
            <w:shd w:val="clear" w:color="auto" w:fill="CCEEFF"/>
          </w:tcPr>
          <w:p>
            <w:pPr>
              <w:spacing w:after="0"/>
              <w:rPr>
                <w:sz w:val="18"/>
                <w:szCs w:val="18"/>
                <w:color w:val="auto"/>
              </w:rPr>
            </w:pPr>
          </w:p>
        </w:tc>
      </w:tr>
      <w:tr>
        <w:trPr>
          <w:trHeight w:val="249"/>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14,735</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12,993</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48,088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36,341</w:t>
            </w:r>
          </w:p>
        </w:tc>
        <w:tc>
          <w:tcPr>
            <w:tcW w:w="60" w:type="dxa"/>
            <w:vAlign w:val="bottom"/>
            <w:tcBorders>
              <w:bottom w:val="single" w:sz="8" w:color="CCEEFF"/>
            </w:tcBorders>
          </w:tcPr>
          <w:p>
            <w:pPr>
              <w:spacing w:after="0"/>
              <w:rPr>
                <w:sz w:val="21"/>
                <w:szCs w:val="21"/>
                <w:color w:val="auto"/>
              </w:rPr>
            </w:pPr>
          </w:p>
        </w:tc>
      </w:tr>
      <w:tr>
        <w:trPr>
          <w:trHeight w:val="197"/>
        </w:trPr>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24,406,020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24,204,362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24,356,809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24,202,053</w:t>
            </w: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25,379,116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24,283,666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25,024,488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24,279,846</w:t>
            </w:r>
          </w:p>
        </w:tc>
        <w:tc>
          <w:tcPr>
            <w:tcW w:w="6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Net income per share: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r>
      <w:tr>
        <w:trPr>
          <w:trHeight w:val="230"/>
        </w:trPr>
        <w:tc>
          <w:tcPr>
            <w:tcW w:w="3760" w:type="dxa"/>
            <w:vAlign w:val="bottom"/>
          </w:tcPr>
          <w:p>
            <w:pPr>
              <w:ind w:left="10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LEGACY HOUSING CORPORATION</w:t>
      </w:r>
    </w:p>
    <w:p>
      <w:pPr>
        <w:spacing w:after="0" w:line="18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680" w:type="dxa"/>
            <w:vAlign w:val="bottom"/>
            <w:gridSpan w:val="7"/>
          </w:tcPr>
          <w:p>
            <w:pPr>
              <w:ind w:left="38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42"/>
        </w:trPr>
        <w:tc>
          <w:tcPr>
            <w:tcW w:w="62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3"/>
              </w:rPr>
              <w:t>(restated)</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48,088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36,341</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1,157</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deferred revenue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Provision for accounts and notes receivable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Provision for long term inventory</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Amortization of operating lease right of use asset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 based payment expense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Consumer loans activity, net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(10,575)</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MHP activity, net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35,312</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Dealer inventory loan activity, net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(4,581)</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deposits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Escrow liability</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1,621</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Dealer incentive liability</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r>
      <w:tr>
        <w:trPr>
          <w:trHeight w:val="209"/>
        </w:trPr>
        <w:tc>
          <w:tcPr>
            <w:tcW w:w="6220" w:type="dxa"/>
            <w:vAlign w:val="bottom"/>
          </w:tcPr>
          <w:p>
            <w:pPr>
              <w:ind w:left="3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50,458</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(4,643)</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notes receivable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(27,127)</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Notes receivable collections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7,761</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Collections from purchased loans</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60" w:type="dxa"/>
            <w:vAlign w:val="bottom"/>
            <w:shd w:val="clear" w:color="auto" w:fill="CCEEFF"/>
          </w:tcPr>
          <w:p>
            <w:pPr>
              <w:spacing w:after="0"/>
              <w:rPr>
                <w:sz w:val="18"/>
                <w:szCs w:val="18"/>
                <w:color w:val="auto"/>
              </w:rPr>
            </w:pPr>
          </w:p>
        </w:tc>
      </w:tr>
      <w:tr>
        <w:trPr>
          <w:trHeight w:val="210"/>
        </w:trPr>
        <w:tc>
          <w:tcPr>
            <w:tcW w:w="6220" w:type="dxa"/>
            <w:vAlign w:val="bottom"/>
          </w:tcPr>
          <w:p>
            <w:pPr>
              <w:ind w:left="3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(22,395)</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lines of credit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75,272</w:t>
            </w:r>
          </w:p>
        </w:tc>
        <w:tc>
          <w:tcPr>
            <w:tcW w:w="160" w:type="dxa"/>
            <w:vAlign w:val="bottom"/>
            <w:shd w:val="clear" w:color="auto" w:fill="CCEEFF"/>
          </w:tcPr>
          <w:p>
            <w:pPr>
              <w:spacing w:after="0"/>
              <w:rPr>
                <w:sz w:val="18"/>
                <w:szCs w:val="18"/>
                <w:color w:val="auto"/>
              </w:rPr>
            </w:pPr>
          </w:p>
        </w:tc>
      </w:tr>
      <w:tr>
        <w:trPr>
          <w:trHeight w:val="216"/>
        </w:trPr>
        <w:tc>
          <w:tcPr>
            <w:tcW w:w="6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Payments on lines of credit</w:t>
            </w:r>
          </w:p>
        </w:tc>
        <w:tc>
          <w:tcPr>
            <w:tcW w:w="3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(116,753)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(103,350)</w:t>
            </w:r>
          </w:p>
        </w:tc>
        <w:tc>
          <w:tcPr>
            <w:tcW w:w="160" w:type="dxa"/>
            <w:vAlign w:val="bottom"/>
            <w:tcBorders>
              <w:bottom w:val="single" w:sz="8" w:color="CCEEFF"/>
            </w:tcBorders>
          </w:tcPr>
          <w:p>
            <w:pPr>
              <w:spacing w:after="0"/>
              <w:rPr>
                <w:sz w:val="18"/>
                <w:szCs w:val="18"/>
                <w:color w:val="auto"/>
              </w:rPr>
            </w:pPr>
          </w:p>
        </w:tc>
      </w:tr>
      <w:tr>
        <w:trPr>
          <w:trHeight w:val="210"/>
        </w:trPr>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(27,978)</w:t>
            </w:r>
          </w:p>
        </w:tc>
        <w:tc>
          <w:tcPr>
            <w:tcW w:w="160" w:type="dxa"/>
            <w:vAlign w:val="bottom"/>
            <w:shd w:val="clear" w:color="auto" w:fill="CCEEFF"/>
          </w:tcPr>
          <w:p>
            <w:pPr>
              <w:spacing w:after="0"/>
              <w:rPr>
                <w:sz w:val="18"/>
                <w:szCs w:val="18"/>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60" w:type="dxa"/>
            <w:vAlign w:val="bottom"/>
            <w:shd w:val="clear" w:color="auto" w:fill="CCEEFF"/>
          </w:tcPr>
          <w:p>
            <w:pPr>
              <w:spacing w:after="0"/>
              <w:rPr>
                <w:sz w:val="18"/>
                <w:szCs w:val="18"/>
                <w:color w:val="auto"/>
              </w:rPr>
            </w:pPr>
          </w:p>
        </w:tc>
      </w:tr>
      <w:tr>
        <w:trPr>
          <w:trHeight w:val="250"/>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11,268</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60" w:type="dxa"/>
            <w:vAlign w:val="bottom"/>
            <w:tcBorders>
              <w:bottom w:val="single" w:sz="8" w:color="CCEEFF"/>
            </w:tcBorders>
          </w:tcPr>
          <w:p>
            <w:pPr>
              <w:spacing w:after="0"/>
              <w:rPr>
                <w:sz w:val="21"/>
                <w:szCs w:val="21"/>
                <w:color w:val="auto"/>
              </w:rPr>
            </w:pPr>
          </w:p>
        </w:tc>
      </w:tr>
      <w:tr>
        <w:trPr>
          <w:trHeight w:val="197"/>
        </w:trPr>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6"/>
        </w:trPr>
        <w:tc>
          <w:tcPr>
            <w:tcW w:w="62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22"/>
                <w:szCs w:val="22"/>
                <w:color w:val="auto"/>
              </w:rPr>
            </w:pPr>
          </w:p>
        </w:tc>
      </w:tr>
      <w:tr>
        <w:trPr>
          <w:trHeight w:val="197"/>
        </w:trPr>
        <w:tc>
          <w:tcPr>
            <w:tcW w:w="62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paid for taxes</w:t>
            </w:r>
          </w:p>
        </w:tc>
        <w:tc>
          <w:tcPr>
            <w:tcW w:w="3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11,673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3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33"/>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9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stock</w:t>
            </w:r>
          </w:p>
        </w:tc>
        <w:tc>
          <w:tcPr>
            <w:tcW w:w="106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w w:val="92"/>
              </w:rPr>
              <w:t>paid-in-capital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2"/>
              </w:rPr>
              <w:t>earnings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24,639,125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(4,477)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$ 259,193</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100"/>
              <w:spacing w:after="0" w:line="195" w:lineRule="exact"/>
              <w:rPr>
                <w:sz w:val="20"/>
                <w:szCs w:val="20"/>
                <w:color w:val="auto"/>
              </w:rPr>
            </w:pPr>
            <w:r>
              <w:rPr>
                <w:rFonts w:ascii="Arial" w:cs="Arial" w:eastAsia="Arial" w:hAnsi="Arial"/>
                <w:sz w:val="18"/>
                <w:szCs w:val="18"/>
                <w:color w:val="auto"/>
                <w:w w:val="91"/>
              </w:rPr>
              <w:t>Share based compensation expense and stock</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4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00"/>
              <w:spacing w:after="0"/>
              <w:rPr>
                <w:sz w:val="20"/>
                <w:szCs w:val="20"/>
                <w:color w:val="auto"/>
              </w:rPr>
            </w:pPr>
            <w:r>
              <w:rPr>
                <w:rFonts w:ascii="Arial" w:cs="Arial" w:eastAsia="Arial" w:hAnsi="Arial"/>
                <w:sz w:val="18"/>
                <w:szCs w:val="18"/>
                <w:color w:val="auto"/>
              </w:rPr>
              <w:t>units vested</w:t>
            </w:r>
          </w:p>
        </w:tc>
        <w:tc>
          <w:tcPr>
            <w:tcW w:w="920" w:type="dxa"/>
            <w:vAlign w:val="bottom"/>
          </w:tcPr>
          <w:p>
            <w:pPr>
              <w:jc w:val="right"/>
              <w:spacing w:after="0"/>
              <w:rPr>
                <w:sz w:val="20"/>
                <w:szCs w:val="20"/>
                <w:color w:val="auto"/>
              </w:rPr>
            </w:pPr>
            <w:r>
              <w:rPr>
                <w:rFonts w:ascii="Arial" w:cs="Arial" w:eastAsia="Arial" w:hAnsi="Arial"/>
                <w:sz w:val="18"/>
                <w:szCs w:val="18"/>
                <w:color w:val="auto"/>
              </w:rPr>
              <w:t>8,571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(restated)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 March 31, 2021 (restated)</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24,647,696</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w:t>
            </w:r>
          </w:p>
        </w:tc>
        <w:tc>
          <w:tcPr>
            <w:tcW w:w="240" w:type="dxa"/>
            <w:vAlign w:val="bottom"/>
            <w:tcBorders>
              <w:bottom w:val="single" w:sz="8" w:color="CCEEFF"/>
            </w:tcBorders>
            <w:gridSpan w:val="2"/>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(4,477)</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175,337</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99,052</w:t>
            </w:r>
          </w:p>
        </w:tc>
        <w:tc>
          <w:tcPr>
            <w:tcW w:w="240" w:type="dxa"/>
            <w:vAlign w:val="bottom"/>
            <w:tcBorders>
              <w:bottom w:val="single" w:sz="8" w:color="CCEEFF"/>
            </w:tcBorders>
            <w:gridSpan w:val="2"/>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269,937</w:t>
            </w:r>
          </w:p>
        </w:tc>
        <w:tc>
          <w:tcPr>
            <w:tcW w:w="0" w:type="dxa"/>
            <w:vAlign w:val="bottom"/>
          </w:tcPr>
          <w:p>
            <w:pPr>
              <w:spacing w:after="0"/>
              <w:rPr>
                <w:sz w:val="1"/>
                <w:szCs w:val="1"/>
                <w:color w:val="auto"/>
              </w:rPr>
            </w:pPr>
          </w:p>
        </w:tc>
      </w:tr>
      <w:tr>
        <w:trPr>
          <w:trHeight w:val="155"/>
        </w:trPr>
        <w:tc>
          <w:tcPr>
            <w:tcW w:w="3540" w:type="dxa"/>
            <w:vAlign w:val="bottom"/>
            <w:shd w:val="clear" w:color="auto" w:fill="CCEEFF"/>
          </w:tcPr>
          <w:p>
            <w:pPr>
              <w:ind w:left="100"/>
              <w:spacing w:after="0" w:line="155" w:lineRule="exact"/>
              <w:rPr>
                <w:sz w:val="20"/>
                <w:szCs w:val="20"/>
                <w:color w:val="auto"/>
              </w:rPr>
            </w:pPr>
            <w:r>
              <w:rPr>
                <w:rFonts w:ascii="Arial" w:cs="Arial" w:eastAsia="Arial" w:hAnsi="Arial"/>
                <w:sz w:val="17"/>
                <w:szCs w:val="17"/>
                <w:color w:val="auto"/>
                <w:w w:val="96"/>
              </w:rPr>
              <w:t>Share based compensation expense and stock</w:t>
            </w: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units vested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3540" w:type="dxa"/>
            <w:vAlign w:val="bottom"/>
          </w:tcPr>
          <w:p>
            <w:pPr>
              <w:ind w:left="100"/>
              <w:spacing w:after="0"/>
              <w:rPr>
                <w:sz w:val="20"/>
                <w:szCs w:val="20"/>
                <w:color w:val="auto"/>
              </w:rPr>
            </w:pPr>
            <w:r>
              <w:rPr>
                <w:rFonts w:ascii="Arial" w:cs="Arial" w:eastAsia="Arial" w:hAnsi="Arial"/>
                <w:sz w:val="18"/>
                <w:szCs w:val="18"/>
                <w:color w:val="auto"/>
              </w:rPr>
              <w:t>Net income (restated)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12,649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12,649</w:t>
            </w: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June 30, 2021 (restated)</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24,647,696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2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111,701</w:t>
            </w:r>
          </w:p>
        </w:tc>
        <w:tc>
          <w:tcPr>
            <w:tcW w:w="2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282,650</w:t>
            </w:r>
          </w:p>
        </w:tc>
        <w:tc>
          <w:tcPr>
            <w:tcW w:w="0" w:type="dxa"/>
            <w:vAlign w:val="bottom"/>
          </w:tcPr>
          <w:p>
            <w:pPr>
              <w:spacing w:after="0"/>
              <w:rPr>
                <w:sz w:val="1"/>
                <w:szCs w:val="1"/>
                <w:color w:val="auto"/>
              </w:rPr>
            </w:pPr>
          </w:p>
        </w:tc>
      </w:tr>
      <w:tr>
        <w:trPr>
          <w:trHeight w:val="20"/>
        </w:trPr>
        <w:tc>
          <w:tcPr>
            <w:tcW w:w="3540" w:type="dxa"/>
            <w:vAlign w:val="bottom"/>
            <w:vMerge w:val="restart"/>
          </w:tcPr>
          <w:p>
            <w:pPr>
              <w:ind w:left="100"/>
              <w:spacing w:after="0" w:line="195" w:lineRule="exact"/>
              <w:rPr>
                <w:sz w:val="20"/>
                <w:szCs w:val="20"/>
                <w:color w:val="auto"/>
              </w:rPr>
            </w:pPr>
            <w:r>
              <w:rPr>
                <w:rFonts w:ascii="Arial" w:cs="Arial" w:eastAsia="Arial" w:hAnsi="Arial"/>
                <w:sz w:val="18"/>
                <w:szCs w:val="18"/>
                <w:color w:val="auto"/>
                <w:w w:val="91"/>
              </w:rPr>
              <w:t>Share based compensation expense and stock</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4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00"/>
              <w:spacing w:after="0"/>
              <w:rPr>
                <w:sz w:val="20"/>
                <w:szCs w:val="20"/>
                <w:color w:val="auto"/>
              </w:rPr>
            </w:pPr>
            <w:r>
              <w:rPr>
                <w:rFonts w:ascii="Arial" w:cs="Arial" w:eastAsia="Arial" w:hAnsi="Arial"/>
                <w:sz w:val="18"/>
                <w:szCs w:val="18"/>
                <w:color w:val="auto"/>
              </w:rPr>
              <w:t>units vested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Share based compensation expense -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40" w:type="dxa"/>
            <w:vAlign w:val="bottom"/>
          </w:tcPr>
          <w:p>
            <w:pPr>
              <w:ind w:left="100"/>
              <w:spacing w:after="0"/>
              <w:rPr>
                <w:sz w:val="20"/>
                <w:szCs w:val="20"/>
                <w:color w:val="auto"/>
              </w:rPr>
            </w:pPr>
            <w:r>
              <w:rPr>
                <w:rFonts w:ascii="Arial" w:cs="Arial" w:eastAsia="Arial" w:hAnsi="Arial"/>
                <w:sz w:val="18"/>
                <w:szCs w:val="18"/>
                <w:color w:val="auto"/>
              </w:rPr>
              <w:t>Net income (restated)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12,993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12,993</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September 30, 2021 (restated)</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24,654,621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(4,477)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124,694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$ 295,798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3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3"/>
              </w:rPr>
              <w:t>Common Stock</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Treasury</w:t>
            </w: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1620" w:type="dxa"/>
            <w:vAlign w:val="bottom"/>
            <w:gridSpan w:val="4"/>
          </w:tcPr>
          <w:p>
            <w:pPr>
              <w:ind w:left="80"/>
              <w:spacing w:after="0"/>
              <w:rPr>
                <w:sz w:val="20"/>
                <w:szCs w:val="20"/>
                <w:color w:val="auto"/>
              </w:rPr>
            </w:pPr>
            <w:r>
              <w:rPr>
                <w:rFonts w:ascii="Arial" w:cs="Arial" w:eastAsia="Arial" w:hAnsi="Arial"/>
                <w:sz w:val="14"/>
                <w:szCs w:val="14"/>
                <w:b w:val="1"/>
                <w:bCs w:val="1"/>
                <w:color w:val="auto"/>
              </w:rPr>
              <w:t>stock   paid-in-capital</w:t>
            </w:r>
          </w:p>
        </w:tc>
        <w:tc>
          <w:tcPr>
            <w:tcW w:w="10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7"/>
                <w:szCs w:val="17"/>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24,654,621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u w:val="single" w:color="auto"/>
                <w:color w:val="auto"/>
                <w:w w:val="90"/>
              </w:rPr>
              <w:t>(4,477)</w:t>
            </w:r>
            <w:r>
              <w:rPr>
                <w:rFonts w:ascii="Arial" w:cs="Arial" w:eastAsia="Arial" w:hAnsi="Arial"/>
                <w:sz w:val="18"/>
                <w:szCs w:val="18"/>
                <w:color w:val="auto"/>
                <w:w w:val="9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$ 138,223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$ 309,394</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120"/>
              <w:spacing w:after="0" w:line="195" w:lineRule="exact"/>
              <w:rPr>
                <w:sz w:val="20"/>
                <w:szCs w:val="20"/>
                <w:color w:val="auto"/>
              </w:rPr>
            </w:pPr>
            <w:r>
              <w:rPr>
                <w:rFonts w:ascii="Arial" w:cs="Arial" w:eastAsia="Arial" w:hAnsi="Arial"/>
                <w:sz w:val="18"/>
                <w:szCs w:val="18"/>
                <w:color w:val="auto"/>
                <w:w w:val="94"/>
              </w:rPr>
              <w:t>Share based compensation expense and stock</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20"/>
              <w:spacing w:after="0"/>
              <w:rPr>
                <w:sz w:val="20"/>
                <w:szCs w:val="20"/>
                <w:color w:val="auto"/>
              </w:rPr>
            </w:pPr>
            <w:r>
              <w:rPr>
                <w:rFonts w:ascii="Arial" w:cs="Arial" w:eastAsia="Arial" w:hAnsi="Arial"/>
                <w:sz w:val="18"/>
                <w:szCs w:val="18"/>
                <w:color w:val="auto"/>
              </w:rPr>
              <w:t>units vested</w:t>
            </w:r>
          </w:p>
        </w:tc>
        <w:tc>
          <w:tcPr>
            <w:tcW w:w="920" w:type="dxa"/>
            <w:vAlign w:val="bottom"/>
          </w:tcPr>
          <w:p>
            <w:pPr>
              <w:jc w:val="right"/>
              <w:spacing w:after="0"/>
              <w:rPr>
                <w:sz w:val="20"/>
                <w:szCs w:val="20"/>
                <w:color w:val="auto"/>
              </w:rPr>
            </w:pPr>
            <w:r>
              <w:rPr>
                <w:rFonts w:ascii="Arial" w:cs="Arial" w:eastAsia="Arial" w:hAnsi="Arial"/>
                <w:sz w:val="18"/>
                <w:szCs w:val="18"/>
                <w:color w:val="auto"/>
              </w:rPr>
              <w:t>158,571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4,003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16,092</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Balances, March 31, 2022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24,813,192</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(4,477)</w:t>
            </w:r>
          </w:p>
        </w:tc>
        <w:tc>
          <w:tcPr>
            <w:tcW w:w="8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179,626</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154,315</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329,493</w:t>
            </w:r>
          </w:p>
        </w:tc>
        <w:tc>
          <w:tcPr>
            <w:tcW w:w="0" w:type="dxa"/>
            <w:vAlign w:val="bottom"/>
          </w:tcPr>
          <w:p>
            <w:pPr>
              <w:spacing w:after="0"/>
              <w:rPr>
                <w:sz w:val="1"/>
                <w:szCs w:val="1"/>
                <w:color w:val="auto"/>
              </w:rPr>
            </w:pPr>
          </w:p>
        </w:tc>
      </w:tr>
      <w:tr>
        <w:trPr>
          <w:trHeight w:val="155"/>
        </w:trPr>
        <w:tc>
          <w:tcPr>
            <w:tcW w:w="3680" w:type="dxa"/>
            <w:vAlign w:val="bottom"/>
            <w:shd w:val="clear" w:color="auto" w:fill="CCEEFF"/>
          </w:tcPr>
          <w:p>
            <w:pPr>
              <w:ind w:left="120"/>
              <w:spacing w:after="0" w:line="155" w:lineRule="exact"/>
              <w:rPr>
                <w:sz w:val="20"/>
                <w:szCs w:val="20"/>
                <w:color w:val="auto"/>
              </w:rPr>
            </w:pPr>
            <w:r>
              <w:rPr>
                <w:rFonts w:ascii="Arial" w:cs="Arial" w:eastAsia="Arial" w:hAnsi="Arial"/>
                <w:sz w:val="17"/>
                <w:szCs w:val="17"/>
                <w:color w:val="auto"/>
              </w:rPr>
              <w:t>Share based compensation expense and stock</w:t>
            </w: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units vested</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36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17,261</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17,261</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September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24,813,192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171,576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347,060</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120"/>
              <w:spacing w:after="0" w:line="195" w:lineRule="exact"/>
              <w:rPr>
                <w:sz w:val="20"/>
                <w:szCs w:val="20"/>
                <w:color w:val="auto"/>
              </w:rPr>
            </w:pPr>
            <w:r>
              <w:rPr>
                <w:rFonts w:ascii="Arial" w:cs="Arial" w:eastAsia="Arial" w:hAnsi="Arial"/>
                <w:sz w:val="18"/>
                <w:szCs w:val="18"/>
                <w:color w:val="auto"/>
                <w:w w:val="94"/>
              </w:rPr>
              <w:t>Share based compensation expense and stock</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20"/>
              <w:spacing w:after="0"/>
              <w:rPr>
                <w:sz w:val="20"/>
                <w:szCs w:val="20"/>
                <w:color w:val="auto"/>
              </w:rPr>
            </w:pPr>
            <w:r>
              <w:rPr>
                <w:rFonts w:ascii="Arial" w:cs="Arial" w:eastAsia="Arial" w:hAnsi="Arial"/>
                <w:sz w:val="18"/>
                <w:szCs w:val="18"/>
                <w:color w:val="auto"/>
              </w:rPr>
              <w:t>units vested</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14,735</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8"/>
                <w:szCs w:val="18"/>
                <w:color w:val="auto"/>
              </w:rPr>
              <w:t>Balances, September 30, 2022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24,813,192</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u w:val="single" w:color="auto"/>
                <w:color w:val="auto"/>
                <w:w w:val="90"/>
              </w:rPr>
              <w:t>(4,477)</w:t>
            </w:r>
            <w:r>
              <w:rPr>
                <w:rFonts w:ascii="Arial" w:cs="Arial" w:eastAsia="Arial" w:hAnsi="Arial"/>
                <w:sz w:val="18"/>
                <w:szCs w:val="18"/>
                <w:color w:val="auto"/>
                <w:w w:val="9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180,361</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$ 186,311</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$ 362,225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ind w:left="60" w:right="119" w:firstLine="713"/>
        <w:spacing w:after="0" w:line="301" w:lineRule="auto"/>
        <w:rPr>
          <w:sz w:val="20"/>
          <w:szCs w:val="20"/>
          <w:color w:val="auto"/>
        </w:rPr>
      </w:pPr>
      <w:r>
        <w:rPr>
          <w:rFonts w:ascii="Arial" w:cs="Arial" w:eastAsia="Arial" w:hAnsi="Arial"/>
          <w:sz w:val="16"/>
          <w:szCs w:val="16"/>
          <w:color w:val="auto"/>
        </w:rPr>
        <w:t>Legacy Housing Corporation (referred herein as ”Legacy”, “we”, “our”, “us”, or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w:t>
      </w:r>
    </w:p>
    <w:p>
      <w:pPr>
        <w:spacing w:after="0" w:line="117" w:lineRule="exact"/>
        <w:rPr>
          <w:sz w:val="20"/>
          <w:szCs w:val="20"/>
          <w:color w:val="auto"/>
        </w:rPr>
      </w:pPr>
    </w:p>
    <w:p>
      <w:pPr>
        <w:ind w:left="60" w:right="79" w:firstLine="713"/>
        <w:spacing w:after="0" w:line="275" w:lineRule="auto"/>
        <w:rPr>
          <w:sz w:val="20"/>
          <w:szCs w:val="20"/>
          <w:color w:val="auto"/>
        </w:rPr>
      </w:pPr>
      <w:r>
        <w:rPr>
          <w:rFonts w:ascii="Arial" w:cs="Arial" w:eastAsia="Arial" w:hAnsi="Arial"/>
          <w:sz w:val="17"/>
          <w:szCs w:val="17"/>
          <w:color w:val="auto"/>
        </w:rPr>
        <w:t>The Company (1) manufactures and provides for the transport of mobile homes, (2) provides wholesale financing to dealers and mobile home parks,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mobile homes. The Company also sells homes directly to dealers and mobile home parks.</w:t>
      </w:r>
    </w:p>
    <w:p>
      <w:pPr>
        <w:spacing w:after="0" w:line="149" w:lineRule="exact"/>
        <w:rPr>
          <w:sz w:val="20"/>
          <w:szCs w:val="20"/>
          <w:color w:val="auto"/>
        </w:rPr>
      </w:pPr>
    </w:p>
    <w:p>
      <w:pPr>
        <w:ind w:left="60" w:right="119" w:firstLine="713"/>
        <w:spacing w:after="0" w:line="257" w:lineRule="auto"/>
        <w:rPr>
          <w:sz w:val="20"/>
          <w:szCs w:val="20"/>
          <w:color w:val="auto"/>
        </w:rPr>
      </w:pPr>
      <w:r>
        <w:rPr>
          <w:rFonts w:ascii="Arial" w:cs="Arial" w:eastAsia="Arial" w:hAnsi="Arial"/>
          <w:sz w:val="18"/>
          <w:szCs w:val="18"/>
          <w:color w:val="auto"/>
        </w:rPr>
        <w:t>In December 2018, the Company sold 4,000,000 shares of its common stock through an initial public offering (“IPO”) at $12.00 per share. Proceeds from the IPO, net of $4,504 of underwriting discounts and offering expenses paid by the Company, were $43,492. In January 2019, the Company sold an additional 600,000 shares of its common stock as part of the IPO at $12.00 per share. Proceeds from the January 2019 issuance, net of $505 of underwriting discounts and offering expenses paid by the Company, were $6,695.</w:t>
      </w:r>
    </w:p>
    <w:p>
      <w:pPr>
        <w:spacing w:after="0" w:line="147" w:lineRule="exact"/>
        <w:rPr>
          <w:sz w:val="20"/>
          <w:szCs w:val="20"/>
          <w:color w:val="auto"/>
        </w:rPr>
      </w:pPr>
    </w:p>
    <w:p>
      <w:pPr>
        <w:ind w:left="60" w:right="99" w:firstLine="713"/>
        <w:spacing w:after="0" w:line="271" w:lineRule="auto"/>
        <w:rPr>
          <w:sz w:val="20"/>
          <w:szCs w:val="20"/>
          <w:color w:val="auto"/>
        </w:rPr>
      </w:pPr>
      <w:r>
        <w:rPr>
          <w:rFonts w:ascii="Arial" w:cs="Arial" w:eastAsia="Arial" w:hAnsi="Arial"/>
          <w:sz w:val="17"/>
          <w:szCs w:val="17"/>
          <w:color w:val="auto"/>
        </w:rPr>
        <w:t>On April 17, 2019, the Company purchased 300,000 shares of its common stock at the price of $10.20 per share, pursuant to the Company’s repurchase program. During the year ended December 31, 2020, the Company purchased 145,065 shares of its common stock at an average price of $9.77 per share, pursuant to the Company’s repurchase program. Under the repurchase program, the Company may purchase up to $10,000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202" w:lineRule="exact"/>
        <w:rPr>
          <w:sz w:val="20"/>
          <w:szCs w:val="20"/>
          <w:color w:val="auto"/>
        </w:rPr>
      </w:pPr>
    </w:p>
    <w:p>
      <w:pPr>
        <w:ind w:left="60" w:right="99" w:firstLine="713"/>
        <w:spacing w:after="0" w:line="296" w:lineRule="auto"/>
        <w:rPr>
          <w:sz w:val="20"/>
          <w:szCs w:val="20"/>
          <w:color w:val="auto"/>
        </w:rPr>
      </w:pPr>
      <w:r>
        <w:rPr>
          <w:rFonts w:ascii="Arial" w:cs="Arial" w:eastAsia="Arial" w:hAnsi="Arial"/>
          <w:sz w:val="16"/>
          <w:szCs w:val="16"/>
          <w:color w:val="auto"/>
        </w:rPr>
        <w:t>Effective January 1, 2018, the Partnership converted into a Delaware corporation pursuant to a statutory conversion and changed its name to Legacy Housing Corporation. In order to consummate the corporate conversion completed on January 1, 2018, a certificate of conversion was filed with the Secretary of State of the State of Delaware and with the Secretary of State of the State of Texas. Holders of partnership interests in Legacy Housing, Ltd. received an initial allocation, on a proportional basis, of 20,000,000 shares of common stock of Legacy Housing Corporation.</w:t>
      </w:r>
    </w:p>
    <w:p>
      <w:pPr>
        <w:spacing w:after="0" w:line="121"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7"/>
          <w:szCs w:val="17"/>
          <w:color w:val="auto"/>
        </w:rPr>
        <w:t>Following the corporate conversion, Legacy Housing Corporation continues to hold all property and assets of Legacy Housing, Ltd. and all of the debts and obligations of Legacy Housing, Ltd. On the effective date of the corporate conversion, the officers of Legacy Housing, Ltd. became the officers of Legacy Housing Corporation. As a result of the corporate conversion, the Company is now a federal corporate taxpayer.</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The accompanying unaudited interim condensed financial statements as of September 30, 2022 and for the three and nine months ended September 30, 2022 and 2021, respectively, have been prepared in accordance with accounting principles generally accepted in the United States of America ("GAAP") for interim financial information and pursuant to the rules and regulations of the U.S. Securities and Exchange Commission ("SEC") as required by Regulation S-X, Rule 8-03. In the opinion of management, the unaudited interim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nine months ended September 30, 2022 are not necessarily indicative of the results to be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40" w:right="5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expected for the year ending December 31, 2022, or any other period. The accompanying balance sheet as of December 31, 2021 was derived from audited financial statements included in the Company's annual report on Form 10-K for the year ended December 31, 2021 (the "Form 10-K"). The accompanying financial statements do not include all of the information and footnotes required by GAAP for annual financial statements. Accordingly, they should be read in conjunction with the audited financial statements and notes thereto included in the Form 10-K. Certain amounts in the prior period financial statements have been reclassified to conform to the presentation of the current period financial statements. These reclassifications had no effect on the previously reported net income.</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Restatement of Previously Issued Condensed Financial Statements (unaudited)</w:t>
      </w:r>
    </w:p>
    <w:p>
      <w:pPr>
        <w:spacing w:after="0" w:line="202"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As previously reported in the Company’s Annual Report on Form 10-K for the year ended December 31, 2021, the Company has restated its interim financial statements for the period ended September 30, 2021 to correct (i) an understatement of costs errantly assigned to accounts payable for inventory received but not invoiced, (ii) an overstatement of prepaid inventory and an understatement of cost of product sales and property, plant &amp; equipment, (iii) an overstatement in finished goods inventory and an understatement of cost of product sales, (iv) a reclassification between prepaid expenses and other current assets and other assets, (v) a reclassification between prepaid expenses and other current assets and lines of credit, and (vi) a change in accrued liabilities and income tax expense.</w:t>
      </w:r>
    </w:p>
    <w:p>
      <w:pPr>
        <w:spacing w:after="0" w:line="137"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The effects of the restatement on the line items within the Company’s condensed statement of income for the three months ended September 30, 2021 were as follows: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Three Months Ended September 30, 2021</w:t>
            </w: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4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480"/>
              <w:spacing w:after="0" w:line="129" w:lineRule="exact"/>
              <w:rPr>
                <w:sz w:val="20"/>
                <w:szCs w:val="20"/>
                <w:color w:val="auto"/>
              </w:rPr>
            </w:pPr>
            <w:r>
              <w:rPr>
                <w:rFonts w:ascii="Arial" w:cs="Arial" w:eastAsia="Arial" w:hAnsi="Arial"/>
                <w:sz w:val="13"/>
                <w:szCs w:val="13"/>
                <w:b w:val="1"/>
                <w:bCs w:val="1"/>
                <w:color w:val="auto"/>
                <w:w w:val="96"/>
              </w:rPr>
              <w:t>As</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49"/>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9"/>
              </w:rPr>
              <w:t>Originally</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right"/>
              <w:ind w:right="720"/>
              <w:spacing w:after="0"/>
              <w:rPr>
                <w:sz w:val="20"/>
                <w:szCs w:val="20"/>
                <w:color w:val="auto"/>
              </w:rPr>
            </w:pPr>
            <w:r>
              <w:rPr>
                <w:rFonts w:ascii="Arial" w:cs="Arial" w:eastAsia="Arial" w:hAnsi="Arial"/>
                <w:sz w:val="13"/>
                <w:szCs w:val="13"/>
                <w:b w:val="1"/>
                <w:bCs w:val="1"/>
                <w:color w:val="auto"/>
              </w:rPr>
              <w:t>As</w:t>
            </w:r>
          </w:p>
        </w:tc>
      </w:tr>
      <w:tr>
        <w:trPr>
          <w:trHeight w:val="161"/>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4"/>
              </w:rPr>
              <w:t>Reported</w:t>
            </w:r>
          </w:p>
        </w:tc>
        <w:tc>
          <w:tcPr>
            <w:tcW w:w="18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3"/>
                <w:szCs w:val="13"/>
                <w:b w:val="1"/>
                <w:bCs w:val="1"/>
                <w:color w:val="auto"/>
              </w:rPr>
              <w:t>Adjustments</w:t>
            </w:r>
          </w:p>
        </w:tc>
        <w:tc>
          <w:tcPr>
            <w:tcW w:w="32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4"/>
              </w:rPr>
              <w:t>Restated</w:t>
            </w:r>
          </w:p>
        </w:tc>
      </w:tr>
      <w:tr>
        <w:trPr>
          <w:trHeight w:val="142"/>
        </w:trPr>
        <w:tc>
          <w:tcPr>
            <w:tcW w:w="44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Operating expenses:</w:t>
            </w:r>
          </w:p>
        </w:tc>
        <w:tc>
          <w:tcPr>
            <w:tcW w:w="2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r>
      <w:tr>
        <w:trPr>
          <w:trHeight w:val="216"/>
        </w:trPr>
        <w:tc>
          <w:tcPr>
            <w:tcW w:w="4400" w:type="dxa"/>
            <w:vAlign w:val="bottom"/>
          </w:tcPr>
          <w:p>
            <w:pPr>
              <w:ind w:left="80"/>
              <w:spacing w:after="0"/>
              <w:rPr>
                <w:sz w:val="20"/>
                <w:szCs w:val="20"/>
                <w:color w:val="auto"/>
              </w:rPr>
            </w:pPr>
            <w:r>
              <w:rPr>
                <w:rFonts w:ascii="Arial" w:cs="Arial" w:eastAsia="Arial" w:hAnsi="Arial"/>
                <w:sz w:val="14"/>
                <w:szCs w:val="14"/>
                <w:color w:val="auto"/>
              </w:rPr>
              <w:t>Cost of product sale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33,392</w:t>
            </w:r>
          </w:p>
        </w:tc>
        <w:tc>
          <w:tcPr>
            <w:tcW w:w="30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2,284</w:t>
            </w:r>
          </w:p>
        </w:tc>
        <w:tc>
          <w:tcPr>
            <w:tcW w:w="28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35,676</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(2,284)</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15,328</w:t>
            </w: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Income before income tax expense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17,998</w:t>
            </w:r>
          </w:p>
        </w:tc>
        <w:tc>
          <w:tcPr>
            <w:tcW w:w="30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(2,284)</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15,714</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(3,265)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(2,721)</w:t>
            </w:r>
          </w:p>
        </w:tc>
      </w:tr>
      <w:tr>
        <w:trPr>
          <w:trHeight w:val="216"/>
        </w:trPr>
        <w:tc>
          <w:tcPr>
            <w:tcW w:w="44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14,733</w:t>
            </w:r>
          </w:p>
        </w:tc>
        <w:tc>
          <w:tcPr>
            <w:tcW w:w="30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(1,740)</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12,993</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00" w:type="dxa"/>
            <w:vAlign w:val="bottom"/>
          </w:tcPr>
          <w:p>
            <w:pPr>
              <w:ind w:left="80"/>
              <w:spacing w:after="0"/>
              <w:rPr>
                <w:sz w:val="20"/>
                <w:szCs w:val="20"/>
                <w:color w:val="auto"/>
              </w:rPr>
            </w:pPr>
            <w:r>
              <w:rPr>
                <w:rFonts w:ascii="Arial" w:cs="Arial" w:eastAsia="Arial" w:hAnsi="Arial"/>
                <w:sz w:val="14"/>
                <w:szCs w:val="14"/>
                <w:color w:val="auto"/>
              </w:rPr>
              <w:t>Basic</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0.61</w:t>
            </w:r>
          </w:p>
        </w:tc>
        <w:tc>
          <w:tcPr>
            <w:tcW w:w="30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(0.07)</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0.54</w:t>
            </w:r>
          </w:p>
        </w:tc>
        <w:tc>
          <w:tcPr>
            <w:tcW w:w="200" w:type="dxa"/>
            <w:vAlign w:val="bottom"/>
          </w:tcPr>
          <w:p>
            <w:pPr>
              <w:spacing w:after="0"/>
              <w:rPr>
                <w:sz w:val="18"/>
                <w:szCs w:val="18"/>
                <w:color w:val="auto"/>
              </w:rPr>
            </w:pPr>
          </w:p>
        </w:tc>
      </w:tr>
      <w:tr>
        <w:trPr>
          <w:trHeight w:val="216"/>
        </w:trPr>
        <w:tc>
          <w:tcPr>
            <w:tcW w:w="440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(0.07)</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200" w:type="dxa"/>
            <w:vAlign w:val="bottom"/>
            <w:shd w:val="clear" w:color="auto" w:fill="CCEEFF"/>
          </w:tcPr>
          <w:p>
            <w:pPr>
              <w:spacing w:after="0"/>
              <w:rPr>
                <w:sz w:val="18"/>
                <w:szCs w:val="18"/>
                <w:color w:val="auto"/>
              </w:rPr>
            </w:pPr>
          </w:p>
        </w:tc>
      </w:tr>
    </w:tbl>
    <w:p>
      <w:pPr>
        <w:spacing w:after="0" w:line="391"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The effects of the restatement on the line items within the Company’s condensed statement of income for the nine months ended September 30, 2021 were as follows: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right"/>
              <w:ind w:right="334"/>
              <w:spacing w:after="0"/>
              <w:rPr>
                <w:sz w:val="20"/>
                <w:szCs w:val="20"/>
                <w:color w:val="auto"/>
              </w:rPr>
            </w:pPr>
            <w:r>
              <w:rPr>
                <w:rFonts w:ascii="Arial" w:cs="Arial" w:eastAsia="Arial" w:hAnsi="Arial"/>
                <w:sz w:val="14"/>
                <w:szCs w:val="14"/>
                <w:b w:val="1"/>
                <w:bCs w:val="1"/>
                <w:color w:val="auto"/>
              </w:rPr>
              <w:t>Nine Months Ended September 30, 2021</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As</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Originally</w:t>
            </w:r>
          </w:p>
        </w:tc>
        <w:tc>
          <w:tcPr>
            <w:tcW w:w="100" w:type="dxa"/>
            <w:vAlign w:val="bottom"/>
          </w:tcPr>
          <w:p>
            <w:pPr>
              <w:spacing w:after="0"/>
              <w:rPr>
                <w:sz w:val="12"/>
                <w:szCs w:val="12"/>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Reported</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Restated</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00"/>
              <w:spacing w:after="0"/>
              <w:rPr>
                <w:sz w:val="20"/>
                <w:szCs w:val="20"/>
                <w:color w:val="auto"/>
              </w:rPr>
            </w:pPr>
            <w:r>
              <w:rPr>
                <w:rFonts w:ascii="Arial" w:cs="Arial" w:eastAsia="Arial" w:hAnsi="Arial"/>
                <w:sz w:val="18"/>
                <w:szCs w:val="18"/>
                <w:color w:val="auto"/>
              </w:rPr>
              <w:t>Cost of product sale</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86,024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43,764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43,768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36,183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36,341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00"/>
              <w:spacing w:after="0"/>
              <w:rPr>
                <w:sz w:val="20"/>
                <w:szCs w:val="20"/>
                <w:color w:val="auto"/>
              </w:rPr>
            </w:pPr>
            <w:r>
              <w:rPr>
                <w:rFonts w:ascii="Arial" w:cs="Arial" w:eastAsia="Arial" w:hAnsi="Arial"/>
                <w:sz w:val="18"/>
                <w:szCs w:val="18"/>
                <w:color w:val="auto"/>
              </w:rPr>
              <w:t>Basic</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460" w:type="dxa"/>
            <w:vAlign w:val="bottom"/>
          </w:tcPr>
          <w:p>
            <w:pPr>
              <w:spacing w:after="0"/>
              <w:rPr>
                <w:sz w:val="24"/>
                <w:szCs w:val="24"/>
                <w:color w:val="auto"/>
              </w:rPr>
            </w:pPr>
          </w:p>
        </w:tc>
        <w:tc>
          <w:tcPr>
            <w:tcW w:w="2000" w:type="dxa"/>
            <w:vAlign w:val="bottom"/>
          </w:tcPr>
          <w:p>
            <w:pPr>
              <w:jc w:val="right"/>
              <w:ind w:right="87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40" w:right="5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effects of the restatement on the line items within the Company’s condensed statement of cash flows for the nine months ended September 30, 2021 were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8"/>
          </w:tcPr>
          <w:p>
            <w:pPr>
              <w:jc w:val="center"/>
              <w:ind w:right="140"/>
              <w:spacing w:after="0"/>
              <w:rPr>
                <w:sz w:val="20"/>
                <w:szCs w:val="20"/>
                <w:color w:val="auto"/>
              </w:rPr>
            </w:pPr>
            <w:r>
              <w:rPr>
                <w:rFonts w:ascii="Arial" w:cs="Arial" w:eastAsia="Arial" w:hAnsi="Arial"/>
                <w:sz w:val="13"/>
                <w:szCs w:val="13"/>
                <w:b w:val="1"/>
                <w:bCs w:val="1"/>
                <w:color w:val="auto"/>
                <w:w w:val="92"/>
              </w:rPr>
              <w:t>Nine months September 30, 2021</w:t>
            </w:r>
          </w:p>
        </w:tc>
      </w:tr>
      <w:tr>
        <w:trPr>
          <w:trHeight w:val="129"/>
        </w:trPr>
        <w:tc>
          <w:tcPr>
            <w:tcW w:w="5780" w:type="dxa"/>
            <w:vAlign w:val="bottom"/>
          </w:tcPr>
          <w:p>
            <w:pPr>
              <w:spacing w:after="0"/>
              <w:rPr>
                <w:sz w:val="11"/>
                <w:szCs w:val="11"/>
                <w:color w:val="auto"/>
              </w:rPr>
            </w:pPr>
          </w:p>
        </w:tc>
        <w:tc>
          <w:tcPr>
            <w:tcW w:w="1080" w:type="dxa"/>
            <w:vAlign w:val="bottom"/>
            <w:tcBorders>
              <w:top w:val="single" w:sz="8" w:color="auto"/>
            </w:tcBorders>
            <w:gridSpan w:val="3"/>
          </w:tcPr>
          <w:p>
            <w:pPr>
              <w:jc w:val="center"/>
              <w:ind w:right="220"/>
              <w:spacing w:after="0" w:line="129" w:lineRule="exact"/>
              <w:rPr>
                <w:sz w:val="20"/>
                <w:szCs w:val="20"/>
                <w:color w:val="auto"/>
              </w:rPr>
            </w:pPr>
            <w:r>
              <w:rPr>
                <w:rFonts w:ascii="Arial" w:cs="Arial" w:eastAsia="Arial" w:hAnsi="Arial"/>
                <w:sz w:val="13"/>
                <w:szCs w:val="13"/>
                <w:b w:val="1"/>
                <w:bCs w:val="1"/>
                <w:color w:val="auto"/>
                <w:w w:val="97"/>
              </w:rPr>
              <w:t>As Originally</w:t>
            </w: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49"/>
              <w:spacing w:after="0" w:line="129" w:lineRule="exact"/>
              <w:rPr>
                <w:sz w:val="20"/>
                <w:szCs w:val="20"/>
                <w:color w:val="auto"/>
              </w:rPr>
            </w:pPr>
            <w:r>
              <w:rPr>
                <w:rFonts w:ascii="Arial" w:cs="Arial" w:eastAsia="Arial" w:hAnsi="Arial"/>
                <w:sz w:val="13"/>
                <w:szCs w:val="13"/>
                <w:b w:val="1"/>
                <w:bCs w:val="1"/>
                <w:color w:val="auto"/>
                <w:w w:val="83"/>
              </w:rPr>
              <w:t>As</w:t>
            </w:r>
          </w:p>
        </w:tc>
        <w:tc>
          <w:tcPr>
            <w:tcW w:w="20" w:type="dxa"/>
            <w:vAlign w:val="bottom"/>
          </w:tcPr>
          <w:p>
            <w:pPr>
              <w:spacing w:after="0"/>
              <w:rPr>
                <w:sz w:val="11"/>
                <w:szCs w:val="11"/>
                <w:color w:val="auto"/>
              </w:rPr>
            </w:pPr>
          </w:p>
        </w:tc>
      </w:tr>
      <w:tr>
        <w:trPr>
          <w:trHeight w:val="161"/>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Reported</w:t>
            </w:r>
          </w:p>
        </w:tc>
        <w:tc>
          <w:tcPr>
            <w:tcW w:w="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Adjustments</w:t>
            </w:r>
          </w:p>
        </w:tc>
        <w:tc>
          <w:tcPr>
            <w:tcW w:w="14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Restated</w:t>
            </w:r>
          </w:p>
        </w:tc>
      </w:tr>
      <w:tr>
        <w:trPr>
          <w:trHeight w:val="142"/>
        </w:trPr>
        <w:tc>
          <w:tcPr>
            <w:tcW w:w="57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Operating activities:</w:t>
            </w: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36,183</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36,341</w:t>
            </w:r>
          </w:p>
        </w:tc>
        <w:tc>
          <w:tcPr>
            <w:tcW w:w="20" w:type="dxa"/>
            <w:vAlign w:val="bottom"/>
          </w:tcPr>
          <w:p>
            <w:pPr>
              <w:spacing w:after="0"/>
              <w:rPr>
                <w:sz w:val="12"/>
                <w:szCs w:val="12"/>
                <w:color w:val="auto"/>
              </w:rPr>
            </w:pPr>
          </w:p>
        </w:tc>
      </w:tr>
      <w:tr>
        <w:trPr>
          <w:trHeight w:val="148"/>
        </w:trPr>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(4,595)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(4,338)</w:t>
            </w:r>
          </w:p>
        </w:tc>
        <w:tc>
          <w:tcPr>
            <w:tcW w:w="20" w:type="dxa"/>
            <w:vAlign w:val="bottom"/>
          </w:tcPr>
          <w:p>
            <w:pPr>
              <w:spacing w:after="0"/>
              <w:rPr>
                <w:sz w:val="12"/>
                <w:szCs w:val="12"/>
                <w:color w:val="auto"/>
              </w:rPr>
            </w:pPr>
          </w:p>
        </w:tc>
      </w:tr>
      <w:tr>
        <w:trPr>
          <w:trHeight w:val="148"/>
        </w:trPr>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(2,571)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2,286</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(285)</w:t>
            </w:r>
          </w:p>
        </w:tc>
        <w:tc>
          <w:tcPr>
            <w:tcW w:w="20" w:type="dxa"/>
            <w:vAlign w:val="bottom"/>
          </w:tcPr>
          <w:p>
            <w:pPr>
              <w:spacing w:after="0"/>
              <w:rPr>
                <w:sz w:val="12"/>
                <w:szCs w:val="12"/>
                <w:color w:val="auto"/>
              </w:rPr>
            </w:pPr>
          </w:p>
        </w:tc>
      </w:tr>
      <w:tr>
        <w:trPr>
          <w:trHeight w:val="149"/>
        </w:trPr>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(2,684)</w:t>
            </w:r>
          </w:p>
        </w:tc>
        <w:tc>
          <w:tcPr>
            <w:tcW w:w="20" w:type="dxa"/>
            <w:vAlign w:val="bottom"/>
          </w:tcPr>
          <w:p>
            <w:pPr>
              <w:spacing w:after="0"/>
              <w:rPr>
                <w:sz w:val="12"/>
                <w:szCs w:val="12"/>
                <w:color w:val="auto"/>
              </w:rPr>
            </w:pPr>
          </w:p>
        </w:tc>
      </w:tr>
      <w:tr>
        <w:trPr>
          <w:trHeight w:val="148"/>
        </w:trPr>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(4,027)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(1,983)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(6,010)</w:t>
            </w:r>
          </w:p>
        </w:tc>
        <w:tc>
          <w:tcPr>
            <w:tcW w:w="20" w:type="dxa"/>
            <w:vAlign w:val="bottom"/>
          </w:tcPr>
          <w:p>
            <w:pPr>
              <w:spacing w:after="0"/>
              <w:rPr>
                <w:sz w:val="12"/>
                <w:szCs w:val="12"/>
                <w:color w:val="auto"/>
              </w:rPr>
            </w:pPr>
          </w:p>
        </w:tc>
      </w:tr>
      <w:tr>
        <w:trPr>
          <w:trHeight w:val="148"/>
        </w:trPr>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Accrued liabilities</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(154)</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w:t>
            </w:r>
          </w:p>
        </w:tc>
        <w:tc>
          <w:tcPr>
            <w:tcW w:w="20" w:type="dxa"/>
            <w:vAlign w:val="bottom"/>
          </w:tcPr>
          <w:p>
            <w:pPr>
              <w:spacing w:after="0"/>
              <w:rPr>
                <w:sz w:val="12"/>
                <w:szCs w:val="12"/>
                <w:color w:val="auto"/>
              </w:rPr>
            </w:pPr>
          </w:p>
        </w:tc>
      </w:tr>
      <w:tr>
        <w:trPr>
          <w:trHeight w:val="148"/>
        </w:trPr>
        <w:tc>
          <w:tcPr>
            <w:tcW w:w="5780" w:type="dxa"/>
            <w:vAlign w:val="bottom"/>
          </w:tcPr>
          <w:p>
            <w:pPr>
              <w:ind w:left="20"/>
              <w:spacing w:after="0" w:line="149" w:lineRule="exact"/>
              <w:rPr>
                <w:sz w:val="20"/>
                <w:szCs w:val="20"/>
                <w:color w:val="auto"/>
              </w:rPr>
            </w:pPr>
            <w:r>
              <w:rPr>
                <w:rFonts w:ascii="Arial" w:cs="Arial" w:eastAsia="Arial" w:hAnsi="Arial"/>
                <w:sz w:val="14"/>
                <w:szCs w:val="14"/>
                <w:color w:val="auto"/>
              </w:rPr>
              <w:t>Net cash used in operating activities</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50,226</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232</w:t>
            </w:r>
          </w:p>
        </w:tc>
        <w:tc>
          <w:tcPr>
            <w:tcW w:w="2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50,458</w:t>
            </w:r>
          </w:p>
        </w:tc>
        <w:tc>
          <w:tcPr>
            <w:tcW w:w="20" w:type="dxa"/>
            <w:vAlign w:val="bottom"/>
          </w:tcPr>
          <w:p>
            <w:pPr>
              <w:spacing w:after="0"/>
              <w:rPr>
                <w:sz w:val="12"/>
                <w:szCs w:val="12"/>
                <w:color w:val="auto"/>
              </w:rPr>
            </w:pPr>
          </w:p>
        </w:tc>
      </w:tr>
      <w:tr>
        <w:trPr>
          <w:trHeight w:val="148"/>
        </w:trPr>
        <w:tc>
          <w:tcPr>
            <w:tcW w:w="5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Investing activities: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80" w:type="dxa"/>
            <w:vAlign w:val="bottom"/>
          </w:tcPr>
          <w:p>
            <w:pPr>
              <w:ind w:left="80"/>
              <w:spacing w:after="0" w:line="149" w:lineRule="exact"/>
              <w:rPr>
                <w:sz w:val="20"/>
                <w:szCs w:val="20"/>
                <w:color w:val="auto"/>
              </w:rPr>
            </w:pPr>
            <w:r>
              <w:rPr>
                <w:rFonts w:ascii="Arial" w:cs="Arial" w:eastAsia="Arial" w:hAnsi="Arial"/>
                <w:sz w:val="14"/>
                <w:szCs w:val="14"/>
                <w:color w:val="auto"/>
              </w:rPr>
              <w:t>Purchases of property, plant and equipment</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(4,596)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(4,643)</w:t>
            </w:r>
          </w:p>
        </w:tc>
        <w:tc>
          <w:tcPr>
            <w:tcW w:w="20" w:type="dxa"/>
            <w:vAlign w:val="bottom"/>
          </w:tcPr>
          <w:p>
            <w:pPr>
              <w:spacing w:after="0"/>
              <w:rPr>
                <w:sz w:val="12"/>
                <w:szCs w:val="12"/>
                <w:color w:val="auto"/>
              </w:rPr>
            </w:pPr>
          </w:p>
        </w:tc>
      </w:tr>
      <w:tr>
        <w:trPr>
          <w:trHeight w:val="149"/>
        </w:trPr>
        <w:tc>
          <w:tcPr>
            <w:tcW w:w="5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(22,348)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(22,395)</w:t>
            </w:r>
          </w:p>
        </w:tc>
        <w:tc>
          <w:tcPr>
            <w:tcW w:w="20" w:type="dxa"/>
            <w:vAlign w:val="bottom"/>
          </w:tcPr>
          <w:p>
            <w:pPr>
              <w:spacing w:after="0"/>
              <w:rPr>
                <w:sz w:val="12"/>
                <w:szCs w:val="12"/>
                <w:color w:val="auto"/>
              </w:rPr>
            </w:pPr>
          </w:p>
        </w:tc>
      </w:tr>
      <w:tr>
        <w:trPr>
          <w:trHeight w:val="148"/>
        </w:trPr>
        <w:tc>
          <w:tcPr>
            <w:tcW w:w="5780" w:type="dxa"/>
            <w:vAlign w:val="bottom"/>
          </w:tcPr>
          <w:p>
            <w:pPr>
              <w:ind w:left="20"/>
              <w:spacing w:after="0" w:line="149" w:lineRule="exact"/>
              <w:rPr>
                <w:sz w:val="20"/>
                <w:szCs w:val="20"/>
                <w:color w:val="auto"/>
              </w:rPr>
            </w:pPr>
            <w:r>
              <w:rPr>
                <w:rFonts w:ascii="Arial" w:cs="Arial" w:eastAsia="Arial" w:hAnsi="Arial"/>
                <w:sz w:val="14"/>
                <w:szCs w:val="14"/>
                <w:color w:val="auto"/>
              </w:rPr>
              <w:t>Financing activities: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Payments on lines of credit</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(103,165)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(103,350)</w:t>
            </w:r>
          </w:p>
        </w:tc>
        <w:tc>
          <w:tcPr>
            <w:tcW w:w="20" w:type="dxa"/>
            <w:vAlign w:val="bottom"/>
          </w:tcPr>
          <w:p>
            <w:pPr>
              <w:spacing w:after="0"/>
              <w:rPr>
                <w:sz w:val="12"/>
                <w:szCs w:val="12"/>
                <w:color w:val="auto"/>
              </w:rPr>
            </w:pPr>
          </w:p>
        </w:tc>
      </w:tr>
      <w:tr>
        <w:trPr>
          <w:trHeight w:val="182"/>
        </w:trPr>
        <w:tc>
          <w:tcPr>
            <w:tcW w:w="578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20" w:type="dxa"/>
            <w:vAlign w:val="bottom"/>
          </w:tcPr>
          <w:p>
            <w:pPr>
              <w:jc w:val="right"/>
              <w:ind w:right="7"/>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(27,793)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(185)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(27,978)</w:t>
            </w: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Material estimates that are susceptible to significant change in the near term primarily relate to the determination of accounts receivable, loans to mobile home parks, consumer loans, other notes receivable, inventory obsolescence, income taxes, fair value of financial instruments and contingent liabilities. Actual results could differ from these estimates.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i w:val="1"/>
          <w:iCs w:val="1"/>
          <w:color w:val="auto"/>
        </w:rPr>
        <w:t xml:space="preserve">Product sales </w:t>
      </w:r>
      <w:r>
        <w:rPr>
          <w:rFonts w:ascii="Arial" w:cs="Arial" w:eastAsia="Arial" w:hAnsi="Arial"/>
          <w:sz w:val="16"/>
          <w:szCs w:val="16"/>
          <w:color w:val="auto"/>
        </w:rPr>
        <w:t>primarily consist of sales of mobile homes to consumers and mobile home parks through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sales channels, which include Direct Sales, Commercial Sales, Consignment Sales, and Retail Store Sales. Direct Sales include homes sold directly to independent retailers or customers that are not financed by the Company and are not sold under a consignment arrangement. These types of homes are generally paid for prior to shipment. Commercial Sales include homes sold to mobile home parks under commercial loan programs or paid for upfront. The Company provides floor plan financing for independent retailers, which can take the form of a consignment arrangement or an inventory financing arrangement. Consignment Sales under the consignment arrangement are considered sales of consigned homes from independent dealers to individual customers. Consignment Sales under the inventory financing arrangement are considered sales of homes to the independent dealer. Retail Store Sales are homes sold through Company-owned retail locations. Consignment Sales and Retail Sales of homes may be financed by the Company, by a third party, or paid in cash.</w:t>
      </w:r>
    </w:p>
    <w:p>
      <w:pPr>
        <w:spacing w:after="0" w:line="168"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Revenue from product sales is recognized at a point in time when the performance obligation under the terms of a contract with our customer is satisfied, which typically occurs upon delivery and transfer of title of the home, as this depicts when control of the promised good is transferred to our customers. For inventory financed sales, the independent dealer enters into a financing arrangement with the Company and is required to make monthly interest payments and an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annual curtailment payment for the first two years. After three years, they are required to payoff any remaining principle balance. Interest income is separately recorded in the statement of operations. For other financed sales by the Company, the individual customer enters into a sales and financing contract and is required to make a down payment. These financed sales contain a significant financing component and any interest income is separately recorded in the statement of operations.</w:t>
      </w:r>
    </w:p>
    <w:p>
      <w:pPr>
        <w:spacing w:after="0" w:line="188"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30"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 Warranty costs and contract costs are included in selling, general and administrative expenses in the statements of income.</w:t>
      </w:r>
    </w:p>
    <w:p>
      <w:pPr>
        <w:spacing w:after="0" w:line="127" w:lineRule="exact"/>
        <w:rPr>
          <w:sz w:val="20"/>
          <w:szCs w:val="20"/>
          <w:color w:val="auto"/>
        </w:rPr>
      </w:pPr>
    </w:p>
    <w:p>
      <w:pPr>
        <w:ind w:left="60" w:right="379" w:firstLine="648"/>
        <w:spacing w:after="0" w:line="259" w:lineRule="auto"/>
        <w:rPr>
          <w:sz w:val="20"/>
          <w:szCs w:val="20"/>
          <w:color w:val="auto"/>
        </w:rPr>
      </w:pPr>
      <w:r>
        <w:rPr>
          <w:rFonts w:ascii="Arial" w:cs="Arial" w:eastAsia="Arial" w:hAnsi="Arial"/>
          <w:sz w:val="18"/>
          <w:szCs w:val="18"/>
          <w:color w:val="auto"/>
        </w:rPr>
        <w:t>For the three months ended September 30, 2022 and 2021, sales to an independent third-party and its affiliates accounted for $5,226 or 10.7% and $2,335 or 4.8% of our product sales, respectively. For the nine months ended September 30, 2022 and 2021, sales to an independent third-party and its affiliates accounted for $11,420 or 7.3% and $7,399 or 6.1% of our product sales, respectively.</w:t>
      </w:r>
    </w:p>
    <w:p>
      <w:pPr>
        <w:spacing w:after="0" w:line="133"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 xml:space="preserve">For the three months ended September 30, 2022 and 2021, total cost of product sales included $2,711 and $3,978 of costs relating to </w:t>
      </w:r>
      <w:r>
        <w:rPr>
          <w:rFonts w:ascii="Arial" w:cs="Arial" w:eastAsia="Arial" w:hAnsi="Arial"/>
          <w:sz w:val="18"/>
          <w:szCs w:val="18"/>
          <w:color w:val="222222"/>
        </w:rPr>
        <w:t>subcontracted production for commercial sales, reimbursed dealer expenses for consignment sales, and</w:t>
      </w:r>
      <w:r>
        <w:rPr>
          <w:rFonts w:ascii="Arial" w:cs="Arial" w:eastAsia="Arial" w:hAnsi="Arial"/>
          <w:sz w:val="18"/>
          <w:szCs w:val="18"/>
          <w:color w:val="auto"/>
        </w:rPr>
        <w:t xml:space="preserve"> </w:t>
      </w:r>
      <w:r>
        <w:rPr>
          <w:rFonts w:ascii="Arial" w:cs="Arial" w:eastAsia="Arial" w:hAnsi="Arial"/>
          <w:sz w:val="18"/>
          <w:szCs w:val="18"/>
          <w:color w:val="222222"/>
        </w:rPr>
        <w:t>certain other similar costs incurred for retail store and commercial sales</w:t>
      </w:r>
      <w:r>
        <w:rPr>
          <w:rFonts w:ascii="Arial" w:cs="Arial" w:eastAsia="Arial" w:hAnsi="Arial"/>
          <w:sz w:val="18"/>
          <w:szCs w:val="18"/>
          <w:color w:val="000000"/>
        </w:rPr>
        <w:t>. For the nine months ended September 30, 2022</w:t>
      </w:r>
      <w:r>
        <w:rPr>
          <w:rFonts w:ascii="Arial" w:cs="Arial" w:eastAsia="Arial" w:hAnsi="Arial"/>
          <w:sz w:val="18"/>
          <w:szCs w:val="18"/>
          <w:color w:val="222222"/>
        </w:rPr>
        <w:t xml:space="preserve"> </w:t>
      </w:r>
      <w:r>
        <w:rPr>
          <w:rFonts w:ascii="Arial" w:cs="Arial" w:eastAsia="Arial" w:hAnsi="Arial"/>
          <w:sz w:val="18"/>
          <w:szCs w:val="18"/>
          <w:color w:val="000000"/>
        </w:rPr>
        <w:t xml:space="preserve">and 2021, total cost of product sales included $8,964 and $8,976 of costs relating to </w:t>
      </w:r>
      <w:r>
        <w:rPr>
          <w:rFonts w:ascii="Arial" w:cs="Arial" w:eastAsia="Arial" w:hAnsi="Arial"/>
          <w:sz w:val="18"/>
          <w:szCs w:val="18"/>
          <w:color w:val="222222"/>
        </w:rPr>
        <w:t>subcontracted production for</w:t>
      </w:r>
      <w:r>
        <w:rPr>
          <w:rFonts w:ascii="Arial" w:cs="Arial" w:eastAsia="Arial" w:hAnsi="Arial"/>
          <w:sz w:val="18"/>
          <w:szCs w:val="18"/>
          <w:color w:val="000000"/>
        </w:rPr>
        <w:t xml:space="preserve"> </w:t>
      </w:r>
      <w:r>
        <w:rPr>
          <w:rFonts w:ascii="Arial" w:cs="Arial" w:eastAsia="Arial" w:hAnsi="Arial"/>
          <w:sz w:val="18"/>
          <w:szCs w:val="18"/>
          <w:color w:val="222222"/>
        </w:rPr>
        <w:t>commercial sales, reimbursed dealer expenses for consignment sales, and certain other similar costs incurred for retail store and commercial sales</w:t>
      </w:r>
      <w:r>
        <w:rPr>
          <w:rFonts w:ascii="Arial" w:cs="Arial" w:eastAsia="Arial" w:hAnsi="Arial"/>
          <w:sz w:val="18"/>
          <w:szCs w:val="18"/>
          <w:color w:val="000000"/>
        </w:rPr>
        <w:t>.</w:t>
      </w:r>
    </w:p>
    <w:p>
      <w:pPr>
        <w:spacing w:after="0" w:line="138"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consists of consignment fees, commercial lease rents, service fees and other miscellaneous income.</w:t>
      </w:r>
      <w:r>
        <w:rPr>
          <w:rFonts w:ascii="Arial" w:cs="Arial" w:eastAsia="Arial" w:hAnsi="Arial"/>
          <w:sz w:val="17"/>
          <w:szCs w:val="17"/>
          <w:i w:val="1"/>
          <w:iCs w:val="1"/>
          <w:color w:val="auto"/>
        </w:rPr>
        <w:t xml:space="preserve"> </w:t>
      </w:r>
      <w:r>
        <w:rPr>
          <w:rFonts w:ascii="Arial" w:cs="Arial" w:eastAsia="Arial" w:hAnsi="Arial"/>
          <w:sz w:val="17"/>
          <w:szCs w:val="17"/>
          <w:color w:val="auto"/>
        </w:rPr>
        <w:t>Consignment fees are 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is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commercial leases is recognized as earned monthly over a contractual period of 96 or 120 months. Revenue for service fees and miscellaneous income is recognized at a point in time when the performance obligation is satisfied.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60" w:right="156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jc w:val="both"/>
        <w:ind w:left="60" w:right="139" w:firstLine="648"/>
        <w:spacing w:after="0" w:line="277" w:lineRule="auto"/>
        <w:rPr>
          <w:sz w:val="20"/>
          <w:szCs w:val="20"/>
          <w:color w:val="auto"/>
        </w:rPr>
      </w:pPr>
      <w:r>
        <w:rPr>
          <w:rFonts w:ascii="Arial" w:cs="Arial" w:eastAsia="Arial" w:hAnsi="Arial"/>
          <w:sz w:val="18"/>
          <w:szCs w:val="18"/>
          <w:i w:val="1"/>
          <w:iCs w:val="1"/>
          <w:color w:val="auto"/>
        </w:rPr>
        <w:t>Disaggregation of Revenue</w:t>
      </w:r>
      <w:r>
        <w:rPr>
          <w:rFonts w:ascii="Arial" w:cs="Arial" w:eastAsia="Arial" w:hAnsi="Arial"/>
          <w:sz w:val="18"/>
          <w:szCs w:val="18"/>
          <w:color w:val="auto"/>
        </w:rPr>
        <w:t>. The following table summarizes customer contract revenues disaggregated by source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revenue for the three and nine months ended September 30, 2022 and 2021:</w:t>
      </w:r>
    </w:p>
    <w:p>
      <w:pPr>
        <w:spacing w:after="0" w:line="202"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w w:val="94"/>
              </w:rPr>
              <w:t>Three months ended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20" w:type="dxa"/>
            <w:vAlign w:val="bottom"/>
          </w:tcPr>
          <w:p>
            <w:pPr>
              <w:spacing w:after="0"/>
              <w:rPr>
                <w:sz w:val="17"/>
                <w:szCs w:val="17"/>
                <w:color w:val="auto"/>
              </w:rPr>
            </w:pPr>
          </w:p>
        </w:tc>
        <w:tc>
          <w:tcPr>
            <w:tcW w:w="32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00"/>
              <w:spacing w:after="0"/>
              <w:rPr>
                <w:sz w:val="20"/>
                <w:szCs w:val="20"/>
                <w:color w:val="auto"/>
              </w:rPr>
            </w:pPr>
            <w:r>
              <w:rPr>
                <w:rFonts w:ascii="Arial" w:cs="Arial" w:eastAsia="Arial" w:hAnsi="Arial"/>
                <w:sz w:val="18"/>
                <w:szCs w:val="18"/>
                <w:color w:val="auto"/>
              </w:rPr>
              <w:t>Direct sales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12,325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8,434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34,933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17,093</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37,840</w:t>
            </w:r>
          </w:p>
        </w:tc>
      </w:tr>
      <w:tr>
        <w:trPr>
          <w:trHeight w:val="216"/>
        </w:trPr>
        <w:tc>
          <w:tcPr>
            <w:tcW w:w="20" w:type="dxa"/>
            <w:vAlign w:val="bottom"/>
          </w:tcPr>
          <w:p>
            <w:pPr>
              <w:spacing w:after="0"/>
              <w:rPr>
                <w:sz w:val="18"/>
                <w:szCs w:val="18"/>
                <w:color w:val="auto"/>
              </w:rPr>
            </w:pPr>
          </w:p>
        </w:tc>
        <w:tc>
          <w:tcPr>
            <w:tcW w:w="3200" w:type="dxa"/>
            <w:vAlign w:val="bottom"/>
          </w:tcPr>
          <w:p>
            <w:pPr>
              <w:ind w:left="100"/>
              <w:spacing w:after="0"/>
              <w:rPr>
                <w:sz w:val="20"/>
                <w:szCs w:val="20"/>
                <w:color w:val="auto"/>
              </w:rPr>
            </w:pPr>
            <w:r>
              <w:rPr>
                <w:rFonts w:ascii="Arial" w:cs="Arial" w:eastAsia="Arial" w:hAnsi="Arial"/>
                <w:sz w:val="18"/>
                <w:szCs w:val="18"/>
                <w:color w:val="auto"/>
              </w:rPr>
              <w:t>Consignment sales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14,210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18,641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54,497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43,381</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Retail store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15,435</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(1)</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w:t>
            </w: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product sales</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48,678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48,300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155,563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121,689</w:t>
            </w:r>
          </w:p>
        </w:tc>
      </w:tr>
      <w:tr>
        <w:trPr>
          <w:trHeight w:val="209"/>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Consumer and MHP loans interest: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 consumer installment notes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12,208</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 MHP notes</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8,423</w:t>
            </w: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and MHP loans interest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20,631</w:t>
            </w:r>
          </w:p>
        </w:tc>
      </w:tr>
      <w:tr>
        <w:trPr>
          <w:trHeight w:val="209"/>
        </w:trPr>
        <w:tc>
          <w:tcPr>
            <w:tcW w:w="20" w:type="dxa"/>
            <w:vAlign w:val="bottom"/>
          </w:tcPr>
          <w:p>
            <w:pPr>
              <w:spacing w:after="0"/>
              <w:rPr>
                <w:sz w:val="18"/>
                <w:szCs w:val="18"/>
                <w:color w:val="auto"/>
              </w:rPr>
            </w:pPr>
          </w:p>
        </w:tc>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w:t>
            </w:r>
          </w:p>
        </w:tc>
      </w:tr>
      <w:tr>
        <w:trPr>
          <w:trHeight w:val="210"/>
        </w:trPr>
        <w:tc>
          <w:tcPr>
            <w:tcW w:w="20" w:type="dxa"/>
            <w:vAlign w:val="bottom"/>
          </w:tcPr>
          <w:p>
            <w:pPr>
              <w:spacing w:after="0"/>
              <w:rPr>
                <w:sz w:val="18"/>
                <w:szCs w:val="18"/>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57,325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56,470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181,464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144,999</w:t>
            </w: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0" w:right="259" w:firstLine="675"/>
        <w:spacing w:after="0" w:line="453" w:lineRule="auto"/>
        <w:rPr>
          <w:sz w:val="20"/>
          <w:szCs w:val="20"/>
          <w:color w:val="auto"/>
        </w:rPr>
      </w:pPr>
      <w:r>
        <w:rPr>
          <w:rFonts w:ascii="Arial" w:cs="Arial" w:eastAsia="Arial" w:hAnsi="Arial"/>
          <w:sz w:val="18"/>
          <w:szCs w:val="18"/>
          <w:color w:val="auto"/>
        </w:rPr>
        <w:t xml:space="preserve">(1) Other product sales revenue from ancillary products and services including parts, freight and other services </w:t>
      </w:r>
      <w:r>
        <w:rPr>
          <w:rFonts w:ascii="Arial" w:cs="Arial" w:eastAsia="Arial" w:hAnsi="Arial"/>
          <w:sz w:val="18"/>
          <w:szCs w:val="18"/>
          <w:b w:val="1"/>
          <w:bCs w:val="1"/>
          <w:color w:val="auto"/>
        </w:rPr>
        <w:t>Share-Based Compensation</w:t>
      </w:r>
    </w:p>
    <w:p>
      <w:pPr>
        <w:spacing w:after="0" w:line="2" w:lineRule="exact"/>
        <w:rPr>
          <w:sz w:val="20"/>
          <w:szCs w:val="20"/>
          <w:color w:val="auto"/>
        </w:rPr>
      </w:pPr>
    </w:p>
    <w:p>
      <w:pPr>
        <w:jc w:val="both"/>
        <w:ind w:left="60" w:right="139" w:firstLine="648"/>
        <w:spacing w:after="0" w:line="287" w:lineRule="auto"/>
        <w:rPr>
          <w:sz w:val="20"/>
          <w:szCs w:val="20"/>
          <w:color w:val="auto"/>
        </w:rPr>
      </w:pPr>
      <w:r>
        <w:rPr>
          <w:rFonts w:ascii="Arial" w:cs="Arial" w:eastAsia="Arial" w:hAnsi="Arial"/>
          <w:sz w:val="16"/>
          <w:szCs w:val="16"/>
          <w:color w:val="auto"/>
        </w:rPr>
        <w:t xml:space="preserve">The Company accounts for share-based compensation in accordance with the provisions of Accounting Standards Codification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Share-based compensation expense is recognized based on the award’s estimated grant date fair value in order to recognize compensation cost for those shares expected to vest.</w:t>
      </w:r>
    </w:p>
    <w:p>
      <w:pPr>
        <w:spacing w:after="0" w:line="2" w:lineRule="exact"/>
        <w:rPr>
          <w:sz w:val="20"/>
          <w:szCs w:val="20"/>
          <w:color w:val="auto"/>
        </w:rPr>
      </w:pPr>
    </w:p>
    <w:p>
      <w:pPr>
        <w:jc w:val="both"/>
        <w:ind w:left="60" w:right="139"/>
        <w:spacing w:after="0" w:line="260" w:lineRule="auto"/>
        <w:rPr>
          <w:sz w:val="20"/>
          <w:szCs w:val="20"/>
          <w:color w:val="auto"/>
        </w:rPr>
      </w:pPr>
      <w:r>
        <w:rPr>
          <w:rFonts w:ascii="Arial" w:cs="Arial" w:eastAsia="Arial" w:hAnsi="Arial"/>
          <w:sz w:val="18"/>
          <w:szCs w:val="18"/>
          <w:color w:val="auto"/>
        </w:rPr>
        <w:t>The Company has elected to record forfeitures as they occur. Compensation cost is recognized on a straight-line basis over the vesting period of the awards and adjusted as forfeitures occur.</w:t>
      </w:r>
    </w:p>
    <w:p>
      <w:pPr>
        <w:spacing w:after="0" w:line="158" w:lineRule="exact"/>
        <w:rPr>
          <w:sz w:val="20"/>
          <w:szCs w:val="20"/>
          <w:color w:val="auto"/>
        </w:rPr>
      </w:pPr>
    </w:p>
    <w:p>
      <w:pPr>
        <w:ind w:left="60" w:right="399" w:firstLine="648"/>
        <w:spacing w:after="0" w:line="279" w:lineRule="auto"/>
        <w:rPr>
          <w:sz w:val="20"/>
          <w:szCs w:val="20"/>
          <w:color w:val="auto"/>
        </w:rPr>
      </w:pPr>
      <w:r>
        <w:rPr>
          <w:rFonts w:ascii="Arial" w:cs="Arial" w:eastAsia="Arial" w:hAnsi="Arial"/>
          <w:sz w:val="17"/>
          <w:szCs w:val="17"/>
          <w:color w:val="auto"/>
        </w:rPr>
        <w:t>The fair value of each option grant with only service-based conditions is estimated using the Black-Scholes pricing model. The fair value of each restricted stock unit (the ”RSU”) with only service-based conditions is calculated based on the closing price of the Company’s common stock on the grant date. The fair value of each RSU with market based conditions is estimated using the Monte-Carlo Simulation valuation model.</w:t>
      </w:r>
    </w:p>
    <w:p>
      <w:pPr>
        <w:spacing w:after="0" w:line="131"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As a recently formed public entity with a small public float and limited trading of its common shares on the NASDAQ Global Market, it was not practicable for the Company to estimate the volatility of its common shares; therefore, management estimated volatility based on the historical volatilities of a small group of companies considered as close to comparable to the Company as available, all equally weighted, over the expected life of the option. Management concluded that this group is more characteristic of the Company’s business than a broad industry index.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The fair value of RSU awards with market based conditions on the date of grant is estimated using the Monte-Carlo Simulation valuation model, and the Company uses the following methods to determine its underlying assumptions: expected volatilities are based on the Company’s historic stock price volatility; the expected term of the awards is based on performance measurement period; the risk-free interest rate is based on the U.S. Treasury bond yield issued with similar life terms to the expected life of the grant.</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02"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Included in accounts receivable “net” are receivables from direct sales of mobile homes, sales of parts and supplies to customers, consignment fees and interest. Accounts receivable “dealer financed” are receivables for interest, fees and curtailments owed from dealers under their inventory finance agreements.</w:t>
      </w:r>
    </w:p>
    <w:p>
      <w:pPr>
        <w:spacing w:after="0" w:line="143"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Accounts receivables “net” are generally due within 30 days and are stated at amounts due from customers net of an allowance for doubtful accounts. Accounts receivables “dealer financed” are due upon receipt and are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On September 30, 2022 and December 31, 2021, the allowance for doubtful accounts totaled $666 and $343, respectively.</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Leased Property</w:t>
      </w:r>
    </w:p>
    <w:p>
      <w:pPr>
        <w:spacing w:after="0" w:line="202"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Company offers mobile home park operators the opportunity to lease mobile homes for rent in lieu of purchasing the homes for cash or under a longer-term financing agreement. In this arrangement title for the mobile homes remains with the Company.</w:t>
      </w:r>
    </w:p>
    <w:p>
      <w:pPr>
        <w:spacing w:after="0" w:line="76"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The standard lease agreement is typically for 96 months or 120 months. Under the lease arrangement, the lessee (mobile home park operator) uses the mobile homes as personal property to be rented as a residence at the lessee's mobile home park. The lessee makes monthly, periodic lease payments to the Company over the term of the lease. The lessee is responsible for maintaining the homes during the term of the lease. The lessee is also responsible for repairing all damages caused by force majeure events even in cases of total or partial loss of the property. At the end of the lease term or in the event of default, the lessee is required to deliver to the Company the homes with all improvements in good repair and condition in substantially the same condition as existed at the commencement of the lease. The lessee may terminate the lease with 30 days written notice to the Company and pay a lease termination fee equal to 10% of the remaining lease payments or six month’s rent, whichever is greater. The lessee has an option to purchase the homes at the end of the lease term for fair market value based on an agreed upon determination of fair market value by both parties using comparable sales, recent appraisal, or NADA official guidance. The lessee must provide the Company with 30 days written notice prior to expiration of the lease of intent to purchase the property for fair market value. The lease also includes a renewal option whereby the lessee has the option to extend the lease for an additional 48 months (the extended term) at the same terms and conditions as the original lease. The lessee must notify the Company of the intent to exercise the renewal extension option not less than six months prior to expiration of the lease term. The leased mobile homes are included in other assets on the Company’s balance sheet, capitalized at manufactured cost and depreciated over a 15 year useful life. Homes returned to the Company upon expiration of the lease or in the event of default will be sold by the Company through its standard sales and distribution channels. Depreciation expense for the leased property was $184 and $143 for the three months ended September 30, 2022 and 2021, respectively, and $538 and $373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Future minimum lease income under all operating leases for each of the next five years at September 30, 2022, are as follows:</w:t>
      </w:r>
    </w:p>
    <w:p>
      <w:pPr>
        <w:spacing w:after="0" w:line="15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2022 (3 months)</w:t>
            </w:r>
          </w:p>
        </w:tc>
        <w:tc>
          <w:tcPr>
            <w:tcW w:w="27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2023</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2,152</w:t>
            </w: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2025</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2,152</w:t>
            </w: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w:t>
            </w:r>
          </w:p>
        </w:tc>
      </w:tr>
      <w:tr>
        <w:trPr>
          <w:trHeight w:val="209"/>
        </w:trPr>
        <w:tc>
          <w:tcPr>
            <w:tcW w:w="2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14,036</w:t>
            </w: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Company has elected to use longer phase-in periods for the adoption of new or revised financial accounting standards under the JOBS Act as an emerging growth company.</w:t>
      </w:r>
    </w:p>
    <w:p>
      <w:pPr>
        <w:spacing w:after="0" w:line="130" w:lineRule="exact"/>
        <w:rPr>
          <w:sz w:val="20"/>
          <w:szCs w:val="20"/>
          <w:color w:val="auto"/>
        </w:rPr>
      </w:pPr>
    </w:p>
    <w:p>
      <w:pPr>
        <w:ind w:left="60" w:right="239" w:firstLine="648"/>
        <w:spacing w:after="0" w:line="287"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to increase transparency and comparability among organizations by recognizing lease assets and lease liabilities on the balance sheet and disclosing key information about leasing arrangements. A lessee should recognize in the balance sheet a liability to make lease payments (the lease liability) and an asset representing its right to use the underlying asset for the lease term. As an emerging growth company, ASU 2016-02 is effective for fiscal years beginning after December 15, 2021, and interim periods within those years. The Company adopted this standard in the first quarter of fiscal 2022 and elected certain practical expedients permitted under the transition guidance, including the package of practical expedients; however, the Company did not elect the hindsight practical expedient. Additionally, the Company elected the optional transition method that allowed for a cumulative-effect adjustment in the period of adoption and did not restate prior periods. The adoption of ASU 2016-02 resulted in an increase in total assets and total liabilities of $3,258 at transition. However, this standard did not have a material impact on the consolidated statement of income or the consolidated statement of cash flows. See Note 5 for further discussion on leases.</w:t>
      </w:r>
    </w:p>
    <w:p>
      <w:pPr>
        <w:spacing w:after="0" w:line="127"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which amends guidance on reporting credit losses for assets held at amortized cost</w:t>
      </w:r>
      <w:r>
        <w:rPr>
          <w:rFonts w:ascii="Arial" w:cs="Arial" w:eastAsia="Arial" w:hAnsi="Arial"/>
          <w:sz w:val="16"/>
          <w:szCs w:val="16"/>
          <w:i w:val="1"/>
          <w:iCs w:val="1"/>
          <w:color w:val="auto"/>
        </w:rPr>
        <w:t xml:space="preserve"> </w:t>
      </w:r>
      <w:r>
        <w:rPr>
          <w:rFonts w:ascii="Arial" w:cs="Arial" w:eastAsia="Arial" w:hAnsi="Arial"/>
          <w:sz w:val="16"/>
          <w:szCs w:val="16"/>
          <w:color w:val="auto"/>
        </w:rPr>
        <w:t>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plans to use the longer phase-in period for adoption, and accordingly this ASU is effective for the Company’s fiscal year beginning January 1, 2023. The Company is continuing to evaluate the impact of the adoption of this ASU and is uncertain of the impact on the financial statements and disclosures at this point in time.</w:t>
      </w:r>
    </w:p>
    <w:p>
      <w:pPr>
        <w:spacing w:after="0" w:line="144"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00" w:right="162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CONSUMER LOANS</w:t>
      </w:r>
    </w:p>
    <w:p>
      <w:pPr>
        <w:spacing w:after="0" w:line="18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Consumer loans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13.4% and 13.5% as of September 30, 2022 and December 31, 2021, respectively. Consumer loans receivable have maturities that range from 3 to 30 years.</w:t>
      </w:r>
    </w:p>
    <w:p>
      <w:pPr>
        <w:spacing w:after="0" w:line="165"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Loan applications go through an underwriting process that considers credit history to evaluate credit risk of the consumer. Interest rates on approved loans are determined based on consumer credit score, payment ability and down payment amount.</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uses payment history to monitor the credit quality of the consumer loans on an ongoing basis.</w:t>
      </w:r>
    </w:p>
    <w:p>
      <w:pPr>
        <w:spacing w:after="0" w:line="196" w:lineRule="exact"/>
        <w:rPr>
          <w:sz w:val="20"/>
          <w:szCs w:val="20"/>
          <w:color w:val="auto"/>
        </w:rPr>
      </w:pPr>
    </w:p>
    <w:p>
      <w:pPr>
        <w:jc w:val="both"/>
        <w:ind w:left="60" w:right="219" w:firstLine="648"/>
        <w:spacing w:after="0" w:line="311" w:lineRule="auto"/>
        <w:rPr>
          <w:sz w:val="20"/>
          <w:szCs w:val="20"/>
          <w:color w:val="auto"/>
        </w:rPr>
      </w:pPr>
      <w:r>
        <w:rPr>
          <w:rFonts w:ascii="Arial" w:cs="Arial" w:eastAsia="Arial" w:hAnsi="Arial"/>
          <w:sz w:val="16"/>
          <w:szCs w:val="16"/>
          <w:color w:val="auto"/>
        </w:rPr>
        <w:t>The Company may also receive escrow payments for property taxes and insurance included in its consumer loan collections. The liabilities associated with these escrow collections totaled $10,572 and $9,350 as of September 30, 2022 and December 31, 2021, respectively, and are included in escrow liability in the condensed balance sheets.</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Allowance for Loan Losses—Consumer Loans Receivable</w:t>
      </w:r>
    </w:p>
    <w:p>
      <w:pPr>
        <w:spacing w:after="0" w:line="18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The allowance for loan losses reflects management’s estimate of losses inherent in the consumer loans that may be uncollectible based upon review and evaluation of the consumer loan portfolio as of the date of the condensed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147"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allowance for loan losses is comprised of two components: the general reserve and specific reserves. The Company’s calculation of the general reserve considers the historical loss rate for the last three years, adjusted for the estimated loss discovery period and any qualitative factors both internal and external to the Company. Specific reserves are determined based on probable losses on specific classified impaired loans.</w:t>
      </w:r>
    </w:p>
    <w:p>
      <w:pPr>
        <w:spacing w:after="0" w:line="144"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Company’s policy is to place a loan on nonaccrual status when there is a clear indication that the borrower’s cash flow may not be sufficient to meet payments as they become due, which is when either principal or interest is past due and remains unpaid for more than 90 days or other indications of distress.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51"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Impaired loans are those loans where it is probable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are:</w:t>
      </w:r>
    </w:p>
    <w:p>
      <w:pPr>
        <w:spacing w:after="0" w:line="4" w:lineRule="exact"/>
        <w:rPr>
          <w:sz w:val="20"/>
          <w:szCs w:val="20"/>
          <w:color w:val="auto"/>
        </w:rPr>
      </w:pPr>
    </w:p>
    <w:p>
      <w:pPr>
        <w:ind w:left="60" w:right="79" w:hanging="10"/>
        <w:spacing w:after="0" w:line="253"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length of time the unit was unsold after construction; (2) the amount of time the house was occupied; (3) the cooperation level of the borrowers, i.e., loans requiring legal action or extensive field collection efforts; (4) units located on private property as opposed to a manufactured home park; (5) the length of time the borrower has lived in the house without making payments; (6) location, size, and market conditions; and (7) the experience and expertise of the particular dealer assisting in collection efforts.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40" w:right="5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Collateral for repossessed loans is acquired through foreclosure or similar proceedings and is recorded at the estimated fair value of the home, less the costs to sell. At repossession, the fair value of the collateral is computed based on the historical recovery rates of previously charged 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totaled $960 and $517 as of September 30, 2022 and December 31, 2021, respectively, and are included in other assets in the condensed balance sheets.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Consumer loans receivable, net of allowance for loan losses and deferred financing fees, consists of the following:</w:t>
      </w:r>
    </w:p>
    <w:p>
      <w:pPr>
        <w:spacing w:after="0" w:line="21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140" w:type="dxa"/>
            <w:vAlign w:val="bottom"/>
            <w:gridSpan w:val="4"/>
          </w:tcPr>
          <w:p>
            <w:pPr>
              <w:ind w:left="1060"/>
              <w:spacing w:after="0" w:line="149"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Consumer loans receivable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129,119</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Loan discount and deferred financing fees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(2,612)</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0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09"/>
        </w:trPr>
        <w:tc>
          <w:tcPr>
            <w:tcW w:w="4100" w:type="dxa"/>
            <w:vAlign w:val="bottom"/>
            <w:gridSpan w:val="2"/>
          </w:tcPr>
          <w:p>
            <w:pPr>
              <w:spacing w:after="0"/>
              <w:rPr>
                <w:sz w:val="20"/>
                <w:szCs w:val="20"/>
                <w:color w:val="auto"/>
              </w:rPr>
            </w:pPr>
            <w:r>
              <w:rPr>
                <w:rFonts w:ascii="Arial" w:cs="Arial" w:eastAsia="Arial" w:hAnsi="Arial"/>
                <w:sz w:val="18"/>
                <w:szCs w:val="18"/>
                <w:color w:val="auto"/>
              </w:rPr>
              <w:t>Consumer loans receivable, net</w:t>
            </w:r>
          </w:p>
        </w:tc>
        <w:tc>
          <w:tcPr>
            <w:tcW w:w="10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134,450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125,623</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a detail of the activity in the allowance for loan losses: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6"/>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9"/>
          </w:tcPr>
          <w:p>
            <w:pPr>
              <w:jc w:val="center"/>
              <w:ind w:right="106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5"/>
          </w:tcPr>
          <w:p>
            <w:pPr>
              <w:jc w:val="right"/>
              <w:ind w:right="130"/>
              <w:spacing w:after="0" w:line="149"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8"/>
          </w:tcPr>
          <w:p>
            <w:pPr>
              <w:jc w:val="center"/>
              <w:ind w:right="12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CCEEFF"/>
            </w:tcBorders>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beginning of period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6"/>
              </w:rPr>
              <w:t>814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586</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Charge offs (recoveries)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2"/>
          </w:tcPr>
          <w:p>
            <w:pPr>
              <w:ind w:left="900"/>
              <w:spacing w:after="0"/>
              <w:rPr>
                <w:sz w:val="20"/>
                <w:szCs w:val="20"/>
                <w:color w:val="auto"/>
              </w:rPr>
            </w:pPr>
            <w:r>
              <w:rPr>
                <w:rFonts w:ascii="Arial" w:cs="Arial" w:eastAsia="Arial" w:hAnsi="Arial"/>
                <w:sz w:val="18"/>
                <w:szCs w:val="18"/>
                <w:color w:val="auto"/>
              </w:rPr>
              <w:t>Allowance for loan losses</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86"/>
              </w:rPr>
              <w:t>802</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ind w:left="660"/>
              <w:spacing w:after="0"/>
              <w:rPr>
                <w:sz w:val="20"/>
                <w:szCs w:val="20"/>
                <w:color w:val="auto"/>
              </w:rPr>
            </w:pPr>
            <w:r>
              <w:rPr>
                <w:rFonts w:ascii="Arial" w:cs="Arial" w:eastAsia="Arial" w:hAnsi="Arial"/>
                <w:sz w:val="18"/>
                <w:szCs w:val="18"/>
                <w:color w:val="auto"/>
              </w:rPr>
              <w:t>The reserve for loan losses consists of the following:</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7"/>
          </w:tcPr>
          <w:p>
            <w:pPr>
              <w:ind w:left="160"/>
              <w:spacing w:after="0" w:line="149" w:lineRule="exact"/>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2"/>
                <w:szCs w:val="12"/>
                <w:color w:val="auto"/>
              </w:rPr>
            </w:pPr>
          </w:p>
        </w:tc>
        <w:tc>
          <w:tcPr>
            <w:tcW w:w="1780" w:type="dxa"/>
            <w:vAlign w:val="bottom"/>
            <w:gridSpan w:val="5"/>
          </w:tcPr>
          <w:p>
            <w:pPr>
              <w:jc w:val="center"/>
              <w:ind w:right="9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center"/>
              <w:ind w:right="194"/>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loans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137,752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129,119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804</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884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5"/>
              </w:rPr>
              <w:t>Impaired loans individually evaluated for impairment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Specific reserve against impaired loans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548</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loans collectively evaluated for allowance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136,402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127,880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General allowance for loan losses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256</w:t>
            </w:r>
          </w:p>
        </w:tc>
        <w:tc>
          <w:tcPr>
            <w:tcW w:w="12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4900" w:type="dxa"/>
            <w:vAlign w:val="bottom"/>
            <w:gridSpan w:val="2"/>
          </w:tcPr>
          <w:p>
            <w:pPr>
              <w:jc w:val="right"/>
              <w:ind w:right="25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40" w:right="158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As of September 30, 2022 and December 31, 2021, the total principal outstanding for consumer loans on nonaccrual status was $1,350 and $1,239, respectively. A detailed aging of consumer loans receivable that are past due as of September 30, 2022 and December 31, 2021 were as follows:</w:t>
      </w:r>
    </w:p>
    <w:p>
      <w:pPr>
        <w:spacing w:after="0" w:line="136"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900" w:type="dxa"/>
            <w:vAlign w:val="bottom"/>
            <w:gridSpan w:val="4"/>
          </w:tcPr>
          <w:p>
            <w:pPr>
              <w:ind w:left="460"/>
              <w:spacing w:after="0"/>
              <w:rPr>
                <w:sz w:val="20"/>
                <w:szCs w:val="20"/>
                <w:color w:val="auto"/>
              </w:rPr>
            </w:pPr>
            <w:r>
              <w:rPr>
                <w:rFonts w:ascii="Arial" w:cs="Arial" w:eastAsia="Arial" w:hAnsi="Arial"/>
                <w:sz w:val="14"/>
                <w:szCs w:val="14"/>
                <w:b w:val="1"/>
                <w:bCs w:val="1"/>
                <w:color w:val="auto"/>
              </w:rPr>
              <w:t>As of September 30,</w:t>
            </w:r>
          </w:p>
        </w:tc>
        <w:tc>
          <w:tcPr>
            <w:tcW w:w="4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0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consumer loans receivable</w:t>
            </w:r>
          </w:p>
        </w:tc>
        <w:tc>
          <w:tcPr>
            <w:tcW w:w="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137,752</w:t>
            </w: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129,119</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r>
              <w:rPr>
                <w:rFonts w:ascii="Arial" w:cs="Arial" w:eastAsia="Arial" w:hAnsi="Arial"/>
                <w:sz w:val="18"/>
                <w:szCs w:val="18"/>
                <w:u w:val="single" w:color="auto"/>
                <w:color w:val="auto"/>
                <w:w w:val="93"/>
              </w:rPr>
              <w:t>0</w:t>
            </w:r>
          </w:p>
        </w:tc>
        <w:tc>
          <w:tcPr>
            <w:tcW w:w="0" w:type="dxa"/>
            <w:vAlign w:val="bottom"/>
          </w:tcPr>
          <w:p>
            <w:pPr>
              <w:spacing w:after="0"/>
              <w:rPr>
                <w:sz w:val="1"/>
                <w:szCs w:val="1"/>
                <w:color w:val="auto"/>
              </w:rPr>
            </w:pPr>
          </w:p>
        </w:tc>
      </w:tr>
      <w:tr>
        <w:trPr>
          <w:trHeight w:val="20"/>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Past due consumer loans:</w:t>
            </w: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31</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 days past due</w:t>
            </w:r>
          </w:p>
        </w:tc>
        <w:tc>
          <w:tcPr>
            <w:tcW w:w="7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00" w:type="dxa"/>
            <w:vAlign w:val="bottom"/>
          </w:tcPr>
          <w:p>
            <w:pPr>
              <w:ind w:left="100"/>
              <w:spacing w:after="0"/>
              <w:rPr>
                <w:sz w:val="20"/>
                <w:szCs w:val="20"/>
                <w:color w:val="auto"/>
              </w:rPr>
            </w:pPr>
            <w:r>
              <w:rPr>
                <w:rFonts w:ascii="Arial" w:cs="Arial" w:eastAsia="Arial" w:hAnsi="Arial"/>
                <w:sz w:val="18"/>
                <w:szCs w:val="18"/>
                <w:color w:val="auto"/>
                <w:w w:val="89"/>
              </w:rPr>
              <w:t>61</w:t>
            </w:r>
          </w:p>
        </w:tc>
        <w:tc>
          <w:tcPr>
            <w:tcW w:w="2480" w:type="dxa"/>
            <w:vAlign w:val="bottom"/>
          </w:tcPr>
          <w:p>
            <w:pPr>
              <w:ind w:left="20"/>
              <w:spacing w:after="0"/>
              <w:rPr>
                <w:sz w:val="20"/>
                <w:szCs w:val="20"/>
                <w:color w:val="auto"/>
              </w:rPr>
            </w:pPr>
            <w:r>
              <w:rPr>
                <w:rFonts w:ascii="Arial" w:cs="Arial" w:eastAsia="Arial" w:hAnsi="Arial"/>
                <w:sz w:val="18"/>
                <w:szCs w:val="18"/>
                <w:color w:val="auto"/>
              </w:rPr>
              <w:t>- 90 days past due</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91</w:t>
            </w:r>
          </w:p>
        </w:tc>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- 120 days past due</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Greater than 120 days past due</w:t>
            </w:r>
          </w:p>
        </w:tc>
        <w:tc>
          <w:tcPr>
            <w:tcW w:w="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past due</w:t>
            </w:r>
          </w:p>
        </w:tc>
        <w:tc>
          <w:tcPr>
            <w:tcW w:w="4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NOTES RECEIVABLE FROM MOBILE HOME PARKS</w:t>
      </w:r>
    </w:p>
    <w:p>
      <w:pPr>
        <w:spacing w:after="0" w:line="202" w:lineRule="exact"/>
        <w:rPr>
          <w:sz w:val="20"/>
          <w:szCs w:val="20"/>
          <w:color w:val="auto"/>
        </w:rPr>
      </w:pPr>
    </w:p>
    <w:p>
      <w:pPr>
        <w:ind w:left="60" w:right="199" w:firstLine="648"/>
        <w:spacing w:after="0" w:line="271" w:lineRule="auto"/>
        <w:rPr>
          <w:sz w:val="20"/>
          <w:szCs w:val="20"/>
          <w:color w:val="auto"/>
        </w:rPr>
      </w:pPr>
      <w:r>
        <w:rPr>
          <w:rFonts w:ascii="Arial" w:cs="Arial" w:eastAsia="Arial" w:hAnsi="Arial"/>
          <w:sz w:val="17"/>
          <w:szCs w:val="17"/>
          <w:color w:val="auto"/>
        </w:rPr>
        <w:t>The notes receivable from mobile home parks (“MHP Notes”) relate to mobile homes sold to mobile home parks and financed through notes receivable. The MHP Notes have varying maturity dates and call for monthly principal and interest payments. The interest rate on the MHP Notes can be fixed or variable. Approximately $118 million of the MHP Notes have a fixed interest rate ranging from 6.9% to 10.2%. The remaining MHP Notes have a variable rate typically set at 4.0% above prime with a minimum of 8.0%. The average interest rate per loan was approximately 8.0% and 7.6% as of September 30, 2022 and December 31, 2021, respectively, with maturities that range from 1 to 18 years. The collateral underlying the MHP Notes are individual mobile homes which can be repossessed and resold. The MHP Notes are generally guaranteed by the borrowers personally.</w:t>
      </w:r>
    </w:p>
    <w:p>
      <w:pPr>
        <w:spacing w:after="0" w:line="138"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The Company had concentrations of MHP Notes with an independent third-party and its affiliates that equaled 31.0% and 52.1% of the principal balance outstanding, all of which was secured by the mobile homes, as of September 30, 2022 and December 31, 2021, respectively.</w:t>
      </w:r>
    </w:p>
    <w:p>
      <w:pPr>
        <w:spacing w:after="0" w:line="143"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 As of September 30, 2022 and December 31, 2021, the MHP Note balance is presented net of unamortized finance fees of $725 and $445, respectively. The finance fees are amortized over the life of the MHP Notes.</w:t>
      </w:r>
    </w:p>
    <w:p>
      <w:pPr>
        <w:spacing w:after="0" w:line="134"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There were minimal past due balances on the MHP Notes as of September 30, 2022 and December 31, 2021 and no charge offs were recorded for MHP Notes during the three and nine months ended September 30, 2022 and 2021, respectively. Allowance for loan loss is considered immaterial and accordingly no loss is recorded against the MHP Notes as of September 30, 2022 and December 31, 2021.</w:t>
      </w:r>
    </w:p>
    <w:p>
      <w:pPr>
        <w:spacing w:after="0" w:line="146"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There were no impaired MHP Notes as of September 30, 2022 and December 31, 2021, respectively, and there were no repossessed homes balances as of September 30, 2022 and December 31, 2021, respectively. Collateral for repossessed loans is acquired through foreclosure or similar proceedings and is recorded at the estimated fair value of the home, less the costs to sell.</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OTHER NOTES RECEIVABLE</w:t>
      </w:r>
    </w:p>
    <w:p>
      <w:pPr>
        <w:spacing w:after="0" w:line="202" w:lineRule="exact"/>
        <w:rPr>
          <w:sz w:val="20"/>
          <w:szCs w:val="20"/>
          <w:color w:val="auto"/>
        </w:rPr>
      </w:pPr>
    </w:p>
    <w:p>
      <w:pPr>
        <w:jc w:val="both"/>
        <w:ind w:left="60" w:right="519" w:firstLine="648"/>
        <w:spacing w:after="0" w:line="311" w:lineRule="auto"/>
        <w:rPr>
          <w:sz w:val="20"/>
          <w:szCs w:val="20"/>
          <w:color w:val="auto"/>
        </w:rPr>
      </w:pPr>
      <w:r>
        <w:rPr>
          <w:rFonts w:ascii="Arial" w:cs="Arial" w:eastAsia="Arial" w:hAnsi="Arial"/>
          <w:sz w:val="16"/>
          <w:szCs w:val="16"/>
          <w:color w:val="auto"/>
        </w:rPr>
        <w:t>Other notes receivable relate to various notes issued to mobile home park owners and dealers, which are not directly tied to sales of mobile homes. The other notes have varying maturity dates and call for monthly principal and interest payments. The other notes are collateralized by mortgages on real estate, units being financed and used as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40" w:right="158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offices, as well as vehicles, and are typically guaranteed by the borrowers personally. The interest rate on the other notes are fixed and range from 5.00% to 12.00%. The Company reserves for estimated losses on the other notes based on current economic conditions that may affect the borrower’s ability to pay, the borrower’s financial strength, and historical loss experience. There were no past due balances for other notes as of September 30, 2022 and December 31, 2021, respectively, and there were no impaired balances for other notes as of September 30, 2022 and December 31, 2021, respectively.</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balance outstanding on the other notes receivable were as follows:</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7"/>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97"/>
              <w:spacing w:after="0"/>
              <w:rPr>
                <w:sz w:val="20"/>
                <w:szCs w:val="20"/>
                <w:color w:val="auto"/>
              </w:rPr>
            </w:pPr>
            <w:r>
              <w:rPr>
                <w:rFonts w:ascii="Arial" w:cs="Arial" w:eastAsia="Arial" w:hAnsi="Arial"/>
                <w:sz w:val="14"/>
                <w:szCs w:val="14"/>
                <w:b w:val="1"/>
                <w:bCs w:val="1"/>
                <w:color w:val="auto"/>
              </w:rPr>
              <w:t>As of</w:t>
            </w: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20" w:type="dxa"/>
            <w:vAlign w:val="bottom"/>
            <w:gridSpan w:val="3"/>
          </w:tcPr>
          <w:p>
            <w:pPr>
              <w:ind w:left="150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364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42,074</w:t>
            </w: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15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09"/>
        </w:trPr>
        <w:tc>
          <w:tcPr>
            <w:tcW w:w="20" w:type="dxa"/>
            <w:vAlign w:val="bottom"/>
          </w:tcPr>
          <w:p>
            <w:pPr>
              <w:spacing w:after="0"/>
              <w:rPr>
                <w:sz w:val="18"/>
                <w:szCs w:val="18"/>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22,066</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LEASES</w:t>
      </w:r>
    </w:p>
    <w:p>
      <w:pPr>
        <w:spacing w:after="0" w:line="189"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Company currently has 13 operating leases, eight of which are for the Company’s Heritage Housing and Tiny Homes retail locations, three which are subleased by the Company and two are for corporate and administrative offices in Bedford, TX and Norcross, GA. These leases typically have initial terms ranging from 5 to 10 years and include one or more options to renew.</w:t>
      </w:r>
    </w:p>
    <w:p>
      <w:pPr>
        <w:spacing w:after="0" w:line="146"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Under ASC 842, a modified retrospective transition is required, applying the new standard to all leases at the date of initial application. The Company chose to use the adoption date of January 1, 2022 for ASC 842. As such, all periods presented after January 1, 2022, are under ASC 842 whereas periods presented prior to January 1, 2022, are in accordance with prior lease accounting of ASC 840. Financial information was not updated and the disclosures required under ASC 842 were not provided for dates and periods before January 1, 2022.</w:t>
      </w:r>
    </w:p>
    <w:p>
      <w:pPr>
        <w:spacing w:after="0" w:line="149"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We determine if an arrangement is a lease at inception. Operating leases are right-of-use (“ROU”) assets and are shown as ROU assets – operating leases on our Condensed Balance Sheet. The lease liabilities are shown as Operating lease obligation and Operating lease obligation, less current portion on our Condensed Balance Sheet. ROU assets represent our right to use an underlying asset for the lease term and lease liabilities represent our obligation to make lease payments arising from the lease.</w:t>
      </w:r>
    </w:p>
    <w:p>
      <w:pPr>
        <w:spacing w:after="0" w:line="147"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ROU assets and liabilities are recognized at the lease commencement date based on the estimated present value of lease payments over the lease term. We have elected the practical expedient to not separate lease and non-lease components. Therefore, lease payments included in the measurement of the lease liability include all fixed payments in the lease arrangement. We record a ROU asset for an amount equal to the lease liability, increased for any prepaid lease costs and initial direct costs and reduced by any lease incentives. We remeasure the lease liability and ROU asset when a change to our future minimum lease payments occurs. Key assumptions and judgments included in the determination of the lease liability include the discount rate used in the present value calculation and the exercise of renewal options.</w:t>
      </w:r>
    </w:p>
    <w:p>
      <w:pPr>
        <w:spacing w:after="0" w:line="126"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8"/>
          <w:szCs w:val="18"/>
          <w:color w:val="auto"/>
        </w:rPr>
        <w:t>Many of our leases contain renewal options. As the exercise of the renewal options is not certain at commencement of a lease, we generally do not include the option periods in the lease term when determining the lease liabilities and ROU assets. We remeasure the lease liability and ROU asset when we are reasonably certain that we will exercise a renewal option.</w:t>
      </w:r>
    </w:p>
    <w:p>
      <w:pPr>
        <w:spacing w:after="0" w:line="160"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Our leases do not provide information about the rate implicit in the lease. Therefore, we utilize an incremental borrowing rate to calculate the present value of our future lease obligations. The incremental borrowing rate represents the rate of interest we would have to pay on a collateralized borrowing, for an amount equal to the lease payments, over</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00" w:right="162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a similar term and in a similar economic environment. The remaining weighted-average lease term is 4.76 years and the weighted-average discount rate is 2.12%.</w:t>
      </w:r>
    </w:p>
    <w:p>
      <w:pPr>
        <w:spacing w:after="0" w:line="130"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color w:val="auto"/>
        </w:rPr>
        <w:t>We consider lease payments that cannot be predicted with reasonable certainty upon lease commencement to be variable lease payments, which are recorded as incurred each period and are excluded from our calculation of lease liabilities. There were no variable lease costs for the three and nine months ended September 30, 2022.</w:t>
      </w:r>
    </w:p>
    <w:p>
      <w:pPr>
        <w:spacing w:after="0" w:line="122" w:lineRule="exact"/>
        <w:rPr>
          <w:sz w:val="20"/>
          <w:szCs w:val="20"/>
          <w:color w:val="auto"/>
        </w:rPr>
      </w:pPr>
    </w:p>
    <w:p>
      <w:pPr>
        <w:ind w:left="60" w:right="179" w:firstLine="648"/>
        <w:spacing w:after="0" w:line="308" w:lineRule="auto"/>
        <w:rPr>
          <w:sz w:val="20"/>
          <w:szCs w:val="20"/>
          <w:color w:val="auto"/>
        </w:rPr>
      </w:pPr>
      <w:r>
        <w:rPr>
          <w:rFonts w:ascii="Arial" w:cs="Arial" w:eastAsia="Arial" w:hAnsi="Arial"/>
          <w:sz w:val="17"/>
          <w:szCs w:val="17"/>
          <w:color w:val="auto"/>
        </w:rPr>
        <w:t>Short-term leases, those with a term of 12 months or less, are not recorded on our Condensed Balance Sheet. Our short-term lease costs were not material for the three and nine months ended September 30, 2022.</w:t>
      </w:r>
    </w:p>
    <w:p>
      <w:pPr>
        <w:spacing w:after="0" w:line="10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September 30, 2022, future minimum lease payments under our operating lease liabilities were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(3 months)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2025</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1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w:t>
            </w:r>
          </w:p>
        </w:tc>
      </w:tr>
      <w:tr>
        <w:trPr>
          <w:trHeight w:val="21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 representing interest</w:t>
            </w: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liability</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r>
      <w:tr>
        <w:trPr>
          <w:trHeight w:val="21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lease liability</w:t>
            </w: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r>
      <w:tr>
        <w:trPr>
          <w:trHeight w:val="21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non-current lease liability</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r>
      <w:tr>
        <w:trPr>
          <w:trHeight w:val="20"/>
        </w:trPr>
        <w:tc>
          <w:tcPr>
            <w:tcW w:w="7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color w:val="auto"/>
        </w:rPr>
        <w:t>. INVENTORIES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consists of the following:</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195"/>
              <w:spacing w:after="0"/>
              <w:rPr>
                <w:sz w:val="20"/>
                <w:szCs w:val="20"/>
                <w:color w:val="auto"/>
              </w:rPr>
            </w:pPr>
            <w:r>
              <w:rPr>
                <w:rFonts w:ascii="Arial" w:cs="Arial" w:eastAsia="Arial" w:hAnsi="Arial"/>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80" w:type="dxa"/>
            <w:vAlign w:val="bottom"/>
            <w:gridSpan w:val="3"/>
          </w:tcPr>
          <w:p>
            <w:pPr>
              <w:ind w:left="156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16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15,431</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Work in progress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(1)</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28,195</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obsolescence</w:t>
            </w:r>
          </w:p>
        </w:tc>
        <w:tc>
          <w:tcPr>
            <w:tcW w:w="15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r>
      <w:tr>
        <w:trPr>
          <w:trHeight w:val="209"/>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43,908</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040" w:right="19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Finished goods includes $5,494 and $2,678 as of September 30, 2022 and December 31, 2021, respectively, held for more than twelve months and classified as long-term.</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00" w:right="162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PROPERTY, PLANT AND EQUIPMENT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plant and equipment consists of the following:</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60" w:type="dxa"/>
            <w:vAlign w:val="bottom"/>
            <w:gridSpan w:val="4"/>
          </w:tcPr>
          <w:p>
            <w:pPr>
              <w:ind w:left="1180"/>
              <w:spacing w:after="0" w:line="149"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14,949</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13,722</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5,058</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35,709</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(8,193)</w:t>
            </w:r>
          </w:p>
        </w:tc>
      </w:tr>
      <w:tr>
        <w:trPr>
          <w:trHeight w:val="209"/>
        </w:trPr>
        <w:tc>
          <w:tcPr>
            <w:tcW w:w="3980" w:type="dxa"/>
            <w:vAlign w:val="bottom"/>
            <w:gridSpan w:val="2"/>
          </w:tcPr>
          <w:p>
            <w:pPr>
              <w:spacing w:after="0"/>
              <w:rPr>
                <w:sz w:val="20"/>
                <w:szCs w:val="20"/>
                <w:color w:val="auto"/>
              </w:rPr>
            </w:pPr>
            <w:r>
              <w:rPr>
                <w:rFonts w:ascii="Arial" w:cs="Arial" w:eastAsia="Arial" w:hAnsi="Arial"/>
                <w:sz w:val="18"/>
                <w:szCs w:val="18"/>
                <w:color w:val="auto"/>
              </w:rPr>
              <w:t>Total property, plant and equipment</w:t>
            </w:r>
          </w:p>
        </w:tc>
        <w:tc>
          <w:tcPr>
            <w:tcW w:w="1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27,516</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Depreciation expense was $295 with $116 included as a component of cost of product sales for the three months ended September 30, 2022 and $403 with $113 included as a component of cost of product sales for the three months ended September 30, 2021. Depreciation expense was $872 with $364 included as a component of cost of product sales for the nine months ended September 30, 2022 and $784 with $327 included as a component of cost of product sales for the nine months ended September 30, 2021.</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OTHER ASSETS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assets consists of the following:</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As of December 31,</w:t>
            </w:r>
          </w:p>
        </w:tc>
      </w:tr>
      <w:tr>
        <w:trPr>
          <w:trHeight w:val="201"/>
        </w:trPr>
        <w:tc>
          <w:tcPr>
            <w:tcW w:w="6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r>
      <w:tr>
        <w:trPr>
          <w:trHeight w:val="21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rent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620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Repossessed homes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10"/>
        </w:trPr>
        <w:tc>
          <w:tcPr>
            <w:tcW w:w="620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w:t>
            </w:r>
          </w:p>
        </w:tc>
        <w:tc>
          <w:tcPr>
            <w:tcW w:w="1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r>
      <w:tr>
        <w:trPr>
          <w:trHeight w:val="20"/>
        </w:trPr>
        <w:tc>
          <w:tcPr>
            <w:tcW w:w="6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ACCRUED LIABILITIES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liabilities consists of the following:</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93"/>
              <w:spacing w:after="0"/>
              <w:rPr>
                <w:sz w:val="20"/>
                <w:szCs w:val="20"/>
                <w:color w:val="auto"/>
              </w:rPr>
            </w:pPr>
            <w:r>
              <w:rPr>
                <w:rFonts w:ascii="Arial" w:cs="Arial" w:eastAsia="Arial" w:hAnsi="Arial"/>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560" w:type="dxa"/>
            <w:vAlign w:val="bottom"/>
            <w:gridSpan w:val="4"/>
          </w:tcPr>
          <w:p>
            <w:pPr>
              <w:ind w:left="1480"/>
              <w:spacing w:after="0" w:line="149"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Litigation reserve</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2,764</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Payroll</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Portfolio taxes and title</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2,467</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Property tax</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Dealer rebates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Sales tax</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Federal and state income taxes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7,445</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r>
      <w:tr>
        <w:trPr>
          <w:trHeight w:val="209"/>
        </w:trPr>
        <w:tc>
          <w:tcPr>
            <w:tcW w:w="3680" w:type="dxa"/>
            <w:vAlign w:val="bottom"/>
            <w:gridSpan w:val="2"/>
          </w:tcPr>
          <w:p>
            <w:pPr>
              <w:spacing w:after="0"/>
              <w:rPr>
                <w:sz w:val="20"/>
                <w:szCs w:val="20"/>
                <w:color w:val="auto"/>
              </w:rPr>
            </w:pPr>
            <w:r>
              <w:rPr>
                <w:rFonts w:ascii="Arial" w:cs="Arial" w:eastAsia="Arial" w:hAnsi="Arial"/>
                <w:sz w:val="18"/>
                <w:szCs w:val="18"/>
                <w:color w:val="auto"/>
              </w:rPr>
              <w:t>Total accrued liabilities</w:t>
            </w:r>
          </w:p>
        </w:tc>
        <w:tc>
          <w:tcPr>
            <w:tcW w:w="15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20,686</w:t>
            </w: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b w:val="1"/>
          <w:bCs w:val="1"/>
          <w:color w:val="auto"/>
        </w:rPr>
        <w:t>. DEBT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Lines of Credit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Revolver 1</w:t>
      </w:r>
    </w:p>
    <w:p>
      <w:pPr>
        <w:spacing w:after="0" w:line="198"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At December 31, 2019, the Company had a revolving line of credit (“Revolver 1”) with Capital One, N.A. with a maximum credit limit of $45,000 and a maturity date of May 11, 2020. On March 30, 2020, the Company entered into an agreement with Capital One, N.A. to replace Revolver 1 with a new revolving line of credit (“New Revolver”). The New Revolver had a maximum credit limit of $70,000 and a maturity date of March 30, 2024. For the period January 1, 2020 through March 30, 2020, Revolver 1 accrued interest at one-month LIBOR plus 2.40%. Amounts available under Revolver 1 were subject to a formula based on eligible consumer loans and MHP Notes and were secured by all accounts receivable, consumer loans and MHP Notes.</w:t>
      </w:r>
    </w:p>
    <w:p>
      <w:pPr>
        <w:spacing w:after="0" w:line="137"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On June 21, 2022, the Company received a Reservation of Rights notice from Capital One, N.A. The letter stated that the Company’s New Revolver was in default. The default condition occurred due to the Company’s failure to timely file the Form 10-K and deliver certain financial statement to Capital One, N.A. On July 28, 2022, the Company entered into a Limited Waiver and First Amendment to Credit Agreement (the “Amendment”) with Capital One, N.A. The Amendment replaced the LIBOR borrowing rate with a secured overnight financing rate and waived a default arising out of a monetary judgement against the Company that exceeded the amount allowed in the New Revolver. On August 24, 2022, the Company received a Notice of Default and Partial Suspension of Loan Commitments from Capital One, N.A. The notice stated that the July 28, 2022 forbearance agreement had been terminated and that Capital One, N.A. was permitted to suspend $50,000 of the $70,000 loan commitment under the New Revolver. As a result, the available line of credit in the New Revolver has been limited to $20,000.</w:t>
      </w:r>
    </w:p>
    <w:p>
      <w:pPr>
        <w:spacing w:after="0" w:line="145"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The New Revolver accrues interest at one-month LIBOR plus 2.00%. The interest rate in effect as of September 30, 2022 and December 31, 2021 was 4.56% and 2.10%, respectively. As with Revolver 1, amounts available under the New Revolver are subject to a formula based on eligible consumer loans and MHP Notes and are secured by all accounts receivable, consumer loans and MHP Notes. The amount of available credit under the New Revolver was $20,000 and $61,841 as of September 30, 2022 and December 31, 2021, respectively. In connection with the New Revolver, the Company paid certain arrangement fees and other fees of approximately $295, which were capitalized as unamortized debt issuance costs and will be amortized to interest expense over the life of the New Revolver.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For the three months ended September 30, 2022 and 2021, interest expense under the New Revolver was $87</w:t>
      </w:r>
      <w:r>
        <w:rPr>
          <w:sz w:val="1"/>
          <w:szCs w:val="1"/>
          <w:color w:val="auto"/>
        </w:rPr>
        <w:drawing>
          <wp:inline distT="0" distB="0" distL="0" distR="0">
            <wp:extent cx="34290"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6"/>
          <w:szCs w:val="16"/>
          <w:color w:val="auto"/>
        </w:rPr>
        <w:t>and $318, respectively. For the nine months ended September 30, 2022 and 2021, interest expense under the New Revolver was $326 and $827, respectively. The outstanding balance as of September 30, 2022 and December 31, 2021 was $0 and $7,993, respectively. The New Revolver requires the Company to comply with certain financial and non-financial covenants. As of September 30, 2022, the Company was in compliance with all financial covenants, including that it maintain a tangible net worth of at least $120,000 and that it maintain a ratio of debt to EBITDA of 4 to 1, or less.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PILOT Agreement</w:t>
      </w:r>
    </w:p>
    <w:p>
      <w:pPr>
        <w:spacing w:after="0" w:line="202" w:lineRule="exact"/>
        <w:rPr>
          <w:sz w:val="20"/>
          <w:szCs w:val="20"/>
          <w:color w:val="auto"/>
        </w:rPr>
      </w:pPr>
    </w:p>
    <w:p>
      <w:pPr>
        <w:ind w:left="60" w:right="299" w:firstLine="648"/>
        <w:spacing w:after="0" w:line="284" w:lineRule="auto"/>
        <w:rPr>
          <w:sz w:val="20"/>
          <w:szCs w:val="20"/>
          <w:color w:val="auto"/>
        </w:rPr>
      </w:pPr>
      <w:r>
        <w:rPr>
          <w:rFonts w:ascii="Arial" w:cs="Arial" w:eastAsia="Arial" w:hAnsi="Arial"/>
          <w:sz w:val="16"/>
          <w:szCs w:val="16"/>
          <w:color w:val="auto"/>
        </w:rPr>
        <w:t>In December 2016, the Company entered into a Payment in Lieu of Taxes (“PILOT”) agreement commonly offered in Georgia by local community development programs to encourage industry development. The net effect of the PILOT agreement is to provide the Company with incentives through the abatement of local, city and county property taxes and to provide financing for improvements to the Company’s Georgia plant (the “Project”). In connection with the PILOT agreement, the Putman County Development Authority provides a credit facility for up to $10,000, which can be drawn upon to fund Project improvements and capital expenditures as defined in the agreement. If funds are drawn, the Company would pay transaction costs and debt service payments. The PILOT agreement requires interest payments of</w:t>
      </w:r>
    </w:p>
    <w:p>
      <w:pPr>
        <w:spacing w:after="0" w:line="2"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6.00% per annum on outstanding balances, which are due each December 1st through maturity on December 1, 2021, at which time all unpaid principal and interest are due. The PILOT agreement is collateralized by the assets of the Project. No amounts have been drawn on this credit facility.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SHARE-BASED COMPENSATION</w:t>
      </w:r>
    </w:p>
    <w:p>
      <w:pPr>
        <w:spacing w:after="0" w:line="18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Pursuant to the Legacy Housing Corporation 2018 Incentive Compensation Plan (the “Compensation Plan”), the Company may issue up to 10.0 million equity awards to employees, directors, consultants and nonemployee service providers in the form of stock options, stock and stock appreciation rights. Stock options may be granted with a contractual life of up to ten years. At September 30, 2022, the Company had 8.1 million shares available for grant under the Compensation Plan.</w:t>
      </w:r>
    </w:p>
    <w:p>
      <w:pPr>
        <w:spacing w:after="0" w:line="161"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In February 2019, the Company granted 120,000 restricted shares of its common stock to members of senior management. The shares were granted on February 7, 2019 and had a grant date fair value of $1,636. The shares vest at a rate of 14.3% annually, beginning on February 7, 2019, and becoming fully vested on February 7, 2025. During the second quarter of 2020, 42,857 of these restricted shares were forfeited due to the departure of a member of senior management.</w:t>
      </w:r>
    </w:p>
    <w:p>
      <w:pPr>
        <w:spacing w:after="0" w:line="117"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December 2020, the Company granted 2,022 restricted shares of its common stock to the independent directors on the Company’s Board of Directors. The shares were granted on December 2, 2020 and had a grant date fair value of $30. The shares become fully vested on October 4, 2021.</w:t>
      </w:r>
    </w:p>
    <w:p>
      <w:pPr>
        <w:spacing w:after="0" w:line="143"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 November 2021, the Company granted 1,202 restricted shares of its common stock to the independent directors on the Company’s Board of Directors. The shares were granted on November 30, 2021 and had a grant date fair value of $30. The shares become fully vested on October 24, 2022.</w:t>
      </w:r>
    </w:p>
    <w:p>
      <w:pPr>
        <w:spacing w:after="0" w:line="157" w:lineRule="exact"/>
        <w:rPr>
          <w:sz w:val="20"/>
          <w:szCs w:val="20"/>
          <w:color w:val="auto"/>
        </w:rPr>
      </w:pPr>
    </w:p>
    <w:p>
      <w:pPr>
        <w:jc w:val="both"/>
        <w:ind w:left="60" w:right="139" w:firstLine="648"/>
        <w:spacing w:after="0" w:line="286" w:lineRule="auto"/>
        <w:rPr>
          <w:sz w:val="20"/>
          <w:szCs w:val="20"/>
          <w:color w:val="auto"/>
        </w:rPr>
      </w:pPr>
      <w:r>
        <w:rPr>
          <w:rFonts w:ascii="Arial" w:cs="Arial" w:eastAsia="Arial" w:hAnsi="Arial"/>
          <w:sz w:val="17"/>
          <w:szCs w:val="17"/>
          <w:color w:val="auto"/>
        </w:rPr>
        <w:t>In January 2022, the Company granted 150,000 restricted shares of its common stock to the Executive Chairman of the Company pursuant to an amended and restated employment agreement. The shares were granted on January 6, 2022 and had a grant date fair value of $3,741. The shares became fully vested upon grant.</w:t>
      </w:r>
    </w:p>
    <w:p>
      <w:pPr>
        <w:spacing w:after="0" w:line="125"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On January 6, 2022, the Company gave contingent equity awards of 350,000 shares of the Company’s restricted stock to the Executive Chairman of the Company pursuant to an amended and restated employment agreement. An equity award of 175,000 shares will be granted if the Company’s stock price reaches and remains for a period of fifteen consecutive market days at a closing price of $36 per share (the “$36 Equity Award”). The $36 Equity Awards had a grant date fair value of $1,412 and fifty percent of the shares shall be vested at grant and fifty percent shall vest on June 16, 2024, so long as the Executive Chairman is employed by the Company on that date. An additional equity award of</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175,000 shares of the Company’s restricted stock will be granted if the Company’s stock price reaches and remains for a period of fifteen consecutive market days at a closing price of $48 per share (the “$48 Equity Award”). The $48 Equity Awards had a grant date fair value of $683 and fifty percent of the shares shall be vested at grant and fifty percent shall vest on June 16, 2024, so long as the Executive Chairman is employed by the Company on that date. As of September 30, 2022, none of the conditions have been met for the vesting of the $36 Equity Awards or the $48 Equity Awards.</w:t>
      </w:r>
    </w:p>
    <w:p>
      <w:pPr>
        <w:spacing w:after="0" w:line="121" w:lineRule="exact"/>
        <w:rPr>
          <w:sz w:val="20"/>
          <w:szCs w:val="20"/>
          <w:color w:val="auto"/>
        </w:rPr>
      </w:pPr>
    </w:p>
    <w:p>
      <w:pPr>
        <w:ind w:left="60" w:right="259" w:firstLine="648"/>
        <w:spacing w:after="0" w:line="311" w:lineRule="auto"/>
        <w:rPr>
          <w:sz w:val="20"/>
          <w:szCs w:val="20"/>
          <w:color w:val="auto"/>
        </w:rPr>
      </w:pPr>
      <w:r>
        <w:rPr>
          <w:rFonts w:ascii="Arial" w:cs="Arial" w:eastAsia="Arial" w:hAnsi="Arial"/>
          <w:sz w:val="16"/>
          <w:szCs w:val="16"/>
          <w:color w:val="auto"/>
        </w:rPr>
        <w:t>On June 7, 2022, the Company granted 14,700 restricted shares of its common stock to the Chief Executive Officer of the Company pursuant to an employment agreement. The shares were granted on June 7, 2022 and had a grant date fair value of $235. One-half of the shares vest on June 7, 2023 and the remaining half vest on June 7, 2024.</w:t>
      </w:r>
    </w:p>
    <w:p>
      <w:pPr>
        <w:spacing w:after="0" w:line="122"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On June 7, 2022, the Company granted 301 restricted shares of its common stock to an independent director on the Company’s Board of Directors. The shares were granted on June 7, 2022 and had a grant date fair value of $5. The shares become fully vested on October 24, 2022.</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summary of restricted stock units (the “RSU”) activity (in thousands, except per unit data):</w:t>
      </w: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8"/>
              </w:rPr>
              <w:t>Grant</w:t>
            </w:r>
          </w:p>
        </w:tc>
      </w:t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6"/>
              </w:rPr>
              <w:t>Date Fair</w:t>
            </w:r>
          </w:p>
        </w:tc>
      </w:tr>
      <w:tr>
        <w:trPr>
          <w:trHeight w:val="203"/>
        </w:trPr>
        <w:tc>
          <w:tcPr>
            <w:tcW w:w="6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2"/>
              </w:rPr>
              <w:t>Number</w:t>
            </w:r>
          </w:p>
        </w:tc>
        <w:tc>
          <w:tcPr>
            <w:tcW w:w="300" w:type="dxa"/>
            <w:vAlign w:val="bottom"/>
          </w:tcPr>
          <w:p>
            <w:pPr>
              <w:spacing w:after="0"/>
              <w:rPr>
                <w:sz w:val="17"/>
                <w:szCs w:val="17"/>
                <w:color w:val="auto"/>
              </w:rPr>
            </w:pPr>
          </w:p>
        </w:tc>
        <w:tc>
          <w:tcPr>
            <w:tcW w:w="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Value Per</w:t>
            </w:r>
          </w:p>
        </w:tc>
      </w:tr>
      <w:tr>
        <w:trPr>
          <w:trHeight w:val="213"/>
        </w:trPr>
        <w:tc>
          <w:tcPr>
            <w:tcW w:w="64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of Units</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Unit</w:t>
            </w:r>
          </w:p>
        </w:tc>
      </w:tr>
      <w:tr>
        <w:trPr>
          <w:trHeight w:val="199"/>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Nonvested, January 1, 2022</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Granted</w:t>
            </w:r>
          </w:p>
        </w:tc>
        <w:tc>
          <w:tcPr>
            <w:tcW w:w="600" w:type="dxa"/>
            <w:vAlign w:val="bottom"/>
          </w:tcPr>
          <w:p>
            <w:pPr>
              <w:jc w:val="right"/>
              <w:spacing w:after="0"/>
              <w:rPr>
                <w:sz w:val="20"/>
                <w:szCs w:val="20"/>
                <w:color w:val="auto"/>
              </w:rPr>
            </w:pPr>
            <w:r>
              <w:rPr>
                <w:rFonts w:ascii="Arial" w:cs="Arial" w:eastAsia="Arial" w:hAnsi="Arial"/>
                <w:sz w:val="16"/>
                <w:szCs w:val="16"/>
                <w:color w:val="auto"/>
              </w:rPr>
              <w:t>515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11.80</w:t>
            </w: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24.33</w:t>
            </w:r>
          </w:p>
        </w:tc>
      </w:tr>
      <w:tr>
        <w:trPr>
          <w:trHeight w:val="196"/>
        </w:trPr>
        <w:tc>
          <w:tcPr>
            <w:tcW w:w="6420" w:type="dxa"/>
            <w:vAlign w:val="bottom"/>
          </w:tcPr>
          <w:p>
            <w:pPr>
              <w:spacing w:after="0"/>
              <w:rPr>
                <w:sz w:val="20"/>
                <w:szCs w:val="20"/>
                <w:color w:val="auto"/>
              </w:rPr>
            </w:pPr>
            <w:r>
              <w:rPr>
                <w:rFonts w:ascii="Arial" w:cs="Arial" w:eastAsia="Arial" w:hAnsi="Arial"/>
                <w:sz w:val="16"/>
                <w:szCs w:val="16"/>
                <w:color w:val="auto"/>
              </w:rPr>
              <w:t>Nonvested, September 30, 2022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6.93</w:t>
            </w:r>
          </w:p>
        </w:tc>
      </w:tr>
      <w:tr>
        <w:trPr>
          <w:trHeight w:val="20"/>
        </w:trPr>
        <w:tc>
          <w:tcPr>
            <w:tcW w:w="6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0" w:right="679" w:firstLine="648"/>
        <w:spacing w:after="0" w:line="381" w:lineRule="auto"/>
        <w:rPr>
          <w:sz w:val="20"/>
          <w:szCs w:val="20"/>
          <w:color w:val="auto"/>
        </w:rPr>
      </w:pPr>
      <w:r>
        <w:rPr>
          <w:rFonts w:ascii="Arial" w:cs="Arial" w:eastAsia="Arial" w:hAnsi="Arial"/>
          <w:sz w:val="15"/>
          <w:szCs w:val="15"/>
          <w:color w:val="auto"/>
        </w:rPr>
        <w:t>As of September 30, 2022, approximately 392,000 RSUs remained unvested. Unrecognized compensation expense related to these RSUs at September 30, 2022 was $1,943 and is expected to be recognized over 1.80 years.</w:t>
      </w:r>
    </w:p>
    <w:p>
      <w:pPr>
        <w:spacing w:after="0" w:line="73"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Company granted 34,626 incentive stock options to a member of senior management. The options were granted on August 10, 2020 at an exercise price of $14.44 per share. The options vest at a rate of 20.0% annually, beginning on August 10, 2021, and becoming fully vested on August 10, 2025. All options expire ten years after the date of grant. Weighted-average assumptions used in the Black-Scholes option pricing model for stock options granted were as follows: risk free interest rate of 0.24%; dividend yield of 0.00%; expected volatility of common stock of 75.0% and expected life of options of 6.5 years. During the first quarter of 2022, 27,701 of these options were forfeited due to the departure of the senior manager.</w:t>
      </w:r>
    </w:p>
    <w:p>
      <w:pPr>
        <w:spacing w:after="0" w:line="154"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The Company granted 55,490 incentive stock options to a member of management. The options were granted on September 23, 2021 at an exercise price of $18.02 per share. The options vest at a rate of 10.0% annually, beginning on September 23, 2022, and becoming fully vested on September 23, 2031. All options expire ten years after the date of grant. Weighted-average assumptions used in the Black-Scholes option pricing model for stock options granted were as follows: risk free interest rate of 1.41%; dividend yield of 0.00%; expected volatility of common stock of 75.0% and expected life of options of 7.8 years.</w:t>
      </w:r>
    </w:p>
    <w:p>
      <w:pPr>
        <w:spacing w:after="0" w:line="152"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Company granted 62,460 incentive stock options to the Chief Executive Officer. The options were granted on June 7, 2022 at an exercise price of $16.01 per share. The options vest at a rate of 10.0% annually, beginning on June 7, 2023, and becoming fully vested on June 7, 2032. All options expire ten years after the date of grant. Weighted-average assumptions used in the Black-Scholes option pricing model for stock options granted were as follows: risk free interest rate of 2.98%; dividend yield of 0.00%; expected volatility of common stock of 45.7% and expected life of options of 7.8 years.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1500" w:right="162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The Company granted options to purchase 900,000 shares of the Company’s stock to the Chief Executive Officer. An option to purchase 300,000 shares of the Company’s stock was granted on June 7, 2022 at an exercise price of $36.00 per share and an option to purchase 600,000 shares of the Company’s stock was granted on June 7, 2022 at an exercise price of $48.00 per share. The options vest at a rate of 10.0% annually, beginning on June 7, 2023, and becoming fully vested on June 7, 2032. All options expire ten years after the date of grant. Weighted-average assumptions used in the Black-Scholes option pricing model for stock options granted were as follows: risk free interest rate of 2.98%; dividend yield of 0.00%; expected volatility of common stock of 45.7% and expected life of options of 7.8 years.</w:t>
      </w:r>
    </w:p>
    <w:p>
      <w:pPr>
        <w:spacing w:after="0" w:line="126"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The Company granted 62,460 incentive stock options to the Chief Financial Officer. The options were granted on June 7, 2022 at an exercise price of $16.01 per share. The options vest at a rate of 10.0% annually, beginning on June 7, 2023, and becoming fully vested on June 7, 2032. All options expire ten years after the date of grant. Weighted-average assumptions used in the Black-Scholes option pricing model for stock options granted were as follows: risk free interest rate of 2.98%; dividend yield of 0.00%; expected volatility of common stock of 45.7% and expected life of options of 7.8 years.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option activity (number of units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tcPr>
          <w:p>
            <w:pPr>
              <w:ind w:left="20"/>
              <w:spacing w:after="0"/>
              <w:rPr>
                <w:sz w:val="20"/>
                <w:szCs w:val="20"/>
                <w:color w:val="auto"/>
              </w:rPr>
            </w:pPr>
            <w:r>
              <w:rPr>
                <w:rFonts w:ascii="Arial" w:cs="Arial" w:eastAsia="Arial" w:hAnsi="Arial"/>
                <w:sz w:val="16"/>
                <w:szCs w:val="16"/>
                <w:b w:val="1"/>
                <w:bCs w:val="1"/>
                <w:color w:val="auto"/>
              </w:rPr>
              <w:t>Weighted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8"/>
              </w:rPr>
              <w:t>Average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Grant</w:t>
            </w: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Date</w:t>
            </w: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Average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8"/>
              </w:rPr>
              <w:t>Exercise</w:t>
            </w:r>
          </w:p>
        </w:tc>
        <w:tc>
          <w:tcPr>
            <w:tcW w:w="12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w:t>
            </w: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Remaining</w:t>
            </w:r>
          </w:p>
        </w:tc>
        <w:tc>
          <w:tcPr>
            <w:tcW w:w="720" w:type="dxa"/>
            <w:vAlign w:val="bottom"/>
            <w:gridSpan w:val="2"/>
          </w:tcPr>
          <w:p>
            <w:pPr>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46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5"/>
              </w:rPr>
              <w:t>Number</w:t>
            </w:r>
          </w:p>
        </w:tc>
        <w:tc>
          <w:tcPr>
            <w:tcW w:w="840" w:type="dxa"/>
            <w:vAlign w:val="bottom"/>
            <w:gridSpan w:val="3"/>
          </w:tcPr>
          <w:p>
            <w:pPr>
              <w:ind w:left="20"/>
              <w:spacing w:after="0"/>
              <w:rPr>
                <w:sz w:val="20"/>
                <w:szCs w:val="20"/>
                <w:color w:val="auto"/>
              </w:rPr>
            </w:pPr>
            <w:r>
              <w:rPr>
                <w:rFonts w:ascii="Arial" w:cs="Arial" w:eastAsia="Arial" w:hAnsi="Arial"/>
                <w:sz w:val="16"/>
                <w:szCs w:val="16"/>
                <w:b w:val="1"/>
                <w:bCs w:val="1"/>
                <w:color w:val="auto"/>
              </w:rPr>
              <w:t>Price Per</w:t>
            </w:r>
          </w:p>
        </w:tc>
        <w:tc>
          <w:tcPr>
            <w:tcW w:w="120" w:type="dxa"/>
            <w:vAlign w:val="bottom"/>
          </w:tcPr>
          <w:p>
            <w:pPr>
              <w:spacing w:after="0"/>
              <w:rPr>
                <w:sz w:val="17"/>
                <w:szCs w:val="17"/>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Contractual</w:t>
            </w: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Intrinsic</w:t>
            </w:r>
          </w:p>
        </w:tc>
      </w:tr>
      <w:tr>
        <w:trPr>
          <w:trHeight w:val="213"/>
        </w:trPr>
        <w:tc>
          <w:tcPr>
            <w:tcW w:w="46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3"/>
              </w:rPr>
              <w:t>of Units</w:t>
            </w:r>
          </w:p>
        </w:tc>
        <w:tc>
          <w:tcPr>
            <w:tcW w:w="140" w:type="dxa"/>
            <w:vAlign w:val="bottom"/>
          </w:tcPr>
          <w:p>
            <w:pPr>
              <w:spacing w:after="0"/>
              <w:rPr>
                <w:sz w:val="18"/>
                <w:szCs w:val="18"/>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Unit</w:t>
            </w:r>
          </w:p>
        </w:tc>
        <w:tc>
          <w:tcPr>
            <w:tcW w:w="8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7"/>
              </w:rPr>
              <w:t>Per Unit</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Life</w:t>
            </w:r>
          </w:p>
        </w:tc>
        <w:tc>
          <w:tcPr>
            <w:tcW w:w="120" w:type="dxa"/>
            <w:vAlign w:val="bottom"/>
          </w:tcPr>
          <w:p>
            <w:pPr>
              <w:spacing w:after="0"/>
              <w:rPr>
                <w:sz w:val="18"/>
                <w:szCs w:val="18"/>
                <w:color w:val="auto"/>
              </w:rPr>
            </w:pPr>
          </w:p>
        </w:tc>
        <w:tc>
          <w:tcPr>
            <w:tcW w:w="6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Value</w:t>
            </w:r>
          </w:p>
        </w:tc>
      </w:tr>
      <w:tr>
        <w:trPr>
          <w:trHeight w:val="199"/>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January 1, 2022</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6"/>
                <w:szCs w:val="16"/>
                <w:color w:val="auto"/>
              </w:rPr>
              <w:t>Granted</w:t>
            </w:r>
          </w:p>
        </w:tc>
        <w:tc>
          <w:tcPr>
            <w:tcW w:w="580" w:type="dxa"/>
            <w:vAlign w:val="bottom"/>
          </w:tcPr>
          <w:p>
            <w:pPr>
              <w:jc w:val="right"/>
              <w:spacing w:after="0"/>
              <w:rPr>
                <w:sz w:val="20"/>
                <w:szCs w:val="20"/>
                <w:color w:val="auto"/>
              </w:rPr>
            </w:pPr>
            <w:r>
              <w:rPr>
                <w:rFonts w:ascii="Arial" w:cs="Arial" w:eastAsia="Arial" w:hAnsi="Arial"/>
                <w:sz w:val="16"/>
                <w:szCs w:val="16"/>
                <w:color w:val="auto"/>
              </w:rPr>
              <w:t>1,025</w:t>
            </w:r>
          </w:p>
        </w:tc>
        <w:tc>
          <w:tcPr>
            <w:tcW w:w="2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40.59</w:t>
            </w:r>
          </w:p>
        </w:tc>
        <w:tc>
          <w:tcPr>
            <w:tcW w:w="1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4.99</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3"/>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3"/>
        </w:trPr>
        <w:tc>
          <w:tcPr>
            <w:tcW w:w="4660" w:type="dxa"/>
            <w:vAlign w:val="bottom"/>
          </w:tcPr>
          <w:p>
            <w:pPr>
              <w:spacing w:after="0"/>
              <w:rPr>
                <w:sz w:val="20"/>
                <w:szCs w:val="20"/>
                <w:color w:val="auto"/>
              </w:rPr>
            </w:pPr>
            <w:r>
              <w:rPr>
                <w:rFonts w:ascii="Arial" w:cs="Arial" w:eastAsia="Arial" w:hAnsi="Arial"/>
                <w:sz w:val="16"/>
                <w:szCs w:val="16"/>
                <w:color w:val="auto"/>
              </w:rPr>
              <w:t>Forfeited</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14.44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8.67</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6"/>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September 30, 2022</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39.54</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t>
            </w:r>
          </w:p>
        </w:tc>
      </w:tr>
      <w:tr>
        <w:trPr>
          <w:trHeight w:val="196"/>
        </w:trPr>
        <w:tc>
          <w:tcPr>
            <w:tcW w:w="4660" w:type="dxa"/>
            <w:vAlign w:val="bottom"/>
          </w:tcPr>
          <w:p>
            <w:pPr>
              <w:spacing w:after="0"/>
              <w:rPr>
                <w:sz w:val="20"/>
                <w:szCs w:val="20"/>
                <w:color w:val="auto"/>
              </w:rPr>
            </w:pPr>
            <w:r>
              <w:rPr>
                <w:rFonts w:ascii="Arial" w:cs="Arial" w:eastAsia="Arial" w:hAnsi="Arial"/>
                <w:sz w:val="16"/>
                <w:szCs w:val="16"/>
                <w:color w:val="auto"/>
              </w:rPr>
              <w:t>Exercisable, September 30, 2022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18.02</w:t>
            </w:r>
          </w:p>
        </w:tc>
        <w:tc>
          <w:tcPr>
            <w:tcW w:w="1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14.07</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8.99</w:t>
            </w:r>
          </w:p>
        </w:tc>
        <w:tc>
          <w:tcPr>
            <w:tcW w:w="2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ind w:left="380"/>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As of September 30, 2022, approximately 1,075,000 options remained nonvested. Unrecognized compensation expense related to these options at September 30, 2022 was $5,655 and is expected to be recognized over 9.66 years.</w:t>
      </w:r>
    </w:p>
    <w:p>
      <w:pPr>
        <w:spacing w:after="0" w:line="83"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On March 31, 2020, the Company filed a registration statement on Form S-8 to register with the SEC approximately 2.3 million shares of Legacy common stock available for issuance under the 2018 Incentive Compensation Plan. The registration statement became effective upon filing.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02"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The provision for income tax expense for the nine months ended September 30, 2022 and 2021 was $10,210 and $7,427, respectively. The effective tax rate for the nine months ended September 30, 2022 was 17.5% and differs from the federal statutory rate of 21% primarily due to a federal tax credit for energy efficient construction and partially offset by state income taxes. The effective tax rate for the nine months ended September 30, 2021 was 17.0% and differs from the federal statutory rate of 21% primarily due to a federal tax credit for energy efficient construction and partially offset by state income taxes.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COMMITMENTS AND CONTINGENCIES</w:t>
      </w:r>
    </w:p>
    <w:p>
      <w:pPr>
        <w:spacing w:after="0" w:line="189" w:lineRule="exact"/>
        <w:rPr>
          <w:sz w:val="20"/>
          <w:szCs w:val="20"/>
          <w:color w:val="auto"/>
        </w:rPr>
      </w:pPr>
    </w:p>
    <w:p>
      <w:pPr>
        <w:ind w:left="60" w:right="299" w:firstLine="648"/>
        <w:spacing w:after="0" w:line="342" w:lineRule="auto"/>
        <w:rPr>
          <w:sz w:val="20"/>
          <w:szCs w:val="20"/>
          <w:color w:val="auto"/>
        </w:rPr>
      </w:pPr>
      <w:r>
        <w:rPr>
          <w:rFonts w:ascii="Arial" w:cs="Arial" w:eastAsia="Arial" w:hAnsi="Arial"/>
          <w:sz w:val="16"/>
          <w:szCs w:val="16"/>
          <w:color w:val="auto"/>
        </w:rPr>
        <w:t>As of January 1, 2020, the Company instituted a self-insured health benefits plan with a stop-loss policy, which provides medical benefits to employees electing coverage under the plan. The Company estimates and records costs for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At September 30, 2022 and December 31, 2021, the Company accrued a $206 and $373, respectively, liability for incurred but not reported claims.</w:t>
      </w:r>
    </w:p>
    <w:p>
      <w:pPr>
        <w:spacing w:after="0" w:line="131"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maximum amount for which the Company was liable under such agreements totaled $9,905 and $4,908 at September 30, 2022 and December 31, 2021, respectively, without reduction for the resale value of the homes. The Company considers its obligations on current contracts to be insignificant and accordingly have not recorded any reserve for repurchase commitment as of September 30, 2022 and December 31, 2021.</w:t>
      </w:r>
    </w:p>
    <w:p>
      <w:pPr>
        <w:spacing w:after="0" w:line="151"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The Company leases facilities under operating leases that typically have 10-year terms. These leases</w:t>
      </w:r>
      <w:r>
        <w:rPr>
          <w:rFonts w:ascii="Arial" w:cs="Arial" w:eastAsia="Arial" w:hAnsi="Arial"/>
          <w:sz w:val="17"/>
          <w:szCs w:val="17"/>
          <w:i w:val="1"/>
          <w:iCs w:val="1"/>
          <w:color w:val="auto"/>
        </w:rPr>
        <w:t xml:space="preserve"> </w:t>
      </w:r>
      <w:r>
        <w:rPr>
          <w:rFonts w:ascii="Arial" w:cs="Arial" w:eastAsia="Arial" w:hAnsi="Arial"/>
          <w:sz w:val="17"/>
          <w:szCs w:val="17"/>
          <w:color w:val="auto"/>
        </w:rPr>
        <w:t>usually offer the Company a right of first refusal that affords the Company the option to purchase the leased premises under certain terms in the event the landlord attempts to sell the leased premises to a third party. Rent expense was $180 and $140 for the three months ended September 30, 2022 and 2021, respectively, and $530 and $436 for the nine months ended September 30, 2022 and 2021, respectively. The Company also subleases properties to third parties, ranging from 3-year to 11-year terms with various renewal options. Rental income from the subleased property was approximately $55 and $82 for the three months ended September 30, 2022 and 2021, respectively, and approximately $165 and $263 for the nine months ended September 30, 2022 and 2021, respectively. See Note 5 – Leases, for a schedule of the Company’s future minimum lease commitments.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The Company has determined that it is probable that it has some liability related to the claims. The Company has included legal reserves of $1,362 and $2,764 as of September 30, 2022 and December 31, 2021, respectively, in accrued liabilities on the accompanying condensed balance sheets.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FAIR VALUE MEASUREMENTS</w:t>
      </w:r>
    </w:p>
    <w:p>
      <w:pPr>
        <w:spacing w:after="0" w:line="18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 xml:space="preserve">The Company accounts for its investments and derivative instruments in accordance with ASC 820-10,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w:t>
      </w:r>
      <w:r>
        <w:rPr>
          <w:rFonts w:ascii="Arial" w:cs="Arial" w:eastAsia="Arial" w:hAnsi="Arial"/>
          <w:sz w:val="18"/>
          <w:szCs w:val="18"/>
          <w:color w:val="auto"/>
        </w:rPr>
        <w:t>which among other things provides the framework for measuring fair value. That framework provides a fair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820-10,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are as follows:</w:t>
      </w:r>
    </w:p>
    <w:p>
      <w:pPr>
        <w:spacing w:after="0" w:line="152" w:lineRule="exact"/>
        <w:rPr>
          <w:sz w:val="20"/>
          <w:szCs w:val="20"/>
          <w:color w:val="auto"/>
        </w:rPr>
      </w:pPr>
    </w:p>
    <w:p>
      <w:pPr>
        <w:ind w:left="1520" w:right="219" w:hanging="841"/>
        <w:spacing w:after="0" w:line="258" w:lineRule="auto"/>
        <w:tabs>
          <w:tab w:leader="none" w:pos="150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8"/>
          <w:szCs w:val="18"/>
          <w:color w:val="auto"/>
        </w:rPr>
        <w:t>Quoted prices are available in active markets for identical assets or liabilities that the reporting entity has the ability to access at the measurement date.</w:t>
      </w:r>
    </w:p>
    <w:p>
      <w:pPr>
        <w:spacing w:after="0" w:line="1" w:lineRule="exact"/>
        <w:rPr>
          <w:sz w:val="20"/>
          <w:szCs w:val="20"/>
          <w:color w:val="auto"/>
        </w:rPr>
      </w:pPr>
    </w:p>
    <w:p>
      <w:pPr>
        <w:ind w:left="1540" w:right="379" w:hanging="841"/>
        <w:spacing w:after="0" w:line="323" w:lineRule="auto"/>
        <w:tabs>
          <w:tab w:leader="none" w:pos="152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Significant observable inputs other than quoted prices in active markets for which inputs to the valuation methodology include: (1) Quoted prices for similar assets or liabilities in active markets;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1540" w:right="199" w:firstLine="1"/>
        <w:spacing w:after="0" w:line="253" w:lineRule="auto"/>
        <w:tabs>
          <w:tab w:leader="none" w:pos="1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 (3) Inputs other than quoted prices that are observable;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3" w:lineRule="exact"/>
        <w:rPr>
          <w:sz w:val="20"/>
          <w:szCs w:val="20"/>
          <w:color w:val="auto"/>
        </w:rPr>
      </w:pPr>
    </w:p>
    <w:p>
      <w:pPr>
        <w:ind w:left="1540" w:right="539" w:hanging="841"/>
        <w:spacing w:after="0" w:line="260" w:lineRule="auto"/>
        <w:tabs>
          <w:tab w:leader="none" w:pos="1520" w:val="left"/>
        </w:tabs>
        <w:rPr>
          <w:sz w:val="20"/>
          <w:szCs w:val="20"/>
          <w:color w:val="auto"/>
        </w:rPr>
      </w:pPr>
      <w:r>
        <w:rPr>
          <w:rFonts w:ascii="Arial" w:cs="Arial" w:eastAsia="Arial" w:hAnsi="Arial"/>
          <w:sz w:val="18"/>
          <w:szCs w:val="18"/>
          <w:color w:val="auto"/>
        </w:rPr>
        <w:t>Level III</w:t>
        <w:tab/>
        <w:t>Significant unobservable inputs that reflect an entity’s own assumptions that market participants would use in pricing the assets or liabilities.</w:t>
      </w:r>
    </w:p>
    <w:p>
      <w:pPr>
        <w:spacing w:after="0" w:line="145"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asset or liability fair value measurement level within the fair value hierarchy is based on the lowest level of any input that is significant to the fair value measurement.</w:t>
      </w:r>
    </w:p>
    <w:p>
      <w:pPr>
        <w:spacing w:after="0" w:line="143"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The Company has used derivatives to manage risks related to interest rate movements. The Company does not enter into derivative contracts for speculative purposes. Interest rate swap contracts are recognized as assets or liabilities on the balance sheets and are measured at fair value. The fair value was calculated and provided by the lender, a Level II valuation technique. Management reviewed the fair values for the instruments as provided by the lender and determined the related asset and liability to be an accurate estimate of future gains and losses to the Company. The Company is not a party to any interest rate swaps as of September 30, 2022.</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accounts receivable, consumer loans, MHP Notes, other note receivables, accounts payable, lines of credit, notes payable, and dealer portion of consumer loans.</w:t>
      </w:r>
    </w:p>
    <w:p>
      <w:pPr>
        <w:spacing w:after="0" w:line="157"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The carrying amounts of cash and cash equivalents, accounts receivable, and accounts payable approximate their respective fair values because of the short-term maturities or expected settlement dates of these instruments. This is considered a Level I valuation technique. The lines of credit, notes payable, part of the MHP Notes and part of the other note receivables have variable interest rates that reflect market rates and their fair value approximates their carrying value. This is considered a Level II valuation technique. The Company also assessed the fair value of the consumer loans receivable, the fixed rate MHP Notes and the portion of other note receivables with fixed rates based on the discounted value of the remaining principal and interest cash flows. The Company determined that the fair value of the consumer loan portfolio was approximately $134,500 compared to the book value of $134,450 as of September 30, 2022, and a fair value of approximately $125,600 compared to the book value of $125,623 as of December 31, 2021. The Company determined that the fair value of the fixed rate MHP Notes was approximately $116,900 compared to the book value of $118,300 as of September 30, 2022, and a fair value of approximately $83,000 compared to the book value of $83,773 as of December 31, 2021. The Company determined that the fair value of the fixed rate other notes was approximately $19,700 compared to the book value of $20,759 as of September 30, 2022, and a fair value of approximately $38,500 compared to the book value of $38,886 as of December 31, 2021. This is a Level III valuation technique.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60" w:right="79"/>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EARNINGS PER SHARE</w:t>
      </w:r>
    </w:p>
    <w:p>
      <w:pPr>
        <w:spacing w:after="0" w:line="18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Basic earnings per common share (“EPS”) is computed based on the weighted-average number of common shares outstanding during each reporting period.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6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7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780" w:type="dxa"/>
            <w:vAlign w:val="bottom"/>
          </w:tcPr>
          <w:p>
            <w:pPr>
              <w:ind w:left="100"/>
              <w:spacing w:after="0"/>
              <w:rPr>
                <w:sz w:val="20"/>
                <w:szCs w:val="20"/>
                <w:color w:val="auto"/>
              </w:rPr>
            </w:pPr>
            <w:r>
              <w:rPr>
                <w:rFonts w:ascii="Arial" w:cs="Arial" w:eastAsia="Arial" w:hAnsi="Arial"/>
                <w:sz w:val="18"/>
                <w:szCs w:val="18"/>
                <w:color w:val="auto"/>
              </w:rPr>
              <w:t>Net income (in 000's)</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14,735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12,993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48,088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36,341</w:t>
            </w:r>
          </w:p>
        </w:tc>
      </w:tr>
      <w:tr>
        <w:trPr>
          <w:trHeight w:val="209"/>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02"/>
        </w:trPr>
        <w:tc>
          <w:tcPr>
            <w:tcW w:w="2780" w:type="dxa"/>
            <w:vAlign w:val="bottom"/>
          </w:tcPr>
          <w:p>
            <w:pPr>
              <w:ind w:left="100"/>
              <w:spacing w:after="0" w:line="201" w:lineRule="exact"/>
              <w:rPr>
                <w:sz w:val="20"/>
                <w:szCs w:val="20"/>
                <w:color w:val="auto"/>
              </w:rPr>
            </w:pPr>
            <w:r>
              <w:rPr>
                <w:rFonts w:ascii="Arial" w:cs="Arial" w:eastAsia="Arial" w:hAnsi="Arial"/>
                <w:sz w:val="18"/>
                <w:szCs w:val="18"/>
                <w:color w:val="auto"/>
                <w:w w:val="99"/>
              </w:rPr>
              <w:t>Basic weighted-average common</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2780" w:type="dxa"/>
            <w:vAlign w:val="bottom"/>
          </w:tcPr>
          <w:p>
            <w:pPr>
              <w:ind w:left="100"/>
              <w:spacing w:after="0"/>
              <w:rPr>
                <w:sz w:val="20"/>
                <w:szCs w:val="20"/>
                <w:color w:val="auto"/>
              </w:rPr>
            </w:pPr>
            <w:r>
              <w:rPr>
                <w:rFonts w:ascii="Arial" w:cs="Arial" w:eastAsia="Arial" w:hAnsi="Arial"/>
                <w:sz w:val="18"/>
                <w:szCs w:val="18"/>
                <w:color w:val="auto"/>
              </w:rPr>
              <w:t>shares outstanding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24,406,020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24,204,362</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24,356,809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24,202,053</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780" w:type="dxa"/>
            <w:vAlign w:val="bottom"/>
          </w:tcPr>
          <w:p>
            <w:pPr>
              <w:ind w:left="100"/>
              <w:spacing w:after="0"/>
              <w:rPr>
                <w:sz w:val="20"/>
                <w:szCs w:val="20"/>
                <w:color w:val="auto"/>
              </w:rPr>
            </w:pPr>
            <w:r>
              <w:rPr>
                <w:rFonts w:ascii="Arial" w:cs="Arial" w:eastAsia="Arial" w:hAnsi="Arial"/>
                <w:sz w:val="18"/>
                <w:szCs w:val="18"/>
                <w:color w:val="auto"/>
              </w:rPr>
              <w:t>Restricted stock grants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260,114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13,280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267,796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10,478</w:t>
            </w:r>
          </w:p>
        </w:tc>
      </w:tr>
      <w:tr>
        <w:trPr>
          <w:trHeight w:val="216"/>
        </w:trPr>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712,982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66,024</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399,883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67,315</w:t>
            </w:r>
          </w:p>
        </w:tc>
      </w:tr>
      <w:tr>
        <w:trPr>
          <w:trHeight w:val="182"/>
        </w:trPr>
        <w:tc>
          <w:tcPr>
            <w:tcW w:w="2780" w:type="dxa"/>
            <w:vAlign w:val="bottom"/>
          </w:tcPr>
          <w:p>
            <w:pPr>
              <w:ind w:left="100"/>
              <w:spacing w:after="0" w:line="182" w:lineRule="exact"/>
              <w:rPr>
                <w:sz w:val="20"/>
                <w:szCs w:val="20"/>
                <w:color w:val="auto"/>
              </w:rPr>
            </w:pPr>
            <w:r>
              <w:rPr>
                <w:rFonts w:ascii="Arial" w:cs="Arial" w:eastAsia="Arial" w:hAnsi="Arial"/>
                <w:sz w:val="18"/>
                <w:szCs w:val="18"/>
                <w:color w:val="auto"/>
                <w:w w:val="95"/>
              </w:rPr>
              <w:t>Diluted weighted-average common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0"/>
        </w:trPr>
        <w:tc>
          <w:tcPr>
            <w:tcW w:w="2780" w:type="dxa"/>
            <w:vAlign w:val="bottom"/>
          </w:tcPr>
          <w:p>
            <w:pPr>
              <w:ind w:left="100"/>
              <w:spacing w:after="0"/>
              <w:rPr>
                <w:sz w:val="20"/>
                <w:szCs w:val="20"/>
                <w:color w:val="auto"/>
              </w:rPr>
            </w:pPr>
            <w:r>
              <w:rPr>
                <w:rFonts w:ascii="Arial" w:cs="Arial" w:eastAsia="Arial" w:hAnsi="Arial"/>
                <w:sz w:val="18"/>
                <w:szCs w:val="18"/>
                <w:color w:val="auto"/>
              </w:rPr>
              <w:t>shares outstanding</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25,379,116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24,283,666</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25,024,488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24,279,846</w:t>
            </w: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per share attributable to</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Legacy Housing Corporation</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6"/>
        </w:trPr>
        <w:tc>
          <w:tcPr>
            <w:tcW w:w="2780" w:type="dxa"/>
            <w:vAlign w:val="bottom"/>
          </w:tcPr>
          <w:p>
            <w:pPr>
              <w:ind w:left="100"/>
              <w:spacing w:after="0"/>
              <w:rPr>
                <w:sz w:val="20"/>
                <w:szCs w:val="20"/>
                <w:color w:val="auto"/>
              </w:rPr>
            </w:pPr>
            <w:r>
              <w:rPr>
                <w:rFonts w:ascii="Arial" w:cs="Arial" w:eastAsia="Arial" w:hAnsi="Arial"/>
                <w:sz w:val="18"/>
                <w:szCs w:val="18"/>
                <w:color w:val="auto"/>
              </w:rPr>
              <w:t>Basic</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2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bl>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RELATED PARTY TRANSACTIONS</w:t>
      </w:r>
    </w:p>
    <w:p>
      <w:pPr>
        <w:spacing w:after="0" w:line="189"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Bell Mobile Homes, a retailer owned by one of the Company’s significant owners, purchases manufactured homes from the Company. Accounts receivable balances due from Bell Mobile Homes were $57 and $1 as of September 30, 2022 and December 31, 2021, respectively. Accounts payable balances due to Bell Mobile Homes for maintenance and related services were $57 and $49 as of September 30, 2022 and December 31, 2021, respectively. Home sales to Bell Mobile Homes were $695 and $1,750 for the three months ended September 30, 2022 and 2021, respectively, and $2,550 and $3,143 for the nine months ended September 30, 2022 and 2021, respectively.</w:t>
      </w:r>
    </w:p>
    <w:p>
      <w:pPr>
        <w:spacing w:after="0" w:line="137"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Shipley Bros., Ltd. (“Shipley Bros.”), a retailer owned by one of the Company’s significant shareholders, purchases manufactured homes from the Company. Home sales to Shipley Bros. were $524 and $1,047 for the three months ended September 30, 2022 and 2021, respectively, and $2,235 and $2,486 for the nine months ended September 30, 2022 and 2021, respectively. Accounts receivable balances due from Shipley Bros. were $117 and $0 as of September 30, 2022 and December 31, 2021, respectively. There were no accounts payable balances due to Shipley Bros. as of September 30, 2022 and December 31, 2021,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SUBSEQUENT EVENTS</w:t>
      </w:r>
    </w:p>
    <w:p>
      <w:pPr>
        <w:spacing w:after="0" w:line="189"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On November 3, 2022, Legacy’s Board of Directors unanimously approved a stock repurchase program that will enable the Company to repurchase up to $10,000 of its outstanding common stock. The timing and amount of any shares purchased will be determined by the Company’s management based on its evaluation of market conditions and other factors. The repurchase program will be in effect until October 31, 2025.</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181" w:lineRule="exact"/>
        <w:rPr>
          <w:sz w:val="20"/>
          <w:szCs w:val="20"/>
          <w:color w:val="auto"/>
        </w:rPr>
      </w:pPr>
    </w:p>
    <w:p>
      <w:pPr>
        <w:jc w:val="center"/>
        <w:ind w:left="2260" w:right="860"/>
        <w:spacing w:after="0" w:line="442" w:lineRule="auto"/>
        <w:rPr>
          <w:sz w:val="20"/>
          <w:szCs w:val="20"/>
          <w:color w:val="auto"/>
        </w:rPr>
      </w:pPr>
      <w:r>
        <w:rPr>
          <w:rFonts w:ascii="Arial" w:cs="Arial" w:eastAsia="Arial" w:hAnsi="Arial"/>
          <w:sz w:val="18"/>
          <w:szCs w:val="18"/>
          <w:b w:val="1"/>
          <w:bCs w:val="1"/>
          <w:color w:val="auto"/>
        </w:rPr>
        <w:t>LEGACY HOUSING CORPORATION NOTES TO CONDENSED FINANCIAL STATEMENTS (UNAUDITED) (dollars in thousands)</w:t>
      </w:r>
    </w:p>
    <w:p>
      <w:pPr>
        <w:spacing w:after="0" w:line="200" w:lineRule="exact"/>
        <w:rPr>
          <w:sz w:val="20"/>
          <w:szCs w:val="20"/>
          <w:color w:val="auto"/>
        </w:rPr>
      </w:pPr>
    </w:p>
    <w:p>
      <w:pPr>
        <w:spacing w:after="0" w:line="230" w:lineRule="exact"/>
        <w:rPr>
          <w:sz w:val="20"/>
          <w:szCs w:val="20"/>
          <w:color w:val="auto"/>
        </w:rPr>
      </w:pPr>
    </w:p>
    <w:p>
      <w:pPr>
        <w:ind w:left="60" w:right="839" w:firstLine="648"/>
        <w:spacing w:after="0" w:line="277" w:lineRule="auto"/>
        <w:rPr>
          <w:sz w:val="20"/>
          <w:szCs w:val="20"/>
          <w:color w:val="auto"/>
        </w:rPr>
      </w:pPr>
      <w:r>
        <w:rPr>
          <w:rFonts w:ascii="Arial" w:cs="Arial" w:eastAsia="Arial" w:hAnsi="Arial"/>
          <w:sz w:val="18"/>
          <w:szCs w:val="18"/>
          <w:color w:val="auto"/>
        </w:rPr>
        <w:t>In connection with the preparation of these financial statements, an evaluation of subsequent events was performed through the date of filing.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left="60" w:right="179" w:firstLine="713"/>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the financial statements and accompanying notes and the information contained in other sections of this Form 10-Q. It contains forward-looking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forward-looking statements as a result of various factors, including those discussed in this Form 10-Q and in our Registration Statement on Form S-1, particularly under the heading “Risk Factors.”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60" w:right="119" w:firstLine="648"/>
        <w:spacing w:after="0" w:line="278" w:lineRule="auto"/>
        <w:rPr>
          <w:sz w:val="20"/>
          <w:szCs w:val="20"/>
          <w:color w:val="auto"/>
        </w:rPr>
      </w:pPr>
      <w:r>
        <w:rPr>
          <w:rFonts w:ascii="Arial" w:cs="Arial" w:eastAsia="Arial" w:hAnsi="Arial"/>
          <w:sz w:val="16"/>
          <w:szCs w:val="16"/>
          <w:color w:val="auto"/>
        </w:rPr>
        <w:t>Legacy Housing Corporation builds, sells and finances manufactured homes and “tiny houses” that are distributed through a network of independent retailers and company-owned stores and are sold directly to manufactured housing communities. We are the fifth largest producer of manufactured homes in the United States as ranked by number of homes manufactured based on information available from the Manufactured Housing Institute and IBTS for the twelve month period ending June 30, 2022. With current operations focused primarily in the southern United States, we offer our customers an array of quality homes ranging in size from approximately 390 to 2,667 square feet consisting of 1 to 5 bedrooms, with 1 to 3</w:t>
      </w:r>
      <w:r>
        <w:rPr>
          <w:rFonts w:ascii="Arial" w:cs="Arial" w:eastAsia="Arial" w:hAnsi="Arial"/>
          <w:sz w:val="8"/>
          <w:szCs w:val="8"/>
          <w:color w:val="auto"/>
        </w:rPr>
        <w:t>1</w:t>
      </w:r>
      <w:r>
        <w:rPr>
          <w:rFonts w:ascii="Arial" w:cs="Arial" w:eastAsia="Arial" w:hAnsi="Arial"/>
          <w:sz w:val="16"/>
          <w:szCs w:val="16"/>
          <w:color w:val="auto"/>
        </w:rPr>
        <w:t>/</w:t>
      </w:r>
      <w:r>
        <w:rPr>
          <w:rFonts w:ascii="Arial" w:cs="Arial" w:eastAsia="Arial" w:hAnsi="Arial"/>
          <w:sz w:val="21"/>
          <w:szCs w:val="21"/>
          <w:color w:val="auto"/>
          <w:vertAlign w:val="subscript"/>
        </w:rPr>
        <w:t>2</w:t>
      </w:r>
      <w:r>
        <w:rPr>
          <w:rFonts w:ascii="Arial" w:cs="Arial" w:eastAsia="Arial" w:hAnsi="Arial"/>
          <w:sz w:val="16"/>
          <w:szCs w:val="16"/>
          <w:color w:val="auto"/>
        </w:rPr>
        <w:t xml:space="preserve"> bathrooms. Our homes range in price, at retail, from approximately $22,000 to $140,000. For the three and nine months ended September 30, 2022, we sold 944 and 2,947 home sections, respectively (which are entire homes or single floors that are combined to create complete homes). For the three and nine months ended September 30, 2021, we sold 1,044 and 2,709 home sections, respectively.</w:t>
      </w:r>
    </w:p>
    <w:p>
      <w:pPr>
        <w:spacing w:after="0" w:line="138"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Company has one reportable segment. All of our activities are interrelated, and each activity is dependent and assessed based on how each of the activities of Company supports the others. For example, the sale of manufactured homes includes providing transportation and consignment arrangements with dealers. We also provide financing options to the customers to facilitate such sale of homes. In addition, the sale of homes is directly related to financing provided by us. Accordingly, all significant operating and strategic decisions by the chief operating decision-maker, the Executive Chairman of the Board, are based upon analyses of our company as one segment or unit.</w:t>
      </w:r>
    </w:p>
    <w:p>
      <w:pPr>
        <w:spacing w:after="0" w:line="137" w:lineRule="exact"/>
        <w:rPr>
          <w:sz w:val="20"/>
          <w:szCs w:val="20"/>
          <w:color w:val="auto"/>
        </w:rPr>
      </w:pPr>
    </w:p>
    <w:p>
      <w:pPr>
        <w:ind w:left="60" w:right="119" w:firstLine="713"/>
        <w:spacing w:after="0" w:line="288" w:lineRule="auto"/>
        <w:rPr>
          <w:sz w:val="20"/>
          <w:szCs w:val="20"/>
          <w:color w:val="auto"/>
        </w:rPr>
      </w:pPr>
      <w:r>
        <w:rPr>
          <w:rFonts w:ascii="Arial" w:cs="Arial" w:eastAsia="Arial" w:hAnsi="Arial"/>
          <w:sz w:val="16"/>
          <w:szCs w:val="16"/>
          <w:color w:val="auto"/>
        </w:rPr>
        <w:t>We believe our company is one of the most vertically integrated in the manufactured housing industry, allowing us to offer a complete solution to our customers, from manufacturing custom-made homes using quality materials and distributing those homes through our expansive network of independent retailers and company-owned distribution locations, to providing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on average, approximately 75 home sections, or 62 fully-completed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state-of-the-art kitchens.</w:t>
      </w:r>
    </w:p>
    <w:p>
      <w:pPr>
        <w:spacing w:after="0" w:line="182"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Our homes are marketed under our premier “Legacy” brand name and currently are sold primarily across 15 states through a network of 71 independent retail locations, 13 company-owned retail locations and through direct sales to owners of manufactured home communities. Our 13 company-owned retail locations, including 11 Heritage Housing stores and two Tiny House Outlet stores exclusively sell our homes. For the nine months ended September 30, 2022, approximately 51% of our manufactured homes were sold in Texas, followed by 11% in Georgia, 6% in Florida, 5% in Louisiana and 5% in Arizona. For the nine months ended September 30, 2021, approximately 47% of our manufactured homes were sold in Texas, followed by 15% in Georgia, 10% in Louisiana and 6% in Alabama.</w:t>
      </w:r>
    </w:p>
    <w:p>
      <w:pPr>
        <w:spacing w:after="0" w:line="150"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We offer three types of financing solutions to our customers. We provide floor plan financing for our independent retailers, which takes the form of a consignment arrangement between the retailer and us. We also provide consumer financing for our products which are sold to end-users through both independent and company-owned retail locations, and we provide financing solutions to manufactured housing community owners that buy our products for use in their manufactured housing communities. Our ability to offer competitive financing options at our retail locations provides us with several competitive advantages and allows us to capture sales which may not have otherwise occurred without our ability to offer consumer financing.</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189" w:lineRule="exact"/>
        <w:rPr>
          <w:sz w:val="20"/>
          <w:szCs w:val="20"/>
          <w:color w:val="auto"/>
        </w:rPr>
      </w:pPr>
    </w:p>
    <w:p>
      <w:pPr>
        <w:ind w:left="60" w:right="279" w:firstLine="648"/>
        <w:spacing w:after="0" w:line="255" w:lineRule="auto"/>
        <w:rPr>
          <w:sz w:val="20"/>
          <w:szCs w:val="20"/>
          <w:color w:val="auto"/>
        </w:rPr>
      </w:pPr>
      <w:r>
        <w:rPr>
          <w:rFonts w:ascii="Arial" w:cs="Arial" w:eastAsia="Arial" w:hAnsi="Arial"/>
          <w:sz w:val="18"/>
          <w:szCs w:val="18"/>
          <w:color w:val="auto"/>
        </w:rPr>
        <w:t>Prior to January 1, 2018, we were a Texas limited partnership named Legacy Housing, Ltd. Effective January 1, 2018, we converted into a Delaware corporation pursuant to a statutory conversion, or the Corporate Conversion, and changed our name to Legacy Housing Corporation. All of our outstanding partnership interests were converted on a proportional basis into shares of common stock of Legacy Housing Corporation. Effective December 31, 2019, the Company reincorporated from a Delaware corporation to a Texas corporation. For more information, see “Corporate Conversion” in Note 1.</w:t>
      </w:r>
    </w:p>
    <w:p>
      <w:pPr>
        <w:spacing w:after="0" w:line="152"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Following the Corporate Conversion, Legacy Housing Corporation continues to hold all of the property and assets of Legacy Housing, Ltd. and all of the debts and obligations of Legacy Housing, Ltd. continue as the debts and obligations of Legacy Housing Corporation. The purpose of the Corporate Conversion was to reorganize our corporate structure so that the top-tier entity in our corporate structure is a corporation rather than a limited partnership and so that our existing owners own shares of our common stock rather than partnership interests in a limited partnership. Except as otherwise noted, the financial statements included in this Form 10-Q are those of Legacy Housing Corporation.</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Factors Affecting Our Performance</w:t>
      </w:r>
    </w:p>
    <w:p>
      <w:pPr>
        <w:spacing w:after="0" w:line="189"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We believe that the growth of our business and our future success depend on various opportunities, challenges, trends and other factors, including the following:</w:t>
      </w:r>
    </w:p>
    <w:p>
      <w:pPr>
        <w:spacing w:after="0" w:line="130" w:lineRule="exact"/>
        <w:rPr>
          <w:sz w:val="20"/>
          <w:szCs w:val="20"/>
          <w:color w:val="auto"/>
        </w:rPr>
      </w:pPr>
    </w:p>
    <w:p>
      <w:pPr>
        <w:ind w:left="1040" w:right="79" w:hanging="315"/>
        <w:spacing w:after="0" w:line="26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purchased several properties in our market area for the purpose of developing manufactured housing communities and subdivisions. As of September 30, 2022, these properties include the following (dollars in 000’s):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80" w:type="dxa"/>
            <w:vAlign w:val="bottom"/>
            <w:gridSpan w:val="2"/>
          </w:tcPr>
          <w:p>
            <w:pPr>
              <w:ind w:left="1240"/>
              <w:spacing w:after="0"/>
              <w:rPr>
                <w:sz w:val="20"/>
                <w:szCs w:val="20"/>
                <w:color w:val="auto"/>
              </w:rPr>
            </w:pPr>
            <w:r>
              <w:rPr>
                <w:rFonts w:ascii="Arial" w:cs="Arial" w:eastAsia="Arial" w:hAnsi="Arial"/>
                <w:sz w:val="18"/>
                <w:szCs w:val="18"/>
                <w:color w:val="auto"/>
              </w:rPr>
              <w:t>Location</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Description</w:t>
            </w:r>
          </w:p>
        </w:tc>
        <w:tc>
          <w:tcPr>
            <w:tcW w:w="1500" w:type="dxa"/>
            <w:vAlign w:val="bottom"/>
          </w:tcPr>
          <w:p>
            <w:pPr>
              <w:spacing w:after="0"/>
              <w:rPr>
                <w:sz w:val="20"/>
                <w:szCs w:val="20"/>
                <w:color w:val="auto"/>
              </w:rPr>
            </w:pPr>
            <w:r>
              <w:rPr>
                <w:rFonts w:ascii="Arial" w:cs="Arial" w:eastAsia="Arial" w:hAnsi="Arial"/>
                <w:sz w:val="18"/>
                <w:szCs w:val="18"/>
                <w:color w:val="auto"/>
                <w:w w:val="98"/>
              </w:rPr>
              <w:t>Date of Acquisition</w:t>
            </w:r>
          </w:p>
        </w:tc>
        <w:tc>
          <w:tcPr>
            <w:tcW w:w="16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9"/>
              </w:rPr>
              <w:t>Improvements</w:t>
            </w:r>
          </w:p>
        </w:tc>
        <w:tc>
          <w:tcPr>
            <w:tcW w:w="18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color w:val="auto"/>
              </w:rPr>
              <w:t>Total</w:t>
            </w:r>
          </w:p>
        </w:tc>
      </w:tr>
      <w:tr>
        <w:trPr>
          <w:trHeight w:val="210"/>
        </w:trPr>
        <w:tc>
          <w:tcPr>
            <w:tcW w:w="3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Bastrop County, Texas</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368 Acres</w:t>
            </w:r>
          </w:p>
        </w:tc>
        <w:tc>
          <w:tcPr>
            <w:tcW w:w="2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2018</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w:t>
            </w:r>
          </w:p>
        </w:tc>
      </w:tr>
      <w:tr>
        <w:trPr>
          <w:trHeight w:val="216"/>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Bexar County, Texas</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69 Acres</w:t>
            </w:r>
          </w:p>
        </w:tc>
        <w:tc>
          <w:tcPr>
            <w:tcW w:w="1500" w:type="dxa"/>
            <w:vAlign w:val="bottom"/>
          </w:tcPr>
          <w:p>
            <w:pPr>
              <w:spacing w:after="0"/>
              <w:rPr>
                <w:sz w:val="20"/>
                <w:szCs w:val="20"/>
                <w:color w:val="auto"/>
              </w:rPr>
            </w:pPr>
            <w:r>
              <w:rPr>
                <w:rFonts w:ascii="Arial" w:cs="Arial" w:eastAsia="Arial" w:hAnsi="Arial"/>
                <w:sz w:val="18"/>
                <w:szCs w:val="18"/>
                <w:color w:val="auto"/>
              </w:rPr>
              <w:t>November 2018</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842</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1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Horseshoe Bay, Texas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133 Acres</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7"/>
              </w:rPr>
              <w:t>Various 2018-2019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r>
      <w:tr>
        <w:trPr>
          <w:trHeight w:val="216"/>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Johnson County, Texas</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91.5 Acres</w:t>
            </w:r>
          </w:p>
        </w:tc>
        <w:tc>
          <w:tcPr>
            <w:tcW w:w="1500" w:type="dxa"/>
            <w:vAlign w:val="bottom"/>
          </w:tcPr>
          <w:p>
            <w:pPr>
              <w:spacing w:after="0"/>
              <w:rPr>
                <w:sz w:val="20"/>
                <w:szCs w:val="20"/>
                <w:color w:val="auto"/>
              </w:rPr>
            </w:pPr>
            <w:r>
              <w:rPr>
                <w:rFonts w:ascii="Arial" w:cs="Arial" w:eastAsia="Arial" w:hAnsi="Arial"/>
                <w:sz w:val="18"/>
                <w:szCs w:val="18"/>
                <w:color w:val="auto"/>
              </w:rPr>
              <w:t>July 2019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1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Venus, Texas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50 Acres</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August 2019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16"/>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Wise County, Texas</w:t>
            </w:r>
          </w:p>
        </w:tc>
        <w:tc>
          <w:tcPr>
            <w:tcW w:w="1120" w:type="dxa"/>
            <w:vAlign w:val="bottom"/>
            <w:gridSpan w:val="2"/>
          </w:tcPr>
          <w:p>
            <w:pPr>
              <w:ind w:left="20"/>
              <w:spacing w:after="0"/>
              <w:rPr>
                <w:sz w:val="20"/>
                <w:szCs w:val="20"/>
                <w:color w:val="auto"/>
              </w:rPr>
            </w:pPr>
            <w:r>
              <w:rPr>
                <w:rFonts w:ascii="Arial" w:cs="Arial" w:eastAsia="Arial" w:hAnsi="Arial"/>
                <w:sz w:val="18"/>
                <w:szCs w:val="18"/>
                <w:color w:val="auto"/>
              </w:rPr>
              <w:t>81.5 Acres</w:t>
            </w:r>
          </w:p>
        </w:tc>
        <w:tc>
          <w:tcPr>
            <w:tcW w:w="1500" w:type="dxa"/>
            <w:vAlign w:val="bottom"/>
          </w:tcPr>
          <w:p>
            <w:pPr>
              <w:spacing w:after="0"/>
              <w:rPr>
                <w:sz w:val="20"/>
                <w:szCs w:val="20"/>
                <w:color w:val="auto"/>
              </w:rPr>
            </w:pPr>
            <w:r>
              <w:rPr>
                <w:rFonts w:ascii="Arial" w:cs="Arial" w:eastAsia="Arial" w:hAnsi="Arial"/>
                <w:sz w:val="18"/>
                <w:szCs w:val="18"/>
                <w:color w:val="auto"/>
              </w:rPr>
              <w:t>September 2020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889</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1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Bexar County, Texas</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233 Acres</w:t>
            </w: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February 2021</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r>
      <w:tr>
        <w:trPr>
          <w:trHeight w:val="224"/>
        </w:trPr>
        <w:tc>
          <w:tcPr>
            <w:tcW w:w="3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11,006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4,756</w:t>
            </w: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15,762</w:t>
            </w:r>
          </w:p>
        </w:tc>
      </w:tr>
    </w:tbl>
    <w:p>
      <w:pPr>
        <w:spacing w:after="0" w:line="187" w:lineRule="exact"/>
        <w:rPr>
          <w:sz w:val="20"/>
          <w:szCs w:val="20"/>
          <w:color w:val="auto"/>
        </w:rPr>
      </w:pPr>
    </w:p>
    <w:p>
      <w:pPr>
        <w:ind w:left="1040" w:right="399" w:hanging="315"/>
        <w:spacing w:after="0" w:line="296"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also expect to provide financing solutions to a select group of our manufactured housing community-owner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p>
      <w:pPr>
        <w:spacing w:after="0" w:line="120" w:lineRule="exact"/>
        <w:rPr>
          <w:rFonts w:ascii="Arial" w:cs="Arial" w:eastAsia="Arial" w:hAnsi="Arial"/>
          <w:sz w:val="16"/>
          <w:szCs w:val="16"/>
          <w:color w:val="auto"/>
        </w:rPr>
      </w:pPr>
    </w:p>
    <w:p>
      <w:pPr>
        <w:ind w:left="1040" w:right="99" w:hanging="315"/>
        <w:spacing w:after="0" w:line="288"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Finally, our financial performance will be impacted by our ability to fulfill current orders for our manufactured homes from dealers and customers. Currently, our two Texas manufacturing facilities are operating at near peak capacity, with limited ability to increase the volume of homes produced at those plants. Our Georgia manufacturing facility has unutilized square footage available and with additional investment can add capacity to increase the number of homes that can be manufactured. We intend to increase production at the Georgia facility over time, particularly in response to orders increasingly being generated from new markets in Florida and the Carolinas. In order to maintain our growth, we will need to 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40" w:right="479" w:hanging="315"/>
        <w:spacing w:after="0" w:line="263"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coronavirus pandemic is an evolving threat to the economy and all businesses. At this time both the duration of the pandemic and the magnitude of the economic consequences are unknown. Risks to the Company include but are not limited to:</w:t>
      </w:r>
    </w:p>
    <w:p>
      <w:pPr>
        <w:spacing w:after="0" w:line="184" w:lineRule="exact"/>
        <w:rPr>
          <w:sz w:val="20"/>
          <w:szCs w:val="20"/>
          <w:color w:val="auto"/>
        </w:rPr>
      </w:pPr>
    </w:p>
    <w:p>
      <w:pPr>
        <w:ind w:left="1700" w:right="359" w:hanging="327"/>
        <w:spacing w:after="0" w:line="289" w:lineRule="auto"/>
        <w:tabs>
          <w:tab w:leader="none" w:pos="1700" w:val="left"/>
        </w:tabs>
        <w:numPr>
          <w:ilvl w:val="0"/>
          <w:numId w:val="9"/>
        </w:numPr>
        <w:rPr>
          <w:rFonts w:ascii="Courier New" w:cs="Courier New" w:eastAsia="Courier New" w:hAnsi="Courier New"/>
          <w:sz w:val="17"/>
          <w:szCs w:val="17"/>
          <w:color w:val="auto"/>
        </w:rPr>
      </w:pPr>
      <w:r>
        <w:rPr>
          <w:rFonts w:ascii="Arial" w:cs="Arial" w:eastAsia="Arial" w:hAnsi="Arial"/>
          <w:sz w:val="17"/>
          <w:szCs w:val="17"/>
          <w:color w:val="auto"/>
        </w:rPr>
        <w:t>increased loan losses or deferred loan payments as loan obligors suffer cash flow issues resulting from reduced employment, reduced rental income or unit sales, or other factors;</w:t>
      </w:r>
    </w:p>
    <w:p>
      <w:pPr>
        <w:spacing w:after="0" w:line="159" w:lineRule="exact"/>
        <w:rPr>
          <w:rFonts w:ascii="Courier New" w:cs="Courier New" w:eastAsia="Courier New" w:hAnsi="Courier New"/>
          <w:sz w:val="17"/>
          <w:szCs w:val="17"/>
          <w:color w:val="auto"/>
        </w:rPr>
      </w:pPr>
    </w:p>
    <w:p>
      <w:pPr>
        <w:jc w:val="both"/>
        <w:ind w:left="1700" w:right="119" w:hanging="327"/>
        <w:spacing w:after="0" w:line="254" w:lineRule="auto"/>
        <w:tabs>
          <w:tab w:leader="none" w:pos="17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reduced sales volume as potential customers are unable to shop for new homes or cannot qualify for a home purchase, retail dealers or company stores reduce or stop operations, or MHP owners reduce their future home purchases;</w:t>
      </w:r>
    </w:p>
    <w:p>
      <w:pPr>
        <w:spacing w:after="0" w:line="189" w:lineRule="exact"/>
        <w:rPr>
          <w:rFonts w:ascii="Courier New" w:cs="Courier New" w:eastAsia="Courier New" w:hAnsi="Courier New"/>
          <w:sz w:val="18"/>
          <w:szCs w:val="18"/>
          <w:color w:val="auto"/>
        </w:rPr>
      </w:pPr>
    </w:p>
    <w:p>
      <w:pPr>
        <w:ind w:left="1700" w:right="159" w:hanging="327"/>
        <w:spacing w:after="0" w:line="272" w:lineRule="auto"/>
        <w:tabs>
          <w:tab w:leader="none" w:pos="1700" w:val="left"/>
        </w:tabs>
        <w:numPr>
          <w:ilvl w:val="0"/>
          <w:numId w:val="9"/>
        </w:numPr>
        <w:rPr>
          <w:rFonts w:ascii="Courier New" w:cs="Courier New" w:eastAsia="Courier New" w:hAnsi="Courier New"/>
          <w:sz w:val="17"/>
          <w:szCs w:val="17"/>
          <w:color w:val="auto"/>
        </w:rPr>
      </w:pPr>
      <w:r>
        <w:rPr>
          <w:rFonts w:ascii="Arial" w:cs="Arial" w:eastAsia="Arial" w:hAnsi="Arial"/>
          <w:sz w:val="17"/>
          <w:szCs w:val="17"/>
          <w:color w:val="auto"/>
        </w:rPr>
        <w:t>reduced production resulting from factors such as the spread of the illness through the Company’s workforce or the impact of government interventions on labor force participation, reduced product demand, or government-mandated closures of our factories, company-owned stores, or retail lots of independent dealers who carry our products;</w:t>
      </w:r>
    </w:p>
    <w:p>
      <w:pPr>
        <w:spacing w:after="0" w:line="176" w:lineRule="exact"/>
        <w:rPr>
          <w:rFonts w:ascii="Courier New" w:cs="Courier New" w:eastAsia="Courier New" w:hAnsi="Courier New"/>
          <w:sz w:val="17"/>
          <w:szCs w:val="17"/>
          <w:color w:val="auto"/>
        </w:rPr>
      </w:pPr>
    </w:p>
    <w:p>
      <w:pPr>
        <w:ind w:left="1700" w:right="559" w:hanging="327"/>
        <w:spacing w:after="0" w:line="323" w:lineRule="auto"/>
        <w:tabs>
          <w:tab w:leader="none" w:pos="1700" w:val="left"/>
        </w:tabs>
        <w:numPr>
          <w:ilvl w:val="0"/>
          <w:numId w:val="9"/>
        </w:numPr>
        <w:rPr>
          <w:rFonts w:ascii="Courier New" w:cs="Courier New" w:eastAsia="Courier New" w:hAnsi="Courier New"/>
          <w:sz w:val="16"/>
          <w:szCs w:val="16"/>
          <w:color w:val="auto"/>
        </w:rPr>
      </w:pPr>
      <w:r>
        <w:rPr>
          <w:rFonts w:ascii="Arial" w:cs="Arial" w:eastAsia="Arial" w:hAnsi="Arial"/>
          <w:sz w:val="16"/>
          <w:szCs w:val="16"/>
          <w:color w:val="auto"/>
        </w:rPr>
        <w:t>delays in development projects as zoning, regulatory, and permitting decisions are likely to be postponed and the expected negative impact of the pandemic on the construction industry;</w:t>
      </w:r>
    </w:p>
    <w:p>
      <w:pPr>
        <w:spacing w:after="0" w:line="133" w:lineRule="exact"/>
        <w:rPr>
          <w:rFonts w:ascii="Courier New" w:cs="Courier New" w:eastAsia="Courier New" w:hAnsi="Courier New"/>
          <w:sz w:val="16"/>
          <w:szCs w:val="16"/>
          <w:color w:val="auto"/>
        </w:rPr>
      </w:pPr>
    </w:p>
    <w:p>
      <w:pPr>
        <w:ind w:left="1700" w:right="559" w:hanging="327"/>
        <w:spacing w:after="0" w:line="259" w:lineRule="auto"/>
        <w:tabs>
          <w:tab w:leader="none" w:pos="17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reduced raw material availability related to global supply chain disruption from the pandemic, including possible border closures;</w:t>
      </w:r>
    </w:p>
    <w:p>
      <w:pPr>
        <w:spacing w:after="0" w:line="184" w:lineRule="exact"/>
        <w:rPr>
          <w:rFonts w:ascii="Courier New" w:cs="Courier New" w:eastAsia="Courier New" w:hAnsi="Courier New"/>
          <w:sz w:val="18"/>
          <w:szCs w:val="18"/>
          <w:color w:val="auto"/>
        </w:rPr>
      </w:pPr>
    </w:p>
    <w:p>
      <w:pPr>
        <w:ind w:left="1700" w:hanging="327"/>
        <w:spacing w:after="0"/>
        <w:tabs>
          <w:tab w:leader="none" w:pos="17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decreased cash flow from operations which could negatively affect our liquidity;</w:t>
      </w:r>
    </w:p>
    <w:p>
      <w:pPr>
        <w:spacing w:after="0" w:line="209" w:lineRule="exact"/>
        <w:rPr>
          <w:rFonts w:ascii="Courier New" w:cs="Courier New" w:eastAsia="Courier New" w:hAnsi="Courier New"/>
          <w:sz w:val="18"/>
          <w:szCs w:val="18"/>
          <w:color w:val="auto"/>
        </w:rPr>
      </w:pPr>
    </w:p>
    <w:p>
      <w:pPr>
        <w:jc w:val="both"/>
        <w:ind w:left="1700" w:right="519" w:hanging="327"/>
        <w:spacing w:after="0" w:line="254" w:lineRule="auto"/>
        <w:tabs>
          <w:tab w:leader="none" w:pos="170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an outbreak of illness among our management and accounting staff could negatively affect our ability to maintain operations, operate our financial systems, delay our statutory reporting, and reduce our internal control of financial reporting.</w:t>
      </w:r>
    </w:p>
    <w:p>
      <w:pPr>
        <w:spacing w:after="0" w:line="190" w:lineRule="exact"/>
        <w:rPr>
          <w:sz w:val="20"/>
          <w:szCs w:val="20"/>
          <w:color w:val="auto"/>
        </w:rPr>
      </w:pPr>
    </w:p>
    <w:p>
      <w:pPr>
        <w:ind w:left="1020" w:right="159"/>
        <w:spacing w:after="0" w:line="263" w:lineRule="auto"/>
        <w:rPr>
          <w:sz w:val="20"/>
          <w:szCs w:val="20"/>
          <w:color w:val="auto"/>
        </w:rPr>
      </w:pPr>
      <w:r>
        <w:rPr>
          <w:rFonts w:ascii="Arial" w:cs="Arial" w:eastAsia="Arial" w:hAnsi="Arial"/>
          <w:sz w:val="18"/>
          <w:szCs w:val="18"/>
          <w:color w:val="auto"/>
        </w:rPr>
        <w:t>We continue to monitor government responses to support the economy and evaluate how those actions might mitigate the risks noted above. At this time, we believe that the pandemic will have a negative effect on our financial results that could range from minor to material.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the information set forth in the financial statements and the accompanying notes appearing elsewhere in this Form 10-Q.</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Comparison of Three Months ended September 30, 2022 and 2021 (in thousands)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 change</w:t>
            </w:r>
          </w:p>
        </w:tc>
        <w:tc>
          <w:tcPr>
            <w:tcW w:w="102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48,678</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48,300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80.6 %</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56,470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6,727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1,681</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16,862</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15,328</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w:t>
            </w: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60.3 %</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448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17,571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1,857</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14,735</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12,993</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159" w:firstLine="648"/>
        <w:spacing w:after="0" w:line="311" w:lineRule="auto"/>
        <w:rPr>
          <w:sz w:val="20"/>
          <w:szCs w:val="20"/>
          <w:color w:val="auto"/>
        </w:rPr>
      </w:pPr>
      <w:r>
        <w:rPr>
          <w:rFonts w:ascii="Arial" w:cs="Arial" w:eastAsia="Arial" w:hAnsi="Arial"/>
          <w:sz w:val="16"/>
          <w:szCs w:val="16"/>
          <w:color w:val="auto"/>
        </w:rPr>
        <w:t>Product sales primarily consist of direct sales, commercial sales, consignment sales and retail store sales. Product sales increased $0.4 million, or 0.8%, during the three months ended September 30, 2022 as compared to the same period in 2021. This increase was driven by higher average sales price offset by a decrease in unit volumes.</w:t>
      </w:r>
    </w:p>
    <w:p>
      <w:pPr>
        <w:spacing w:after="0" w:line="108"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Net revenue attributable to our factory-built housing consisted of the following during the three months of 2022 and 2021:</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5"/>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 Change</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Products sold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48,678</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48,300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products sold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Net revenue per product sold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64.6</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For the three months ended September 30, 2022, our net revenue per product sold increased because of increases to our product prices due to rising material and labor costs, which resulted in higher home sales prices and more revenue generated per home sold. We had increases in direct sales and commercial sales partially offset by a decline in consignment sales, retail store sales and other product sales. Sales through our company-owned retail stores have higher margins than our direct sales and consignment sales. For the three months ending September 30, 2022, we experienced a decrease in net revenue attributable to product sales due to the Company and the State of Georgia’s efforts to evaluate and improve the quality and consistency of homes manufactured in our Eatonton facility. These efforts have resulted in a temporary decrease in the rate of issuing HUD Labels of Certification and shipping finished homes from our Eatonton facility. We plan to increase shipments from our Eatonton facility during the fourth quarter and meet or exceed historical levels by early 2023.</w:t>
      </w:r>
    </w:p>
    <w:p>
      <w:pPr>
        <w:spacing w:after="0" w:line="145"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Consumer and MHP loans interest income declined $0.3 million, or 3.5%, during the three months ended September 30, 2022 as compared to the same period in 2021 and is primarily related to our increase in outstanding consumer loan portfolio partially offset by a decrease in outstanding MHP Note portfolio. The consumer loan portfolio has a higher average contractual interest rate compared to the MHP Note portfolio average contractual interest rate. On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September 30, 2021, we collected $44.9 million in principal payment from one of our borrowers. As a result of this payment, MHP loan interest income decreased during 2022 as compared to 2021. Between September 30, 2022 and September 30, 2021 our consumer loan portfolio increased by $12.8 million, partially offsetting the decline in MHP loan interest income.</w:t>
      </w:r>
    </w:p>
    <w:p>
      <w:pPr>
        <w:spacing w:after="0" w:line="146" w:lineRule="exact"/>
        <w:rPr>
          <w:sz w:val="20"/>
          <w:szCs w:val="20"/>
          <w:color w:val="auto"/>
        </w:rPr>
      </w:pPr>
    </w:p>
    <w:p>
      <w:pPr>
        <w:ind w:left="60" w:right="379" w:firstLine="648"/>
        <w:spacing w:after="0" w:line="279" w:lineRule="auto"/>
        <w:rPr>
          <w:sz w:val="20"/>
          <w:szCs w:val="20"/>
          <w:color w:val="auto"/>
        </w:rPr>
      </w:pPr>
      <w:r>
        <w:rPr>
          <w:rFonts w:ascii="Arial" w:cs="Arial" w:eastAsia="Arial" w:hAnsi="Arial"/>
          <w:sz w:val="17"/>
          <w:szCs w:val="17"/>
          <w:color w:val="auto"/>
        </w:rPr>
        <w:t>Other revenue primarily consists of consignment fees, commercial lease rents and servicer fee revenue and increased $0.7 million, or 80.6% during the three months ended September 30, 2022 as compared to the same period in 2021. This increase was primarily due to a $0.4 million increase in servicer fee revenue, a $0.2 million increase in commercial lease rents and a $0.1 million increase in consignment fees.</w:t>
      </w:r>
    </w:p>
    <w:p>
      <w:pPr>
        <w:spacing w:after="0" w:line="131" w:lineRule="exact"/>
        <w:rPr>
          <w:sz w:val="20"/>
          <w:szCs w:val="20"/>
          <w:color w:val="auto"/>
        </w:rPr>
      </w:pPr>
    </w:p>
    <w:p>
      <w:pPr>
        <w:jc w:val="both"/>
        <w:ind w:left="60" w:right="219" w:firstLine="648"/>
        <w:spacing w:after="0" w:line="311" w:lineRule="auto"/>
        <w:rPr>
          <w:sz w:val="20"/>
          <w:szCs w:val="20"/>
          <w:color w:val="auto"/>
        </w:rPr>
      </w:pPr>
      <w:r>
        <w:rPr>
          <w:rFonts w:ascii="Arial" w:cs="Arial" w:eastAsia="Arial" w:hAnsi="Arial"/>
          <w:sz w:val="16"/>
          <w:szCs w:val="16"/>
          <w:color w:val="auto"/>
        </w:rPr>
        <w:t>The cost of product sales decreased $2.2 million, or 6.1%, during the three months ended September 30, 2022 as compared to the same period in 2021. The decrease in costs is primarily related to a decrease in units sold, partially offset by increases in the cost of materials and labor in 2022 which was materially passed along to our end-customer.</w:t>
      </w:r>
    </w:p>
    <w:p>
      <w:pPr>
        <w:spacing w:after="0" w:line="122" w:lineRule="exact"/>
        <w:rPr>
          <w:sz w:val="20"/>
          <w:szCs w:val="20"/>
          <w:color w:val="auto"/>
        </w:rPr>
      </w:pPr>
    </w:p>
    <w:p>
      <w:pPr>
        <w:ind w:left="60" w:right="79" w:firstLine="713"/>
        <w:spacing w:after="0" w:line="296" w:lineRule="auto"/>
        <w:rPr>
          <w:sz w:val="20"/>
          <w:szCs w:val="20"/>
          <w:color w:val="auto"/>
        </w:rPr>
      </w:pPr>
      <w:r>
        <w:rPr>
          <w:rFonts w:ascii="Arial" w:cs="Arial" w:eastAsia="Arial" w:hAnsi="Arial"/>
          <w:sz w:val="16"/>
          <w:szCs w:val="16"/>
          <w:color w:val="auto"/>
        </w:rPr>
        <w:t>Selling, general and administrative expenses increased $1.7 million, or 33.3%, during the three months ended September 30, 2022 as compared to the same period in 2021. This increase was primarily due to a $0.8 million increase in warranty costs, a $0.4 million increase in salaries and incentive costs, a $0.2 million increase in consulting and professional fees, a $0.2 million increase in bad debts, a $0.1 million increase in loan loss provision and a $0.1 million increase in advertising and promotions, partially offset by a net $0.1 million decrease in other miscellaneous costs.</w:t>
      </w:r>
    </w:p>
    <w:p>
      <w:pPr>
        <w:spacing w:after="0" w:line="121" w:lineRule="exact"/>
        <w:rPr>
          <w:sz w:val="20"/>
          <w:szCs w:val="20"/>
          <w:color w:val="auto"/>
        </w:rPr>
      </w:pPr>
    </w:p>
    <w:p>
      <w:pPr>
        <w:jc w:val="both"/>
        <w:ind w:left="60" w:right="99" w:firstLine="713"/>
        <w:spacing w:after="0" w:line="277" w:lineRule="auto"/>
        <w:rPr>
          <w:sz w:val="20"/>
          <w:szCs w:val="20"/>
          <w:color w:val="auto"/>
        </w:rPr>
      </w:pPr>
      <w:r>
        <w:rPr>
          <w:rFonts w:ascii="Arial" w:cs="Arial" w:eastAsia="Arial" w:hAnsi="Arial"/>
          <w:sz w:val="18"/>
          <w:szCs w:val="18"/>
          <w:color w:val="auto"/>
        </w:rPr>
        <w:t>Dealer incentive expense decreased $0.2 million, or 46.2% during the three months ended September 30, 2022 as compared to the same period in 2021.</w:t>
      </w:r>
    </w:p>
    <w:p>
      <w:pPr>
        <w:spacing w:after="0" w:line="130" w:lineRule="exact"/>
        <w:rPr>
          <w:sz w:val="20"/>
          <w:szCs w:val="20"/>
          <w:color w:val="auto"/>
        </w:rPr>
      </w:pPr>
    </w:p>
    <w:p>
      <w:pPr>
        <w:jc w:val="both"/>
        <w:ind w:left="60" w:right="79" w:firstLine="713"/>
        <w:spacing w:after="0" w:line="263" w:lineRule="auto"/>
        <w:rPr>
          <w:sz w:val="20"/>
          <w:szCs w:val="20"/>
          <w:color w:val="auto"/>
        </w:rPr>
      </w:pPr>
      <w:r>
        <w:rPr>
          <w:rFonts w:ascii="Arial" w:cs="Arial" w:eastAsia="Arial" w:hAnsi="Arial"/>
          <w:sz w:val="18"/>
          <w:szCs w:val="18"/>
          <w:color w:val="auto"/>
        </w:rPr>
        <w:t>Other income (expense), net increased $0.3 million, or 83.7% during the three months ended September 30, 2022 as compared to the same period in 2021. This increase was primarily due to a $0.2 million decrease in interest expense and an increase of $0.1 million in miscellaneous income, net.</w:t>
      </w:r>
    </w:p>
    <w:p>
      <w:pPr>
        <w:spacing w:after="0" w:line="157"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Income tax expense was $2.8 million during the three months ended September 30, 2022 compared to $2.7 million for the same period in 2021. The effective tax rate for the three months ended September 30, 2022 was 16.1% and differs from the federal statutory rate of 21% primarily due to a federal tax credit for energy efficient construction and partially offset by state income taxes. The effective tax rate for the three months ended September 30, 2021 was 17.3% and differs from the federal statutory rate of 21% primarily due to a federal tax credit for energy efficient construction and partially offset by state income taxes.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Comparison of Nine Months ended September 30, 2022 and 2021 (in thousands)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08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00"/>
              <w:spacing w:after="0"/>
              <w:rPr>
                <w:sz w:val="20"/>
                <w:szCs w:val="20"/>
                <w:color w:val="auto"/>
              </w:rPr>
            </w:pPr>
            <w:r>
              <w:rPr>
                <w:rFonts w:ascii="Arial" w:cs="Arial" w:eastAsia="Arial" w:hAnsi="Arial"/>
                <w:sz w:val="18"/>
                <w:szCs w:val="18"/>
                <w:color w:val="auto"/>
              </w:rPr>
              <w:t>Product sales</w:t>
            </w:r>
          </w:p>
        </w:tc>
        <w:tc>
          <w:tcPr>
            <w:tcW w:w="9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155,563</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121,689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33,874</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Consumer and MHP loans interest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16"/>
        </w:trPr>
        <w:tc>
          <w:tcPr>
            <w:tcW w:w="3740" w:type="dxa"/>
            <w:vAlign w:val="bottom"/>
          </w:tcPr>
          <w:p>
            <w:pPr>
              <w:ind w:left="10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1,958</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73.1 %</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181,464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144,999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36,465</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374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 sales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16"/>
        </w:trPr>
        <w:tc>
          <w:tcPr>
            <w:tcW w:w="3740" w:type="dxa"/>
            <w:vAlign w:val="bottom"/>
          </w:tcPr>
          <w:p>
            <w:pPr>
              <w:ind w:left="100"/>
              <w:spacing w:after="0"/>
              <w:rPr>
                <w:sz w:val="20"/>
                <w:szCs w:val="20"/>
                <w:color w:val="auto"/>
              </w:rPr>
            </w:pPr>
            <w:r>
              <w:rPr>
                <w:rFonts w:ascii="Arial" w:cs="Arial" w:eastAsia="Arial" w:hAnsi="Arial"/>
                <w:sz w:val="18"/>
                <w:szCs w:val="18"/>
                <w:color w:val="auto"/>
              </w:rPr>
              <w:t>Selling, general administrative expenses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5,282</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35.2 %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Dealer incentive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7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55,590</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42,976</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12,614</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10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77.5 %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Miscellaneous, net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122.6 %</w:t>
            </w:r>
          </w:p>
        </w:tc>
        <w:tc>
          <w:tcPr>
            <w:tcW w:w="0" w:type="dxa"/>
            <w:vAlign w:val="bottom"/>
          </w:tcPr>
          <w:p>
            <w:pPr>
              <w:spacing w:after="0"/>
              <w:rPr>
                <w:sz w:val="1"/>
                <w:szCs w:val="1"/>
                <w:color w:val="auto"/>
              </w:rPr>
            </w:pPr>
          </w:p>
        </w:tc>
      </w:tr>
      <w:tr>
        <w:trPr>
          <w:trHeight w:val="216"/>
        </w:trPr>
        <w:tc>
          <w:tcPr>
            <w:tcW w:w="374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501</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74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58,298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14,530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37.5 %</w:t>
            </w:r>
          </w:p>
        </w:tc>
        <w:tc>
          <w:tcPr>
            <w:tcW w:w="0" w:type="dxa"/>
            <w:vAlign w:val="bottom"/>
          </w:tcPr>
          <w:p>
            <w:pPr>
              <w:spacing w:after="0"/>
              <w:rPr>
                <w:sz w:val="1"/>
                <w:szCs w:val="1"/>
                <w:color w:val="auto"/>
              </w:rPr>
            </w:pPr>
          </w:p>
        </w:tc>
      </w:tr>
      <w:tr>
        <w:trPr>
          <w:trHeight w:val="209"/>
        </w:trPr>
        <w:tc>
          <w:tcPr>
            <w:tcW w:w="374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48,088</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11,747</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99" w:firstLine="648"/>
        <w:spacing w:after="0" w:line="286" w:lineRule="auto"/>
        <w:rPr>
          <w:sz w:val="20"/>
          <w:szCs w:val="20"/>
          <w:color w:val="auto"/>
        </w:rPr>
      </w:pPr>
      <w:r>
        <w:rPr>
          <w:rFonts w:ascii="Arial" w:cs="Arial" w:eastAsia="Arial" w:hAnsi="Arial"/>
          <w:sz w:val="17"/>
          <w:szCs w:val="17"/>
          <w:color w:val="auto"/>
        </w:rPr>
        <w:t>Product sales primarily consist of direct sales, commercial sales, consignment sales and retail store sales. Product sales increased $33.9 million, or 27.8%, during the nine months ended September 30, 2022 as compared to the same period in 2021. This increase was driven by higher average sales price and an increase in unit volumes.</w:t>
      </w:r>
    </w:p>
    <w:p>
      <w:pPr>
        <w:spacing w:after="0" w:line="125"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Net revenue attributable to our factory-built housing consisted of the following during the nine months of 2022 and 2021:</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Nine Months Ended</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Products sold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155,563</w:t>
            </w:r>
          </w:p>
        </w:tc>
        <w:tc>
          <w:tcPr>
            <w:tcW w:w="1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121,689</w:t>
            </w:r>
          </w:p>
        </w:tc>
        <w:tc>
          <w:tcPr>
            <w:tcW w:w="18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33,874</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products sold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Net revenue per product sold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66.2</w:t>
            </w:r>
          </w:p>
        </w:tc>
        <w:tc>
          <w:tcPr>
            <w:tcW w:w="18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bl>
    <w:p>
      <w:pPr>
        <w:spacing w:after="0" w:line="363"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For the nine months ended September 30, 2022, our net revenue per product sold increased primarily because of the increase in unit prices over the first half of 2022, as rising material and labor costs were passed on to our customers. We had increases in consignment sales, direct sales, commercial sales and other product sales, slightly offset by a decrease in retail store sales. Sales through our company-owned retail stores have higher margins than our direct sales and consignment sales. For the three months ending September 30, 2022, we experienced a decrease in net revenue attributable to product sales due to the Company and the State of Georgia’s efforts to evaluate and improve the quality and consistency of homes manufactured in our Eatonton facility. These efforts have resulted in a temporary decrease in the rate of issuing HUD Labels of Certification and shipping finished homes from our Eatonton facility. We plan to increase shipments from our Eatonton facility during the fourth quarter and meet or exceed historical levels by early 2023.</w:t>
      </w:r>
    </w:p>
    <w:p>
      <w:pPr>
        <w:spacing w:after="0" w:line="126" w:lineRule="exact"/>
        <w:rPr>
          <w:sz w:val="20"/>
          <w:szCs w:val="20"/>
          <w:color w:val="auto"/>
        </w:rPr>
      </w:pPr>
    </w:p>
    <w:p>
      <w:pPr>
        <w:jc w:val="both"/>
        <w:ind w:left="60" w:right="199" w:firstLine="648"/>
        <w:spacing w:after="0" w:line="311" w:lineRule="auto"/>
        <w:rPr>
          <w:sz w:val="20"/>
          <w:szCs w:val="20"/>
          <w:color w:val="auto"/>
        </w:rPr>
      </w:pPr>
      <w:r>
        <w:rPr>
          <w:rFonts w:ascii="Arial" w:cs="Arial" w:eastAsia="Arial" w:hAnsi="Arial"/>
          <w:sz w:val="16"/>
          <w:szCs w:val="16"/>
          <w:color w:val="auto"/>
        </w:rPr>
        <w:t>Consumer and MHP loans interest income grew $0.6 million, or 3.1%, during the nine months ended September 30, 2022 as compared to the same period in 2021 and is primarily related to our increase in average outstanding consumer loan portfolio balance partially offset by a decrease in average outstanding MHP Note portfolio</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balance. The consumer loan portfolio has a higher average contractual interest rate compared to the MHP Note portfolio average contractual interest rate. Between September 30, 2022 and September 30, 2021 our consumer loan portfolio increased by $12.8 million resulting in an increase of consumer loan interest income. On September 30, 2021, we collected $44.9 million in principal payment from one of our borrowers. As a result of this payment, MHP loan interest income decreased during 2022 as compared to 2021, partially offsetting the increase in consumer loan interest income.</w:t>
      </w:r>
    </w:p>
    <w:p>
      <w:pPr>
        <w:spacing w:after="0" w:line="121" w:lineRule="exact"/>
        <w:rPr>
          <w:sz w:val="20"/>
          <w:szCs w:val="20"/>
          <w:color w:val="auto"/>
        </w:rPr>
      </w:pPr>
    </w:p>
    <w:p>
      <w:pPr>
        <w:ind w:left="60" w:right="439" w:firstLine="648"/>
        <w:spacing w:after="0" w:line="279" w:lineRule="auto"/>
        <w:rPr>
          <w:sz w:val="20"/>
          <w:szCs w:val="20"/>
          <w:color w:val="auto"/>
        </w:rPr>
      </w:pPr>
      <w:r>
        <w:rPr>
          <w:rFonts w:ascii="Arial" w:cs="Arial" w:eastAsia="Arial" w:hAnsi="Arial"/>
          <w:sz w:val="17"/>
          <w:szCs w:val="17"/>
          <w:color w:val="auto"/>
        </w:rPr>
        <w:t>Other revenue primarily consists of consignment fees, commercial lease rents and servicer fee revenue and increased $2.0 million, or 73.1% during the nine months ended September 30, 2022 as compared to the same period in 2021. This increase was primarily due to a $1.0 million increase in consignment fees, a $0.5 million increase in commercial lease rents and a $0.5 million increase in servicer fee revenue.</w:t>
      </w:r>
    </w:p>
    <w:p>
      <w:pPr>
        <w:spacing w:after="0" w:line="131" w:lineRule="exact"/>
        <w:rPr>
          <w:sz w:val="20"/>
          <w:szCs w:val="20"/>
          <w:color w:val="auto"/>
        </w:rPr>
      </w:pPr>
    </w:p>
    <w:p>
      <w:pPr>
        <w:jc w:val="both"/>
        <w:ind w:left="60" w:right="119" w:firstLine="648"/>
        <w:spacing w:after="0" w:line="286" w:lineRule="auto"/>
        <w:rPr>
          <w:sz w:val="20"/>
          <w:szCs w:val="20"/>
          <w:color w:val="auto"/>
        </w:rPr>
      </w:pPr>
      <w:r>
        <w:rPr>
          <w:rFonts w:ascii="Arial" w:cs="Arial" w:eastAsia="Arial" w:hAnsi="Arial"/>
          <w:sz w:val="17"/>
          <w:szCs w:val="17"/>
          <w:color w:val="auto"/>
        </w:rPr>
        <w:t>The cost of product sales increased $18.6 million, or 21.7%, during the nine months ended September 30, 2022 as compared to the same period in 2021. The increase in costs is primarily related to an increase in units sold and increases in the cost of materials and labor in 2022 which was materially passed along to our end-customer.</w:t>
      </w:r>
    </w:p>
    <w:p>
      <w:pPr>
        <w:spacing w:after="0" w:line="138" w:lineRule="exact"/>
        <w:rPr>
          <w:sz w:val="20"/>
          <w:szCs w:val="20"/>
          <w:color w:val="auto"/>
        </w:rPr>
      </w:pPr>
    </w:p>
    <w:p>
      <w:pPr>
        <w:ind w:left="60" w:right="179" w:firstLine="713"/>
        <w:spacing w:after="0" w:line="255" w:lineRule="auto"/>
        <w:rPr>
          <w:sz w:val="20"/>
          <w:szCs w:val="20"/>
          <w:color w:val="auto"/>
        </w:rPr>
      </w:pPr>
      <w:r>
        <w:rPr>
          <w:rFonts w:ascii="Arial" w:cs="Arial" w:eastAsia="Arial" w:hAnsi="Arial"/>
          <w:sz w:val="18"/>
          <w:szCs w:val="18"/>
          <w:color w:val="auto"/>
        </w:rPr>
        <w:t>Selling, general and administrative expenses increased $5.3 million, or 35.2%, during the nine months ended September 30, 2022 as compared to the same period in 2021. This increase was primarily due to a $5.0 million increase in salaries and incentive costs, a $0.6 million increase in legal expense, a $0.5 million increase in warranty costs, a $0.3 million increase in consulting and professional fees, a $0.2 million increase in bad debts, and a $0.2 million increase in depreciation and amortization expense, partially offset by a $0.3 million increase in loan loss provision and a net $1.2 million decrease in other miscellaneous costs.</w:t>
      </w:r>
    </w:p>
    <w:p>
      <w:pPr>
        <w:spacing w:after="0" w:line="152" w:lineRule="exact"/>
        <w:rPr>
          <w:sz w:val="20"/>
          <w:szCs w:val="20"/>
          <w:color w:val="auto"/>
        </w:rPr>
      </w:pPr>
    </w:p>
    <w:p>
      <w:pPr>
        <w:ind w:left="60" w:right="199" w:firstLine="713"/>
        <w:spacing w:after="0" w:line="277" w:lineRule="auto"/>
        <w:rPr>
          <w:sz w:val="20"/>
          <w:szCs w:val="20"/>
          <w:color w:val="auto"/>
        </w:rPr>
      </w:pPr>
      <w:r>
        <w:rPr>
          <w:rFonts w:ascii="Arial" w:cs="Arial" w:eastAsia="Arial" w:hAnsi="Arial"/>
          <w:sz w:val="18"/>
          <w:szCs w:val="18"/>
          <w:color w:val="auto"/>
        </w:rPr>
        <w:t>Dealer incentive expense decreased $0.1 million, or 5.9%, during the nine months ended September 30, 2022 as compared to the same period in 2021.</w:t>
      </w:r>
    </w:p>
    <w:p>
      <w:pPr>
        <w:spacing w:after="0" w:line="130" w:lineRule="exact"/>
        <w:rPr>
          <w:sz w:val="20"/>
          <w:szCs w:val="20"/>
          <w:color w:val="auto"/>
        </w:rPr>
      </w:pPr>
    </w:p>
    <w:p>
      <w:pPr>
        <w:ind w:left="60" w:right="79" w:firstLine="713"/>
        <w:spacing w:after="0" w:line="311" w:lineRule="auto"/>
        <w:rPr>
          <w:sz w:val="20"/>
          <w:szCs w:val="20"/>
          <w:color w:val="auto"/>
        </w:rPr>
      </w:pPr>
      <w:r>
        <w:rPr>
          <w:rFonts w:ascii="Arial" w:cs="Arial" w:eastAsia="Arial" w:hAnsi="Arial"/>
          <w:sz w:val="16"/>
          <w:szCs w:val="16"/>
          <w:color w:val="auto"/>
        </w:rPr>
        <w:t>Other income (expense), net increased $1.9 million, or 241.9% during the nine months ended September 30, 2022 as compared to the same period in 2021. This increase was primarily due to a $1.0 million increase in non-operating interest income, an increase of $0.4 million in miscellaneous income, net and a decrease of $0.5 million in interest expense.</w:t>
      </w:r>
    </w:p>
    <w:p>
      <w:pPr>
        <w:spacing w:after="0" w:line="122"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Income tax expense was $10.2 million during the nine months ended September 30, 2022 compared to $7.4 million for the same period in 2021. The effective tax rate for the nine months ended September 30, 2022 was 17.5% and differs from the federal statutory rate of 21% primarily due to a federal tax credit for energy efficient construction and partially offset by state income taxes. The effective tax rate for the nine months ended September 30, 2021 was 17.0% and differs from the federal statutory rate of 21% primarily due to a federal tax credit for energy efficient construction and partially offset by state income taxes.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 xml:space="preserve">We consider all cash and highly liquid investments with an original maturity of three months or less to be cash equivalents. We maintain cash balances in bank accounts that may, at times, exceed federally insured limits. We have not incurred any losses from such accounts and management considers the risk of loss to be minimal. We believe that cash flow from operations, cash and cash equivalents at September 30, 2022, and availability on our lines of credit will be sufficient to fund our operations and provide for growth for the next 12 to 18 months and into the foreseeable future. In 2020, we negotiated a new credit agreement with Capital One, N.A. that expanded and extended our credit availability (see </w:t>
      </w:r>
      <w:r>
        <w:rPr>
          <w:rFonts w:ascii="Arial" w:cs="Arial" w:eastAsia="Arial" w:hAnsi="Arial"/>
          <w:sz w:val="17"/>
          <w:szCs w:val="17"/>
          <w:b w:val="1"/>
          <w:bCs w:val="1"/>
          <w:i w:val="1"/>
          <w:iCs w:val="1"/>
          <w:color w:val="auto"/>
        </w:rPr>
        <w:t xml:space="preserve">Indebtedness </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Capital One Revolver</w:t>
      </w:r>
      <w:r>
        <w:rPr>
          <w:rFonts w:ascii="Arial" w:cs="Arial" w:eastAsia="Arial" w:hAnsi="Arial"/>
          <w:sz w:val="17"/>
          <w:szCs w:val="17"/>
          <w:color w:val="auto"/>
        </w:rPr>
        <w:t>, below). As of September 30, 2022, we had approximately $11.3 million in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cash equivalents, compared to $1.0 million as of December 31, 2021.</w:t>
      </w:r>
    </w:p>
    <w:p>
      <w:pPr>
        <w:spacing w:after="0" w:line="200" w:lineRule="exact"/>
        <w:rPr>
          <w:sz w:val="20"/>
          <w:szCs w:val="20"/>
          <w:color w:val="auto"/>
        </w:rPr>
      </w:pPr>
    </w:p>
    <w:p>
      <w:pPr>
        <w:spacing w:after="0" w:line="3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49" w:lineRule="exact"/>
        <w:rPr>
          <w:sz w:val="20"/>
          <w:szCs w:val="20"/>
          <w:color w:val="auto"/>
        </w:rPr>
      </w:pPr>
    </w:p>
    <w:p>
      <w:pPr>
        <w:ind w:left="6940"/>
        <w:spacing w:after="0"/>
        <w:rPr>
          <w:sz w:val="20"/>
          <w:szCs w:val="20"/>
          <w:color w:val="auto"/>
        </w:rPr>
      </w:pPr>
      <w:r>
        <w:rPr>
          <w:rFonts w:ascii="Arial" w:cs="Arial" w:eastAsia="Arial" w:hAnsi="Arial"/>
          <w:sz w:val="14"/>
          <w:szCs w:val="14"/>
          <w:b w:val="1"/>
          <w:bCs w:val="1"/>
          <w:color w:val="auto"/>
        </w:rPr>
        <w:t>Nine Months Ended</w:t>
      </w:r>
    </w:p>
    <w:p>
      <w:pPr>
        <w:ind w:left="7100"/>
        <w:spacing w:after="0" w:line="226" w:lineRule="auto"/>
        <w:rPr>
          <w:sz w:val="20"/>
          <w:szCs w:val="20"/>
          <w:color w:val="auto"/>
        </w:rPr>
      </w:pPr>
      <w:r>
        <w:rPr>
          <w:rFonts w:ascii="Arial" w:cs="Arial" w:eastAsia="Arial" w:hAnsi="Arial"/>
          <w:sz w:val="14"/>
          <w:szCs w:val="14"/>
          <w:b w:val="1"/>
          <w:bCs w:val="1"/>
          <w:color w:val="auto"/>
        </w:rPr>
        <w:t>September 30,</w:t>
      </w:r>
    </w:p>
    <w:p>
      <w:pPr>
        <w:ind w:left="7120"/>
        <w:spacing w:after="0" w:line="231" w:lineRule="auto"/>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1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2021</w:t>
            </w:r>
          </w:p>
        </w:tc>
      </w:tr>
      <w:tr>
        <w:trPr>
          <w:trHeight w:val="142"/>
        </w:trPr>
        <w:tc>
          <w:tcPr>
            <w:tcW w:w="6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50,458</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17,595</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(22,395)</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(8,159)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(27,978)</w:t>
            </w:r>
          </w:p>
        </w:tc>
      </w:tr>
      <w:tr>
        <w:trPr>
          <w:trHeight w:val="209"/>
        </w:trPr>
        <w:tc>
          <w:tcPr>
            <w:tcW w:w="612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10,226</w:t>
            </w:r>
          </w:p>
        </w:tc>
        <w:tc>
          <w:tcPr>
            <w:tcW w:w="22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09"/>
        </w:trPr>
        <w:tc>
          <w:tcPr>
            <w:tcW w:w="61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11,268</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Cash Flow Activities from September 30, 2022 to September 30, 2021</w:t>
      </w:r>
    </w:p>
    <w:p>
      <w:pPr>
        <w:spacing w:after="0" w:line="202" w:lineRule="exact"/>
        <w:rPr>
          <w:sz w:val="20"/>
          <w:szCs w:val="20"/>
          <w:color w:val="auto"/>
        </w:rPr>
      </w:pPr>
    </w:p>
    <w:p>
      <w:pPr>
        <w:ind w:left="60" w:right="279" w:firstLine="648"/>
        <w:spacing w:after="0" w:line="273" w:lineRule="auto"/>
        <w:rPr>
          <w:sz w:val="20"/>
          <w:szCs w:val="20"/>
          <w:color w:val="auto"/>
        </w:rPr>
      </w:pPr>
      <w:r>
        <w:rPr>
          <w:rFonts w:ascii="Arial" w:cs="Arial" w:eastAsia="Arial" w:hAnsi="Arial"/>
          <w:sz w:val="17"/>
          <w:szCs w:val="17"/>
          <w:color w:val="auto"/>
        </w:rPr>
        <w:t>Net cash provided by operating activities decreased $49.7 million during the nine months ended September 30, 2022, compared to the comparable period in 2021, primarily as a result of increased MHP originations net of collections, increased dealer inventory loan originations net of collections, increased volume of consumer loan originations net of principal collections, increased inventories, increase in other assets and a decrease in accounts payable and accrued liabilities. The increase in cash used in operating activities was partially offset by an increase in customer deposits, an increase in escrow liability and increased dealer incentive liability.</w:t>
      </w:r>
    </w:p>
    <w:p>
      <w:pPr>
        <w:spacing w:after="0" w:line="137"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Net cash provided by investing activities of $17.6 million in 2022 was primarily attributable to $23.5 million of collections related to loans we made to third parties for the development of manufactured housing parks and collections of $0.4 million from our purchased consumer loans. These were offset by $3.1 million used for loans to third parties for the development of manufactured housing parks and $3.3 million used for the acquisition of property plant and equipment.</w:t>
      </w:r>
    </w:p>
    <w:p>
      <w:pPr>
        <w:spacing w:after="0" w:line="117"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color w:val="auto"/>
        </w:rPr>
        <w:t>Net cash used in financing activities of $8.2 million in 2022 was attributable to net payments of $8.2 million on our lines of credit. Net cash used in financing activities of $28.0 million in 2021 was attributable to net payments of $28.1 million on our lines of credit offset by $0.1 million received from the exercise of stock options.</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Indebtedness</w:t>
      </w:r>
    </w:p>
    <w:p>
      <w:pPr>
        <w:spacing w:after="0" w:line="181" w:lineRule="exact"/>
        <w:rPr>
          <w:sz w:val="20"/>
          <w:szCs w:val="20"/>
          <w:color w:val="auto"/>
        </w:rPr>
      </w:pPr>
    </w:p>
    <w:p>
      <w:pPr>
        <w:ind w:left="60" w:right="79" w:firstLine="648"/>
        <w:spacing w:after="0" w:line="298" w:lineRule="auto"/>
        <w:rPr>
          <w:sz w:val="20"/>
          <w:szCs w:val="20"/>
          <w:color w:val="auto"/>
        </w:rPr>
      </w:pPr>
      <w:r>
        <w:rPr>
          <w:rFonts w:ascii="Arial" w:cs="Arial" w:eastAsia="Arial" w:hAnsi="Arial"/>
          <w:sz w:val="16"/>
          <w:szCs w:val="16"/>
          <w:b w:val="1"/>
          <w:bCs w:val="1"/>
          <w:color w:val="auto"/>
        </w:rPr>
        <w:t xml:space="preserve">Capital One Revolver. </w:t>
      </w:r>
      <w:r>
        <w:rPr>
          <w:rFonts w:ascii="Arial" w:cs="Arial" w:eastAsia="Arial" w:hAnsi="Arial"/>
          <w:sz w:val="16"/>
          <w:szCs w:val="16"/>
          <w:color w:val="auto"/>
        </w:rPr>
        <w:t>At December 31, 2019, we had a revolving line of credit (“Revolver 1”) with Capital One,</w:t>
      </w:r>
      <w:r>
        <w:rPr>
          <w:rFonts w:ascii="Arial" w:cs="Arial" w:eastAsia="Arial" w:hAnsi="Arial"/>
          <w:sz w:val="16"/>
          <w:szCs w:val="16"/>
          <w:b w:val="1"/>
          <w:bCs w:val="1"/>
          <w:color w:val="auto"/>
        </w:rPr>
        <w:t xml:space="preserve"> </w:t>
      </w:r>
      <w:r>
        <w:rPr>
          <w:rFonts w:ascii="Arial" w:cs="Arial" w:eastAsia="Arial" w:hAnsi="Arial"/>
          <w:sz w:val="16"/>
          <w:szCs w:val="16"/>
          <w:color w:val="auto"/>
        </w:rPr>
        <w:t>N.A. with a maximum credit limit of $45,000 and a maturity date of May 11, 2020. On March 30, 2020, we entered into an agreement with Capital One, N.A. to replace Revolver 1 with a new revolving line of credit (“New Revolver”). The New Revolver had a maximum credit limit of $70,000 and a maturity date of March 30, 2024. For the period January 1, 2020 through March 30, 2020, Revolver 1 accrued interest at one-month LIBOR plus 2.40%. Amounts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available under Revolver 1 were subject to a formula based on eligible consumer loans and MHP Notes and were secured by all accounts receivable, consumer loans and MHP Notes.</w:t>
      </w:r>
    </w:p>
    <w:p>
      <w:pPr>
        <w:spacing w:after="0" w:line="130"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On June 21, 2022, we received a Reservation of Rights notice from Capital One, N.A. The letter stated that our New Revolver was in default. The default condition occurred due to our failure to timely file the Form 10-K and deliver certain financial statement to Capital One, N.A. On July 28, 2022, we entered into a Limited Waiver and First Amendment to Credit Agreement (the “Amendment”) with Capital One, N.A. The Amendment replaces the LIBOR borrowing rate with a secured overnight financing rate and waives a default arising out of a monetary judgement against us that exceeded the amount allowed in the New Revolver.</w:t>
      </w:r>
    </w:p>
    <w:p>
      <w:pPr>
        <w:spacing w:after="0" w:line="152" w:lineRule="exact"/>
        <w:rPr>
          <w:sz w:val="20"/>
          <w:szCs w:val="20"/>
          <w:color w:val="auto"/>
        </w:rPr>
      </w:pPr>
    </w:p>
    <w:p>
      <w:pPr>
        <w:jc w:val="both"/>
        <w:ind w:left="60" w:right="99" w:firstLine="648"/>
        <w:spacing w:after="0" w:line="259" w:lineRule="auto"/>
        <w:rPr>
          <w:sz w:val="20"/>
          <w:szCs w:val="20"/>
          <w:color w:val="auto"/>
        </w:rPr>
      </w:pPr>
      <w:r>
        <w:rPr>
          <w:rFonts w:ascii="Arial" w:cs="Arial" w:eastAsia="Arial" w:hAnsi="Arial"/>
          <w:sz w:val="18"/>
          <w:szCs w:val="18"/>
          <w:color w:val="auto"/>
        </w:rPr>
        <w:t>On August 24, 2022, we received a Notice of Default and Partial Suspension of Loan Commitments from Capital One, N.A. The notice stated that the July 28, 2022 forbearance agreement had been terminated and that Capital One, N.A. was permitted to suspend $50,000 of the $70,000 loan commitment under the New Revolver. As a result, the available line of credit in the New Revolver has been limited to $20,000.</w:t>
      </w:r>
    </w:p>
    <w:p>
      <w:pPr>
        <w:spacing w:after="0" w:line="160"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The New Revolver accrues interest at one-month LIBOR plus 2.00%. The interest rate in effect as of September 30, 2022 was 4.56%. As with Revolver 1, amounts available under the New Revolver are subject to a formula based on eligible consumer loans and MHP Notes and are secured by all accounts receivable, consumer loans and MHP Notes. The amount of available credit under the New Revolver was $20,000 as of September 30, 2022. In connection with the New Revolver, we paid certain arrangement fees and other fees of approximately $295, which were capitalized as unamortized debt issuance costs and will be amortized to interest expense over the life of the New Revolver.</w:t>
      </w:r>
    </w:p>
    <w:p>
      <w:pPr>
        <w:spacing w:after="0" w:line="124"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For the nine months ended September 30, 2022 and 2021, interest expense under the New Revolver was $326 and $827, respectively. The outstanding balance as of September 30, 2022 and December 31, 2021 was $0 and $7,993 respectively. The New Revolver requires the Company to comply with certain financial and non-financial covenants. As of September 30, 2022, the Company was in compliance with all financial covenants, including that it maintain a tangible net worth of at least $120,000 and that it maintain a ratio of debt to EBITDA of 4 to 1, or less.</w:t>
      </w:r>
    </w:p>
    <w:p>
      <w:pPr>
        <w:spacing w:after="0" w:line="132"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b w:val="1"/>
          <w:bCs w:val="1"/>
          <w:color w:val="auto"/>
        </w:rPr>
        <w:t xml:space="preserve">PILOT Agreement. </w:t>
      </w:r>
      <w:r>
        <w:rPr>
          <w:rFonts w:ascii="Arial" w:cs="Arial" w:eastAsia="Arial" w:hAnsi="Arial"/>
          <w:sz w:val="17"/>
          <w:szCs w:val="17"/>
          <w:color w:val="auto"/>
        </w:rPr>
        <w:t>In December 2016, we entered into a Payment in Lieu of Taxes (“PILOT”)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commonly offered in Georgia by local community development programs to encourage industry development. The net effect of the PILOT agreement is to provide us with incentives through the abatement of local, city and county property taxes and to provide financing for improvements to our Georgia plant (the “Project”). In connection with the PILOT agreement, the Putman County Development Authority provides a credit facility for up to $10,000, which can be drawn upon to fund Project improvements and capital expenditures as defined in the agreement. If funds are drawn, we would pay transaction costs and debt service payments. The PILOT agreement requires interest payments of 6.00% per annum on outstanding balances, which are due each December 1 through maturity on December 1, 2021, at which time all unpaid principal and interest are due. The PILOT agreement is collateralized by the assets of the Project. No amounts have been drawn on this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contractual cash obligations as of September 30, 2022:</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92"/>
              </w:rPr>
              <w:t>Payments Due by Period (in thousands)</w:t>
            </w:r>
          </w:p>
        </w:tc>
        <w:tc>
          <w:tcPr>
            <w:tcW w:w="720" w:type="dxa"/>
            <w:vAlign w:val="bottom"/>
            <w:tcBorders>
              <w:bottom w:val="single" w:sz="8" w:color="auto"/>
            </w:tcBorders>
          </w:tcPr>
          <w:p>
            <w:pPr>
              <w:spacing w:after="0"/>
              <w:rPr>
                <w:sz w:val="14"/>
                <w:szCs w:val="14"/>
                <w:color w:val="auto"/>
              </w:rPr>
            </w:pPr>
          </w:p>
        </w:tc>
      </w:tr>
      <w:tr>
        <w:trPr>
          <w:trHeight w:val="290"/>
        </w:trPr>
        <w:tc>
          <w:tcPr>
            <w:tcW w:w="45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2023 - 2024   2025 - 2026</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7"/>
              </w:rPr>
              <w:t>After 2026</w:t>
            </w:r>
          </w:p>
        </w:tc>
      </w:tr>
      <w:tr>
        <w:trPr>
          <w:trHeight w:val="210"/>
        </w:trPr>
        <w:tc>
          <w:tcPr>
            <w:tcW w:w="4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3,112</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202" w:lineRule="exact"/>
        <w:rPr>
          <w:sz w:val="20"/>
          <w:szCs w:val="20"/>
          <w:color w:val="auto"/>
        </w:rPr>
      </w:pPr>
    </w:p>
    <w:p>
      <w:pPr>
        <w:ind w:left="60" w:right="99" w:firstLine="713"/>
        <w:spacing w:after="0" w:line="288" w:lineRule="auto"/>
        <w:rPr>
          <w:sz w:val="20"/>
          <w:szCs w:val="20"/>
          <w:color w:val="auto"/>
        </w:rPr>
      </w:pPr>
      <w:r>
        <w:rPr>
          <w:rFonts w:ascii="Arial" w:cs="Arial" w:eastAsia="Arial" w:hAnsi="Arial"/>
          <w:sz w:val="16"/>
          <w:szCs w:val="16"/>
          <w:color w:val="auto"/>
        </w:rPr>
        <w:t>We did not have any off-balance sheet arrangements that are reasonably likely to have a current or future effect on our financial condition, net sales, results of operations, liquidity or capital expenditures. However, we do have a repurchase agreement with a financial institution providing inventory financing for independent retailers of our products. Under this agreement, we have agreed to repurchase homes at declining prices over the term of the agreement (24 months). Our obligation under this repurchase agreement ceases upon the purchase of the home by the retail customer. The maximum amount of our contingent obligations under such repurchase agreements was approximately $9,905 and $4,908 as of September 30, 2022 and December 31, 2021,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September 30, 2022.</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Critical accounting estimates are those that we believe are both significant and that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2021. Subsequent to the filing of our Annual Report, there have been no material changes to our critical accounting estimates.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0" w:right="599" w:firstLine="648"/>
        <w:spacing w:after="0" w:line="263" w:lineRule="auto"/>
        <w:rPr>
          <w:sz w:val="20"/>
          <w:szCs w:val="20"/>
          <w:color w:val="auto"/>
        </w:rPr>
      </w:pPr>
      <w:r>
        <w:rPr>
          <w:rFonts w:ascii="Arial" w:cs="Arial" w:eastAsia="Arial" w:hAnsi="Arial"/>
          <w:sz w:val="18"/>
          <w:szCs w:val="18"/>
          <w:color w:val="auto"/>
        </w:rPr>
        <w:t>For information regarding recent accounting pronouncements, see Note 1 – Nature of Operations, Recent Accounting Pronouncements to our September 30, 2022 Condensed Financial Statements, included in Part I, Item 1, Financial Statements (Unaudited), of this Quarterly Report.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02"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We are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these exemptions until we are no longer an emerging growth company or until we affirmatively and irrevocably opt out of this exemption.</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for smaller reporting companies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are subject to the periodic reporting requirements of the Exchange Act that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37"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the Company’s management conducted an evaluation, under the supervision and with the participation of the Chief Executive Officer and the Chief Financial Officer, of the effectiveness of the design and operation of the Company’s disclosure controls and procedures (as defined in Rule 13a-15(e) of the Exchange Act). Based on this evaluation, the Chief Executive Officer and the Chief Financial Officer each concluded, as of the end of the period, our disclosure controls and procedures were not effective as of September 30, 2022, due to material weaknesses in internal control over financial reporting that were disclosed in our Annual Report on Form 10-K for the fiscal year ended December 31, 2021, and as described below.</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202"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As previously disclosed in our Annual report on Form 10-K filed with the SEC on August 3, 2022, we identified material weaknesses in our internal control over financial reporting during the preparation of our financial statements for the year ended December 31, 2021.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material weaknesses in financial reporting as of September 30, 2022 are summarized as follows:</w:t>
      </w:r>
    </w:p>
    <w:p>
      <w:pPr>
        <w:spacing w:after="0" w:line="185" w:lineRule="exact"/>
        <w:rPr>
          <w:sz w:val="20"/>
          <w:szCs w:val="20"/>
          <w:color w:val="auto"/>
        </w:rPr>
      </w:pPr>
    </w:p>
    <w:p>
      <w:pPr>
        <w:ind w:left="1040" w:right="79" w:hanging="315"/>
        <w:spacing w:after="0" w:line="263"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determined that we did not have sufficient accounting systems and procedures in place, particularly in the areas of revenue recognition; processing of accounts payable; prepaid expenses; and inventory costing and management.</w:t>
      </w:r>
    </w:p>
    <w:p>
      <w:pPr>
        <w:spacing w:after="0" w:line="156" w:lineRule="exact"/>
        <w:rPr>
          <w:rFonts w:ascii="Arial" w:cs="Arial" w:eastAsia="Arial" w:hAnsi="Arial"/>
          <w:sz w:val="18"/>
          <w:szCs w:val="18"/>
          <w:color w:val="auto"/>
        </w:rPr>
      </w:pPr>
    </w:p>
    <w:p>
      <w:pPr>
        <w:ind w:left="1040" w:right="65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determined that we did not have sufficient systems and processes to support timely preparation of financial statements for compliance with U.S. GAAP and SEC.</w:t>
      </w:r>
    </w:p>
    <w:p>
      <w:pPr>
        <w:spacing w:after="0" w:line="129" w:lineRule="exact"/>
        <w:rPr>
          <w:rFonts w:ascii="Arial" w:cs="Arial" w:eastAsia="Arial" w:hAnsi="Arial"/>
          <w:sz w:val="18"/>
          <w:szCs w:val="18"/>
          <w:color w:val="auto"/>
        </w:rPr>
      </w:pPr>
    </w:p>
    <w:p>
      <w:pPr>
        <w:ind w:left="1040" w:right="239" w:hanging="315"/>
        <w:spacing w:after="0" w:line="263"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determined that we did not have sufficient policies and procedures to ensure the appropriate review and approval of user access rights to our accounting system; and lack of approval of journal entries and segregation of duties in our financial reporting process.</w:t>
      </w:r>
    </w:p>
    <w:p>
      <w:pPr>
        <w:spacing w:after="0" w:line="143"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determined that our information technology infrastructure does not provide sufficient safeguards required by the COBIT framework.</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Remediation Efforts to Address Previously-Identified Material Weaknesses</w:t>
      </w:r>
    </w:p>
    <w:p>
      <w:pPr>
        <w:spacing w:after="0" w:line="189"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As previously described in Item 9A of our Annual Report on Form 10-K for the year ended December 31, 2021, we began implementing remediation plans to address the material weaknesses. The weaknesses will not be considered remediated until the applicable controls operate for a sufficient period of time and management has concluded, through testing, that these controls are operating effectively. We expect that the majority of the remediation of these material weaknesses will be completed by the end of fiscal 2022.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left="60" w:right="499"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third quarter of fiscal 2022 that materially affected, or are reasonably likely to materially affect, our internal control over financial reporting.</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See Note 13 - Commitments and Contingencies in our September 30, 2022 Condensed Financial Statements, included in Part I, Item 1, Financial Statements (Unaudited), of this Quarterly Report.</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952"/>
        </w:trPr>
        <w:tc>
          <w:tcPr>
            <w:tcW w:w="20" w:type="dxa"/>
            <w:vAlign w:val="bottom"/>
          </w:tcPr>
          <w:p>
            <w:pPr>
              <w:spacing w:after="0"/>
              <w:rPr>
                <w:sz w:val="24"/>
                <w:szCs w:val="24"/>
                <w:color w:val="auto"/>
              </w:rPr>
            </w:pPr>
          </w:p>
        </w:tc>
        <w:tc>
          <w:tcPr>
            <w:tcW w:w="126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w w:val="90"/>
              </w:rPr>
              <w:t>Item 6. Exhibits.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8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6260" w:type="dxa"/>
            <w:vAlign w:val="bottom"/>
            <w:gridSpan w:val="9"/>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w:t>
            </w:r>
          </w:p>
        </w:tc>
        <w:tc>
          <w:tcPr>
            <w:tcW w:w="140" w:type="dxa"/>
            <w:vAlign w:val="bottom"/>
          </w:tcPr>
          <w:p>
            <w:pPr>
              <w:spacing w:after="0"/>
              <w:rPr>
                <w:sz w:val="24"/>
                <w:szCs w:val="24"/>
                <w:color w:val="auto"/>
              </w:rPr>
            </w:pPr>
          </w:p>
        </w:tc>
        <w:tc>
          <w:tcPr>
            <w:tcW w:w="7100" w:type="dxa"/>
            <w:vAlign w:val="bottom"/>
            <w:gridSpan w:val="10"/>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Employment Agreement, effective as of June 7, 2022, between Legacy Housing Corporation and</w:t>
              </w:r>
            </w:hyperlink>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60" w:type="dxa"/>
            <w:vAlign w:val="bottom"/>
            <w:tcBorders>
              <w:top w:val="single" w:sz="8" w:color="0000EE"/>
            </w:tcBorders>
            <w:gridSpan w:val="8"/>
          </w:tcPr>
          <w:p>
            <w:pPr>
              <w:spacing w:after="0" w:line="196" w:lineRule="exact"/>
              <w:rPr>
                <w:rFonts w:ascii="Arial" w:cs="Arial" w:eastAsia="Arial" w:hAnsi="Arial"/>
                <w:sz w:val="18"/>
                <w:szCs w:val="18"/>
                <w:color w:val="0000EE"/>
                <w:w w:val="93"/>
              </w:rPr>
            </w:pPr>
            <w:hyperlink r:id="rId54">
              <w:r>
                <w:rPr>
                  <w:rFonts w:ascii="Arial" w:cs="Arial" w:eastAsia="Arial" w:hAnsi="Arial"/>
                  <w:sz w:val="18"/>
                  <w:szCs w:val="18"/>
                  <w:color w:val="0000EE"/>
                  <w:w w:val="93"/>
                </w:rPr>
                <w:t>Duncan Bates (incorporated by reference to Exhibit 10.1 of the registrant’s Current Report on</w:t>
              </w:r>
            </w:hyperlink>
          </w:p>
        </w:tc>
        <w:tc>
          <w:tcPr>
            <w:tcW w:w="1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Form 8-K filed on June 13, 2022)</w:t>
              </w:r>
            </w:hyperlink>
          </w:p>
        </w:tc>
        <w:tc>
          <w:tcPr>
            <w:tcW w:w="4300" w:type="dxa"/>
            <w:vAlign w:val="bottom"/>
            <w:tcBorders>
              <w:top w:val="single" w:sz="8" w:color="0000EE"/>
            </w:tcBorders>
            <w:gridSpan w:val="4"/>
          </w:tcPr>
          <w:p>
            <w:pPr>
              <w:spacing w:after="0"/>
              <w:rPr>
                <w:sz w:val="17"/>
                <w:szCs w:val="17"/>
                <w:color w:val="auto"/>
              </w:rPr>
            </w:pPr>
          </w:p>
        </w:tc>
        <w:tc>
          <w:tcPr>
            <w:tcW w:w="380" w:type="dxa"/>
            <w:vAlign w:val="bottom"/>
            <w:gridSpan w:val="3"/>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10.2</w:t>
            </w:r>
          </w:p>
        </w:tc>
        <w:tc>
          <w:tcPr>
            <w:tcW w:w="140" w:type="dxa"/>
            <w:vAlign w:val="bottom"/>
          </w:tcPr>
          <w:p>
            <w:pPr>
              <w:spacing w:after="0"/>
              <w:rPr>
                <w:sz w:val="24"/>
                <w:szCs w:val="24"/>
                <w:color w:val="auto"/>
              </w:rPr>
            </w:pPr>
          </w:p>
        </w:tc>
        <w:tc>
          <w:tcPr>
            <w:tcW w:w="7100" w:type="dxa"/>
            <w:vAlign w:val="bottom"/>
            <w:gridSpan w:val="10"/>
          </w:tcPr>
          <w:p>
            <w:pPr>
              <w:spacing w:after="0"/>
              <w:rPr>
                <w:rFonts w:ascii="Arial" w:cs="Arial" w:eastAsia="Arial" w:hAnsi="Arial"/>
                <w:sz w:val="18"/>
                <w:szCs w:val="18"/>
                <w:color w:val="0000EE"/>
                <w:w w:val="91"/>
              </w:rPr>
            </w:pPr>
            <w:hyperlink r:id="rId55">
              <w:r>
                <w:rPr>
                  <w:rFonts w:ascii="Arial" w:cs="Arial" w:eastAsia="Arial" w:hAnsi="Arial"/>
                  <w:sz w:val="18"/>
                  <w:szCs w:val="18"/>
                  <w:color w:val="0000EE"/>
                  <w:w w:val="91"/>
                </w:rPr>
                <w:t>Limited Waiver and First Amendment to Credit Agreement, dated July 28, 2022, between Legacy</w:t>
              </w:r>
            </w:hyperlink>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20" w:type="dxa"/>
            <w:vAlign w:val="bottom"/>
            <w:tcBorders>
              <w:top w:val="single" w:sz="8" w:color="0000EE"/>
            </w:tcBorders>
            <w:gridSpan w:val="9"/>
          </w:tcPr>
          <w:p>
            <w:pPr>
              <w:spacing w:after="0" w:line="196" w:lineRule="exact"/>
              <w:rPr>
                <w:rFonts w:ascii="Arial" w:cs="Arial" w:eastAsia="Arial" w:hAnsi="Arial"/>
                <w:sz w:val="18"/>
                <w:szCs w:val="18"/>
                <w:color w:val="0000EE"/>
                <w:w w:val="95"/>
              </w:rPr>
            </w:pPr>
            <w:hyperlink r:id="rId55">
              <w:r>
                <w:rPr>
                  <w:rFonts w:ascii="Arial" w:cs="Arial" w:eastAsia="Arial" w:hAnsi="Arial"/>
                  <w:sz w:val="18"/>
                  <w:szCs w:val="18"/>
                  <w:color w:val="0000EE"/>
                  <w:w w:val="95"/>
                </w:rPr>
                <w:t>Housing Corporation and Capital One, N.A. (incorporated by reference to Exhibit 10.2 of the</w:t>
              </w:r>
            </w:hyperlink>
          </w:p>
        </w:tc>
        <w:tc>
          <w:tcPr>
            <w:tcW w:w="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registrant’s Quarterly Report on Form 10-Q filed on September 23, 2022)</w:t>
              </w:r>
            </w:hyperlink>
          </w:p>
        </w:tc>
        <w:tc>
          <w:tcPr>
            <w:tcW w:w="400" w:type="dxa"/>
            <w:vAlign w:val="bottom"/>
            <w:gridSpan w:val="4"/>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31.1 *</w:t>
            </w:r>
          </w:p>
        </w:tc>
        <w:tc>
          <w:tcPr>
            <w:tcW w:w="7240" w:type="dxa"/>
            <w:vAlign w:val="bottom"/>
            <w:gridSpan w:val="11"/>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EE"/>
              </w:rPr>
              <w:t>Rule 13a—14(a) / 15d—14(a) Certifications — Chief Executive Officer.</w:t>
            </w: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1940" w:type="dxa"/>
            <w:vAlign w:val="bottom"/>
            <w:tcBorders>
              <w:left w:val="single" w:sz="8" w:color="0000EE"/>
            </w:tcBorders>
            <w:gridSpan w:val="6"/>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31.2 *</w:t>
            </w:r>
          </w:p>
        </w:tc>
        <w:tc>
          <w:tcPr>
            <w:tcW w:w="7240" w:type="dxa"/>
            <w:vAlign w:val="bottom"/>
            <w:gridSpan w:val="11"/>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EE"/>
              </w:rPr>
              <w:t>Rule 13a—14(a) / 15d—14(a) Certifications — Chief Financial Officer.</w:t>
            </w: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220" w:type="dxa"/>
            <w:vAlign w:val="bottom"/>
            <w:gridSpan w:val="2"/>
            <w:shd w:val="clear" w:color="auto" w:fill="0000EE"/>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32.1 *</w:t>
            </w:r>
          </w:p>
        </w:tc>
        <w:tc>
          <w:tcPr>
            <w:tcW w:w="7240" w:type="dxa"/>
            <w:vAlign w:val="bottom"/>
            <w:gridSpan w:val="11"/>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EE"/>
              </w:rPr>
              <w:t>Section 1350 Certification.</w:t>
            </w: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32.2 *</w:t>
            </w:r>
          </w:p>
        </w:tc>
        <w:tc>
          <w:tcPr>
            <w:tcW w:w="7240" w:type="dxa"/>
            <w:vAlign w:val="bottom"/>
            <w:gridSpan w:val="11"/>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EE"/>
              </w:rPr>
              <w:t>Section 1350 Certification.</w:t>
            </w:r>
          </w:p>
        </w:tc>
      </w:tr>
      <w:tr>
        <w:trPr>
          <w:trHeight w:val="20"/>
        </w:trPr>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101.INS *</w:t>
            </w:r>
          </w:p>
        </w:tc>
        <w:tc>
          <w:tcPr>
            <w:tcW w:w="7240" w:type="dxa"/>
            <w:vAlign w:val="bottom"/>
            <w:gridSpan w:val="11"/>
          </w:tcPr>
          <w:p>
            <w:pPr>
              <w:ind w:left="60"/>
              <w:spacing w:after="0"/>
              <w:rPr>
                <w:sz w:val="20"/>
                <w:szCs w:val="20"/>
                <w:color w:val="auto"/>
              </w:rPr>
            </w:pPr>
            <w:r>
              <w:rPr>
                <w:rFonts w:ascii="Arial" w:cs="Arial" w:eastAsia="Arial" w:hAnsi="Arial"/>
                <w:sz w:val="18"/>
                <w:szCs w:val="18"/>
                <w:color w:val="auto"/>
              </w:rPr>
              <w:t>-XBRL Instance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101.SCH *</w:t>
            </w:r>
          </w:p>
        </w:tc>
        <w:tc>
          <w:tcPr>
            <w:tcW w:w="7240" w:type="dxa"/>
            <w:vAlign w:val="bottom"/>
            <w:gridSpan w:val="11"/>
          </w:tcPr>
          <w:p>
            <w:pPr>
              <w:ind w:left="6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101.CAL *</w:t>
            </w:r>
          </w:p>
        </w:tc>
        <w:tc>
          <w:tcPr>
            <w:tcW w:w="7240" w:type="dxa"/>
            <w:vAlign w:val="bottom"/>
            <w:gridSpan w:val="11"/>
          </w:tcPr>
          <w:p>
            <w:pPr>
              <w:ind w:left="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101.DEF *</w:t>
            </w:r>
          </w:p>
        </w:tc>
        <w:tc>
          <w:tcPr>
            <w:tcW w:w="7240" w:type="dxa"/>
            <w:vAlign w:val="bottom"/>
            <w:gridSpan w:val="11"/>
          </w:tcPr>
          <w:p>
            <w:pPr>
              <w:ind w:left="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101.LAB *</w:t>
            </w:r>
          </w:p>
        </w:tc>
        <w:tc>
          <w:tcPr>
            <w:tcW w:w="7240" w:type="dxa"/>
            <w:vAlign w:val="bottom"/>
            <w:gridSpan w:val="11"/>
          </w:tcPr>
          <w:p>
            <w:pPr>
              <w:ind w:left="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EXHIBIT 101.PRE *</w:t>
            </w:r>
          </w:p>
        </w:tc>
        <w:tc>
          <w:tcPr>
            <w:tcW w:w="7240" w:type="dxa"/>
            <w:vAlign w:val="bottom"/>
            <w:gridSpan w:val="11"/>
          </w:tcPr>
          <w:p>
            <w:pPr>
              <w:ind w:left="6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00" w:type="dxa"/>
            <w:vAlign w:val="bottom"/>
            <w:gridSpan w:val="10"/>
          </w:tcPr>
          <w:p>
            <w:pPr>
              <w:spacing w:after="0"/>
              <w:rPr>
                <w:sz w:val="20"/>
                <w:szCs w:val="20"/>
                <w:color w:val="auto"/>
              </w:rPr>
            </w:pPr>
            <w:r>
              <w:rPr>
                <w:rFonts w:ascii="Arial" w:cs="Arial" w:eastAsia="Arial" w:hAnsi="Arial"/>
                <w:sz w:val="18"/>
                <w:szCs w:val="18"/>
                <w:color w:val="auto"/>
                <w:w w:val="99"/>
              </w:rPr>
              <w:t>Cover Page Interactive Data File (formatted as Inline XBRL and contained in Exhibit 101)</w:t>
            </w:r>
          </w:p>
        </w:tc>
      </w:tr>
      <w:tr>
        <w:trPr>
          <w:trHeight w:val="432"/>
        </w:trPr>
        <w:tc>
          <w:tcPr>
            <w:tcW w:w="2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Arial" w:cs="Arial" w:eastAsia="Arial" w:hAnsi="Arial"/>
                <w:sz w:val="18"/>
                <w:szCs w:val="18"/>
                <w:color w:val="auto"/>
              </w:rPr>
              <w:t>* Filed herewith</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4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00" w:type="dxa"/>
            <w:vAlign w:val="bottom"/>
            <w:gridSpan w:val="5"/>
          </w:tcPr>
          <w:p>
            <w:pPr>
              <w:ind w:left="270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00"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8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5780" w:type="dxa"/>
            <w:vAlign w:val="bottom"/>
            <w:gridSpan w:val="3"/>
          </w:tcPr>
          <w:p>
            <w:pPr>
              <w:ind w:left="1340"/>
              <w:spacing w:after="0"/>
              <w:rPr>
                <w:sz w:val="20"/>
                <w:szCs w:val="20"/>
                <w:color w:val="auto"/>
              </w:rPr>
            </w:pPr>
            <w:r>
              <w:rPr>
                <w:rFonts w:ascii="Arial" w:cs="Arial" w:eastAsia="Arial" w:hAnsi="Arial"/>
                <w:sz w:val="18"/>
                <w:szCs w:val="18"/>
                <w:b w:val="1"/>
                <w:bCs w:val="1"/>
                <w:color w:val="auto"/>
              </w:rPr>
              <w:t>LEGACY HOUSING CORPORATION</w:t>
            </w:r>
          </w:p>
        </w:tc>
      </w:tr>
      <w:tr>
        <w:trPr>
          <w:trHeight w:val="432"/>
        </w:trPr>
        <w:tc>
          <w:tcPr>
            <w:tcW w:w="3140" w:type="dxa"/>
            <w:vAlign w:val="bottom"/>
          </w:tcPr>
          <w:p>
            <w:pPr>
              <w:ind w:left="20"/>
              <w:spacing w:after="0"/>
              <w:rPr>
                <w:sz w:val="20"/>
                <w:szCs w:val="20"/>
                <w:color w:val="auto"/>
              </w:rPr>
            </w:pPr>
            <w:r>
              <w:rPr>
                <w:rFonts w:ascii="Arial" w:cs="Arial" w:eastAsia="Arial" w:hAnsi="Arial"/>
                <w:sz w:val="18"/>
                <w:szCs w:val="18"/>
                <w:color w:val="auto"/>
              </w:rPr>
              <w:t>Dated: November 8, 2022</w:t>
            </w:r>
          </w:p>
        </w:tc>
        <w:tc>
          <w:tcPr>
            <w:tcW w:w="5780" w:type="dxa"/>
            <w:vAlign w:val="bottom"/>
            <w:gridSpan w:val="3"/>
          </w:tcPr>
          <w:p>
            <w:pPr>
              <w:ind w:left="1340"/>
              <w:spacing w:after="0"/>
              <w:rPr>
                <w:sz w:val="20"/>
                <w:szCs w:val="20"/>
                <w:color w:val="auto"/>
              </w:rPr>
            </w:pPr>
            <w:r>
              <w:rPr>
                <w:rFonts w:ascii="Arial" w:cs="Arial" w:eastAsia="Arial" w:hAnsi="Arial"/>
                <w:sz w:val="18"/>
                <w:szCs w:val="18"/>
                <w:color w:val="auto"/>
              </w:rPr>
              <w:t>By:  /s/ Ronald Arrington</w:t>
            </w:r>
          </w:p>
        </w:tc>
      </w:tr>
      <w:tr>
        <w:trPr>
          <w:trHeight w:val="195"/>
        </w:trPr>
        <w:tc>
          <w:tcPr>
            <w:tcW w:w="3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Ronald Arrington</w:t>
            </w:r>
          </w:p>
        </w:tc>
        <w:tc>
          <w:tcPr>
            <w:tcW w:w="20" w:type="dxa"/>
            <w:vAlign w:val="bottom"/>
          </w:tcPr>
          <w:p>
            <w:pPr>
              <w:spacing w:after="0"/>
              <w:rPr>
                <w:sz w:val="16"/>
                <w:szCs w:val="16"/>
                <w:color w:val="auto"/>
              </w:rPr>
            </w:pPr>
          </w:p>
        </w:tc>
      </w:tr>
      <w:tr>
        <w:trPr>
          <w:trHeight w:val="216"/>
        </w:trPr>
        <w:tc>
          <w:tcPr>
            <w:tcW w:w="3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Title: Chief Financial Officer</w:t>
            </w:r>
          </w:p>
        </w:tc>
      </w:tr>
      <w:tr>
        <w:trPr>
          <w:trHeight w:val="216"/>
        </w:trPr>
        <w:tc>
          <w:tcPr>
            <w:tcW w:w="3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(On behalf of Registrant and as Principal Financial</w:t>
            </w:r>
          </w:p>
        </w:tc>
      </w:tr>
      <w:tr>
        <w:trPr>
          <w:trHeight w:val="230"/>
        </w:trPr>
        <w:tc>
          <w:tcPr>
            <w:tcW w:w="3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Officer)</w:t>
            </w:r>
          </w:p>
        </w:tc>
      </w:tr>
      <w:tr>
        <w:trPr>
          <w:trHeight w:val="891"/>
        </w:trPr>
        <w:tc>
          <w:tcPr>
            <w:tcW w:w="3140" w:type="dxa"/>
            <w:vAlign w:val="bottom"/>
          </w:tcPr>
          <w:p>
            <w:pPr>
              <w:spacing w:after="0"/>
              <w:rPr>
                <w:sz w:val="24"/>
                <w:szCs w:val="24"/>
                <w:color w:val="auto"/>
              </w:rPr>
            </w:pP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40</w:t>
            </w: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Duncan Bates, certify that:</w:t>
      </w:r>
    </w:p>
    <w:p>
      <w:pPr>
        <w:spacing w:after="0" w:line="225" w:lineRule="exact"/>
        <w:rPr>
          <w:sz w:val="20"/>
          <w:szCs w:val="20"/>
          <w:color w:val="auto"/>
        </w:rPr>
      </w:pPr>
    </w:p>
    <w:p>
      <w:pPr>
        <w:ind w:left="840" w:hanging="184"/>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Legacy Housing Corporation;</w:t>
      </w:r>
    </w:p>
    <w:p>
      <w:pPr>
        <w:spacing w:after="0" w:line="225" w:lineRule="exact"/>
        <w:rPr>
          <w:rFonts w:ascii="Arial" w:cs="Arial" w:eastAsia="Arial" w:hAnsi="Arial"/>
          <w:sz w:val="18"/>
          <w:szCs w:val="18"/>
          <w:color w:val="auto"/>
        </w:rPr>
      </w:pPr>
    </w:p>
    <w:p>
      <w:pPr>
        <w:ind w:right="240" w:firstLine="656"/>
        <w:spacing w:after="0" w:line="263" w:lineRule="auto"/>
        <w:tabs>
          <w:tab w:leader="none" w:pos="8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00" w:firstLine="656"/>
        <w:spacing w:after="0" w:line="263" w:lineRule="auto"/>
        <w:tabs>
          <w:tab w:leader="none" w:pos="8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656"/>
        <w:spacing w:after="0" w:line="263" w:lineRule="auto"/>
        <w:tabs>
          <w:tab w:leader="none" w:pos="8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60" w:right="240" w:firstLine="655"/>
        <w:spacing w:after="0" w:line="311" w:lineRule="auto"/>
        <w:tabs>
          <w:tab w:leader="none" w:pos="1198"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60" w:right="60" w:firstLine="655"/>
        <w:spacing w:after="0" w:line="286" w:lineRule="auto"/>
        <w:tabs>
          <w:tab w:leader="none" w:pos="1208"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right="80" w:firstLine="655"/>
        <w:spacing w:after="0" w:line="263" w:lineRule="auto"/>
        <w:tabs>
          <w:tab w:leader="none" w:pos="11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60" w:right="20" w:firstLine="655"/>
        <w:spacing w:after="0" w:line="286" w:lineRule="auto"/>
        <w:tabs>
          <w:tab w:leader="none" w:pos="1208"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656"/>
        <w:spacing w:after="0" w:line="263" w:lineRule="auto"/>
        <w:tabs>
          <w:tab w:leader="none" w:pos="8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right="320" w:firstLine="655"/>
        <w:spacing w:after="0" w:line="263" w:lineRule="auto"/>
        <w:tabs>
          <w:tab w:leader="none" w:pos="119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60" w:right="360" w:firstLine="655"/>
        <w:spacing w:after="0" w:line="277" w:lineRule="auto"/>
        <w:tabs>
          <w:tab w:leader="none" w:pos="12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8,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Duncan Bates</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Duncan Bates</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Ronald Arrington, certify that:</w:t>
      </w:r>
    </w:p>
    <w:p>
      <w:pPr>
        <w:spacing w:after="0" w:line="225" w:lineRule="exact"/>
        <w:rPr>
          <w:sz w:val="20"/>
          <w:szCs w:val="20"/>
          <w:color w:val="auto"/>
        </w:rPr>
      </w:pPr>
    </w:p>
    <w:p>
      <w:pPr>
        <w:ind w:left="840" w:hanging="184"/>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Legacy Housing Corporation;</w:t>
      </w:r>
    </w:p>
    <w:p>
      <w:pPr>
        <w:spacing w:after="0" w:line="225" w:lineRule="exact"/>
        <w:rPr>
          <w:rFonts w:ascii="Arial" w:cs="Arial" w:eastAsia="Arial" w:hAnsi="Arial"/>
          <w:sz w:val="18"/>
          <w:szCs w:val="18"/>
          <w:color w:val="auto"/>
        </w:rPr>
      </w:pPr>
    </w:p>
    <w:p>
      <w:pPr>
        <w:ind w:right="240" w:firstLine="656"/>
        <w:spacing w:after="0" w:line="263"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00" w:firstLine="656"/>
        <w:spacing w:after="0" w:line="263"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656"/>
        <w:spacing w:after="0" w:line="263"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60" w:right="240" w:firstLine="655"/>
        <w:spacing w:after="0" w:line="311" w:lineRule="auto"/>
        <w:tabs>
          <w:tab w:leader="none" w:pos="1198"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60" w:right="60" w:firstLine="655"/>
        <w:spacing w:after="0" w:line="286" w:lineRule="auto"/>
        <w:tabs>
          <w:tab w:leader="none" w:pos="120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right="80" w:firstLine="655"/>
        <w:spacing w:after="0" w:line="263" w:lineRule="auto"/>
        <w:tabs>
          <w:tab w:leader="none" w:pos="11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60" w:right="20" w:firstLine="655"/>
        <w:spacing w:after="0" w:line="286" w:lineRule="auto"/>
        <w:tabs>
          <w:tab w:leader="none" w:pos="120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656"/>
        <w:spacing w:after="0" w:line="263"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right="320" w:firstLine="655"/>
        <w:spacing w:after="0" w:line="263" w:lineRule="auto"/>
        <w:tabs>
          <w:tab w:leader="none" w:pos="11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60" w:right="360" w:firstLine="655"/>
        <w:spacing w:after="0" w:line="277" w:lineRule="auto"/>
        <w:tabs>
          <w:tab w:leader="none" w:pos="12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8,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Arrington</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Ronald Arrington</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quarterly report of Legacy Housing Corporation (the “Company”) on Form 10-Q for the quarter ended September 30, 2022, as filed with the Securities and Exchange Commission on the date hereof (the “Report”), I, Duncan Bates, President and Chief Executive Officer of the Company, certify, pursuant to 18 U.S.C. §1350, as adopted pursuant to Section 906 of the Sarbanes-Oxley Act of 2002, that:</w:t>
      </w:r>
    </w:p>
    <w:p>
      <w:pPr>
        <w:spacing w:after="0" w:line="187" w:lineRule="exact"/>
        <w:rPr>
          <w:sz w:val="20"/>
          <w:szCs w:val="20"/>
          <w:color w:val="auto"/>
        </w:rPr>
      </w:pPr>
    </w:p>
    <w:p>
      <w:pPr>
        <w:ind w:left="1300" w:right="260" w:hanging="644"/>
        <w:spacing w:after="0" w:line="277" w:lineRule="auto"/>
        <w:tabs>
          <w:tab w:leader="none" w:pos="12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8,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Duncan Bates</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Duncan Bates</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quarterly report of Legacy Housing Corporation (the “Company”) on Form 10-Q for the quarter ended September 30, 2022, as filed with the Securities and Exchange Commission on the date hereof (the “Report”), I, Ronald Arrington, Chief Financial Officer of the Company, certify, pursuant to 18 U.S.C. §1350, as adopted pursuant to Section 906 of the Sarbanes-Oxley Act of 2002, that:</w:t>
      </w:r>
    </w:p>
    <w:p>
      <w:pPr>
        <w:spacing w:after="0" w:line="187" w:lineRule="exact"/>
        <w:rPr>
          <w:sz w:val="20"/>
          <w:szCs w:val="20"/>
          <w:color w:val="auto"/>
        </w:rPr>
      </w:pPr>
    </w:p>
    <w:p>
      <w:pPr>
        <w:ind w:left="1300" w:right="260" w:hanging="644"/>
        <w:spacing w:after="0" w:line="277" w:lineRule="auto"/>
        <w:tabs>
          <w:tab w:leader="none" w:pos="12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November 8, 2022</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Arrington</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Ronald Arrington</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o"/>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hyperlink" Target="https://www.sec.gov/Archives/edgar/data/1436208/000155837022009989/legh-20220607xex10d1.htm" TargetMode="External"/><Relationship Id="rId55" Type="http://schemas.openxmlformats.org/officeDocument/2006/relationships/hyperlink" Target="https://www.sec.gov/Archives/edgar/data/1436208/000155837022014590/legh-20220630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2022-11-08T16:22:23Z</dcterms:created>
  <dcterms:modified xsi:type="dcterms:W3CDTF">2022-11-08T16:22:23Z</dcterms:modified>
</cp:coreProperties>
</file>