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74930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4" w:lineRule="exact"/>
        <w:rPr>
          <w:sz w:val="24"/>
          <w:szCs w:val="24"/>
          <w:color w:val="auto"/>
        </w:rPr>
      </w:pPr>
    </w:p>
    <w:p>
      <w:pPr>
        <w:ind w:left="450" w:right="180" w:hanging="450"/>
        <w:spacing w:after="0" w:line="237" w:lineRule="auto"/>
        <w:tabs>
          <w:tab w:leader="none" w:pos="45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-274955</wp:posOffset>
            </wp:positionV>
            <wp:extent cx="130810" cy="100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810" cy="100965"/>
                    </a:xfrm>
                    <a:prstGeom prst="rect">
                      <a:avLst/>
                    </a:prstGeom>
                    <a:noFill/>
                  </pic:spPr>
                </pic:pic>
              </a:graphicData>
            </a:graphic>
          </wp:anchor>
        </w:drawing>
      </w:r>
    </w:p>
    <w:p>
      <w:pPr>
        <w:spacing w:after="0" w:line="1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7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2" w:lineRule="exact"/>
        <w:rPr>
          <w:sz w:val="24"/>
          <w:szCs w:val="24"/>
          <w:color w:val="auto"/>
        </w:rPr>
      </w:pPr>
    </w:p>
    <w:p>
      <w:pPr>
        <w:ind w:left="450" w:right="160" w:hanging="450"/>
        <w:spacing w:after="0" w:line="237" w:lineRule="auto"/>
        <w:tabs>
          <w:tab w:leader="none" w:pos="45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-271145</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2" w:lineRule="exact"/>
        <w:rPr>
          <w:sz w:val="24"/>
          <w:szCs w:val="24"/>
          <w:color w:val="auto"/>
        </w:rPr>
      </w:pPr>
    </w:p>
    <w:p>
      <w:pPr>
        <w:ind w:left="3770"/>
        <w:spacing w:after="0"/>
        <w:tabs>
          <w:tab w:leader="none" w:pos="62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Legacy Housing Corporation</w:t>
      </w:r>
    </w:p>
    <w:p>
      <w:pPr>
        <w:spacing w:after="0" w:line="4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p>
      <w:pPr>
        <w:spacing w:after="0" w:line="296" w:lineRule="exact"/>
        <w:rPr>
          <w:sz w:val="24"/>
          <w:szCs w:val="24"/>
          <w:color w:val="auto"/>
        </w:rPr>
      </w:pPr>
    </w:p>
    <w:p>
      <w:pPr>
        <w:ind w:left="239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8" w:lineRule="exact"/>
        <w:rPr>
          <w:sz w:val="24"/>
          <w:szCs w:val="24"/>
          <w:color w:val="auto"/>
        </w:rPr>
      </w:pPr>
    </w:p>
    <w:p>
      <w:pPr>
        <w:ind w:left="165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1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20-2897516</w:t>
      </w:r>
    </w:p>
    <w:p>
      <w:pPr>
        <w:spacing w:after="0" w:line="2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0" w:lineRule="exact"/>
        <w:rPr>
          <w:sz w:val="24"/>
          <w:szCs w:val="24"/>
          <w:color w:val="auto"/>
        </w:rPr>
      </w:pPr>
    </w:p>
    <w:p>
      <w:pPr>
        <w:sectPr>
          <w:pgSz w:w="11900" w:h="16838" w:orient="portrait"/>
          <w:cols w:equalWidth="0" w:num="2">
            <w:col w:w="6370" w:space="720"/>
            <w:col w:w="3140"/>
          </w:cols>
          <w:pgMar w:left="830" w:top="661" w:right="839" w:bottom="1440" w:gutter="0" w:footer="0" w:header="0"/>
          <w:type w:val="continuous"/>
        </w:sect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1600 Airport Freeway, #100</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Bedford, Texas 76022</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(Zip Code)</w:t>
      </w:r>
    </w:p>
    <w:p>
      <w:pPr>
        <w:sectPr>
          <w:pgSz w:w="11900" w:h="16838" w:orient="portrait"/>
          <w:cols w:equalWidth="0" w:num="1">
            <w:col w:w="10230"/>
          </w:cols>
          <w:pgMar w:left="830" w:top="661" w:right="839" w:bottom="1440" w:gutter="0" w:footer="0" w:header="0"/>
          <w:type w:val="continuous"/>
        </w:sectPr>
      </w:pP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(817) 799-4900</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135890</wp:posOffset>
            </wp:positionV>
            <wp:extent cx="162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2" w:lineRule="exact"/>
        <w:rPr>
          <w:sz w:val="24"/>
          <w:szCs w:val="24"/>
          <w:color w:val="auto"/>
        </w:rPr>
      </w:pPr>
    </w:p>
    <w:p>
      <w:pPr>
        <w:ind w:left="10" w:right="34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left="10" w:right="44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left="10" w:right="5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type w:val="continuous"/>
        </w:sectPr>
      </w:pPr>
    </w:p>
    <w:p>
      <w:pPr>
        <w:spacing w:after="0" w:line="1" w:lineRule="exact"/>
        <w:rPr>
          <w:sz w:val="24"/>
          <w:szCs w:val="24"/>
          <w:color w:val="auto"/>
        </w:rPr>
      </w:pPr>
    </w:p>
    <w:p>
      <w:pPr>
        <w:ind w:left="169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530" w:space="720"/>
            <w:col w:w="2980"/>
          </w:cols>
          <w:pgMar w:left="830" w:top="661" w:right="839" w:bottom="1440" w:gutter="0" w:footer="0" w:header="0"/>
          <w:type w:val="continuous"/>
        </w:sectPr>
      </w:pPr>
    </w:p>
    <w:p>
      <w:pPr>
        <w:spacing w:after="0" w:line="21" w:lineRule="exact"/>
        <w:rPr>
          <w:sz w:val="24"/>
          <w:szCs w:val="24"/>
          <w:color w:val="auto"/>
        </w:rPr>
      </w:pPr>
    </w:p>
    <w:p>
      <w:pPr>
        <w:ind w:left="173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ectPr>
          <w:pgSz w:w="11900" w:h="16838" w:orient="portrait"/>
          <w:cols w:equalWidth="0" w:num="2">
            <w:col w:w="6190" w:space="720"/>
            <w:col w:w="3320"/>
          </w:cols>
          <w:pgMar w:left="830" w:top="661" w:right="839" w:bottom="1440" w:gutter="0" w:footer="0" w:header="0"/>
          <w:type w:val="continuous"/>
        </w:sectPr>
      </w:pPr>
    </w:p>
    <w:p>
      <w:pPr>
        <w:ind w:left="10" w:right="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73"/>
        </w:trPr>
        <w:tc>
          <w:tcPr>
            <w:tcW w:w="3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LEGH</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14" w:lineRule="exact"/>
        <w:rPr>
          <w:sz w:val="24"/>
          <w:szCs w:val="24"/>
          <w:color w:val="auto"/>
        </w:rPr>
      </w:pPr>
    </w:p>
    <w:p>
      <w:pPr>
        <w:ind w:left="650"/>
        <w:spacing w:after="0"/>
        <w:rPr>
          <w:sz w:val="20"/>
          <w:szCs w:val="20"/>
          <w:color w:val="auto"/>
        </w:rPr>
      </w:pPr>
      <w:r>
        <w:rPr>
          <w:rFonts w:ascii="Times New Roman" w:cs="Times New Roman" w:eastAsia="Times New Roman" w:hAnsi="Times New Roman"/>
          <w:sz w:val="16"/>
          <w:szCs w:val="16"/>
          <w:color w:val="auto"/>
        </w:rPr>
        <w:t>There were 24,192,157 shares of Common Stock ($0.001 par value) outstanding as of November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577850</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140335</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79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931"/>
        </w:trPr>
        <w:tc>
          <w:tcPr>
            <w:tcW w:w="900" w:type="dxa"/>
            <w:vAlign w:val="bottom"/>
          </w:tcPr>
          <w:p>
            <w:pPr>
              <w:spacing w:after="0"/>
              <w:rPr>
                <w:sz w:val="24"/>
                <w:szCs w:val="24"/>
                <w:color w:val="auto"/>
              </w:rPr>
            </w:pPr>
          </w:p>
        </w:tc>
        <w:tc>
          <w:tcPr>
            <w:tcW w:w="708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708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0"/>
        </w:trPr>
        <w:tc>
          <w:tcPr>
            <w:tcW w:w="9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7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9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 FINANCIAL INFORMATION</w:t>
              </w:r>
            </w:hyperlink>
          </w:p>
        </w:tc>
        <w:tc>
          <w:tcPr>
            <w:tcW w:w="5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980" w:type="dxa"/>
            <w:vAlign w:val="bottom"/>
            <w:gridSpan w:val="2"/>
          </w:tcPr>
          <w:p>
            <w:pPr>
              <w:ind w:left="2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 (Unaudited)</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980" w:type="dxa"/>
            <w:vAlign w:val="bottom"/>
            <w:gridSpan w:val="2"/>
          </w:tcPr>
          <w:p>
            <w:pPr>
              <w:ind w:left="28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7980" w:type="dxa"/>
            <w:vAlign w:val="bottom"/>
            <w:gridSpan w:val="2"/>
          </w:tcPr>
          <w:p>
            <w:pPr>
              <w:ind w:left="28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7980" w:type="dxa"/>
            <w:vAlign w:val="bottom"/>
            <w:gridSpan w:val="2"/>
          </w:tcPr>
          <w:p>
            <w:pPr>
              <w:ind w:left="28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Item 4.   Controls and Procedures</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79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PART II - OTHER INFORMATION</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900" w:type="dxa"/>
            <w:vAlign w:val="bottom"/>
          </w:tcPr>
          <w:p>
            <w:pPr>
              <w:ind w:left="28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1.</w:t>
              </w:r>
            </w:hyperlink>
          </w:p>
        </w:tc>
        <w:tc>
          <w:tcPr>
            <w:tcW w:w="7080" w:type="dxa"/>
            <w:vAlign w:val="bottom"/>
          </w:tcPr>
          <w:p>
            <w:pPr>
              <w:ind w:left="1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Legal Proceedings</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7980" w:type="dxa"/>
            <w:vAlign w:val="bottom"/>
            <w:gridSpan w:val="2"/>
          </w:tcPr>
          <w:p>
            <w:pPr>
              <w:ind w:left="28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7980" w:type="dxa"/>
            <w:vAlign w:val="bottom"/>
            <w:gridSpan w:val="2"/>
          </w:tcPr>
          <w:p>
            <w:pPr>
              <w:ind w:left="28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3.   Defaults Upon Senior Securities</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900" w:type="dxa"/>
            <w:vAlign w:val="bottom"/>
          </w:tcPr>
          <w:p>
            <w:pPr>
              <w:ind w:left="28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4.</w:t>
              </w:r>
            </w:hyperlink>
          </w:p>
        </w:tc>
        <w:tc>
          <w:tcPr>
            <w:tcW w:w="7080" w:type="dxa"/>
            <w:vAlign w:val="bottom"/>
          </w:tcPr>
          <w:p>
            <w:pPr>
              <w:ind w:left="1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Mine Safety Disclosures</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900" w:type="dxa"/>
            <w:vAlign w:val="bottom"/>
          </w:tcPr>
          <w:p>
            <w:pPr>
              <w:ind w:left="28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5.</w:t>
              </w:r>
            </w:hyperlink>
          </w:p>
        </w:tc>
        <w:tc>
          <w:tcPr>
            <w:tcW w:w="7080" w:type="dxa"/>
            <w:vAlign w:val="bottom"/>
          </w:tcPr>
          <w:p>
            <w:pPr>
              <w:ind w:left="1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Other Information</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900" w:type="dxa"/>
            <w:vAlign w:val="bottom"/>
          </w:tcPr>
          <w:p>
            <w:pPr>
              <w:ind w:left="28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6.</w:t>
              </w:r>
            </w:hyperlink>
          </w:p>
        </w:tc>
        <w:tc>
          <w:tcPr>
            <w:tcW w:w="7080" w:type="dxa"/>
            <w:vAlign w:val="bottom"/>
          </w:tcPr>
          <w:p>
            <w:pPr>
              <w:ind w:left="1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Exhibits</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79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SIGNATURES</w:t>
              </w:r>
            </w:hyperlink>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654"/>
        </w:trPr>
        <w:tc>
          <w:tcPr>
            <w:tcW w:w="90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(in thousands, except share and per share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02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consumer loans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5,994</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Current portion of notes receivable from mobile home parks (“MHP”)</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10,969</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other notes receivable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4,857</w:t>
            </w:r>
          </w:p>
        </w:tc>
        <w:tc>
          <w:tcPr>
            <w:tcW w:w="0" w:type="dxa"/>
            <w:vAlign w:val="bottom"/>
          </w:tcPr>
          <w:p>
            <w:pPr>
              <w:spacing w:after="0"/>
              <w:rPr>
                <w:sz w:val="1"/>
                <w:szCs w:val="1"/>
                <w:color w:val="auto"/>
              </w:rPr>
            </w:pPr>
          </w:p>
        </w:tc>
      </w:tr>
      <w:tr>
        <w:trPr>
          <w:trHeight w:val="196"/>
        </w:trPr>
        <w:tc>
          <w:tcPr>
            <w:tcW w:w="6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52,967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21,038</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Consumer loans, net of deferred financing fees and allowance for loan losses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103,406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99,048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receivable from mobile home parks (“MHP”)</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81,375</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Other notes receivable, net of allowance for loan losses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13,050</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7"/>
                <w:szCs w:val="17"/>
                <w:color w:val="auto"/>
              </w:rPr>
              <w:t>Inventory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11,930</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328,380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283,620</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19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4,762</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8,808</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Customer deposits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Escrow liability</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7,530</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Line of credit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28,860</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51,933</w:t>
            </w:r>
          </w:p>
        </w:tc>
        <w:tc>
          <w:tcPr>
            <w:tcW w:w="0" w:type="dxa"/>
            <w:vAlign w:val="bottom"/>
          </w:tcPr>
          <w:p>
            <w:pPr>
              <w:spacing w:after="0"/>
              <w:rPr>
                <w:sz w:val="1"/>
                <w:szCs w:val="1"/>
                <w:color w:val="auto"/>
              </w:rPr>
            </w:pPr>
          </w:p>
        </w:tc>
      </w:tr>
      <w:tr>
        <w:trPr>
          <w:trHeight w:val="216"/>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Lines of credit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income taxes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Dealer incentive liability</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5,531</w:t>
            </w:r>
          </w:p>
        </w:tc>
        <w:tc>
          <w:tcPr>
            <w:tcW w:w="0" w:type="dxa"/>
            <w:vAlign w:val="bottom"/>
          </w:tcPr>
          <w:p>
            <w:pPr>
              <w:spacing w:after="0"/>
              <w:rPr>
                <w:sz w:val="1"/>
                <w:szCs w:val="1"/>
                <w:color w:val="auto"/>
              </w:rPr>
            </w:pPr>
          </w:p>
        </w:tc>
      </w:tr>
      <w:tr>
        <w:trPr>
          <w:trHeight w:val="196"/>
        </w:trPr>
        <w:tc>
          <w:tcPr>
            <w:tcW w:w="6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61,231</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issued -0-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656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Common stock, $.001 par value, 90,000,000 shares authorized; 24,637,222 and 24,620,079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issued and 24,192,157 and 24,320,079 outstanding at September 30, 2020 and December 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2019, respectively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82"/>
        </w:trPr>
        <w:tc>
          <w:tcPr>
            <w:tcW w:w="65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Treasury stock at cost, 445,065 and 300,000 shares at September 30, 2020 and December 31,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2019, respectively</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Additional paid-in-capital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175,067</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77,865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50,357</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248,657</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222,389</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328,380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283,620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sales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Dealer incentive</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Miscellaneous, net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settlement, net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w:t>
            </w: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24,192,157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24,317,143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24,214,279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24,338,839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24,243,927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24,421,355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268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20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loan loss—consumer loans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 based payment expense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loans originations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loans principal collections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receivable MHP originations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MHP principal collections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Dealer incentive liability</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notes receivable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collections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consumer loans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Collections from purchased consumer loans</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sale of over-allotment common stock in initial public offering</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Offering cost for over-allotment of initial public offering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stock purchase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issuance of note payable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payments on note payable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Escrow liability,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lines of credit, 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on lines of credit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6,728</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LEGACY HOUSING CORPORATION</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5"/>
                <w:szCs w:val="15"/>
                <w:color w:val="auto"/>
              </w:rPr>
            </w:pPr>
          </w:p>
        </w:tc>
        <w:tc>
          <w:tcPr>
            <w:tcW w:w="8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paid-in-capital</w:t>
            </w:r>
          </w:p>
        </w:tc>
        <w:tc>
          <w:tcPr>
            <w:tcW w:w="60" w:type="dxa"/>
            <w:vAlign w:val="bottom"/>
          </w:tcPr>
          <w:p>
            <w:pPr>
              <w:spacing w:after="0"/>
              <w:rPr>
                <w:sz w:val="12"/>
                <w:szCs w:val="12"/>
                <w:color w:val="auto"/>
              </w:rPr>
            </w:pPr>
          </w:p>
        </w:tc>
        <w:tc>
          <w:tcPr>
            <w:tcW w:w="7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2018</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$ 21,513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$ 189,280</w:t>
            </w:r>
          </w:p>
        </w:tc>
        <w:tc>
          <w:tcPr>
            <w:tcW w:w="60" w:type="dxa"/>
            <w:vAlign w:val="bottom"/>
          </w:tcPr>
          <w:p>
            <w:pPr>
              <w:spacing w:after="0"/>
              <w:rPr>
                <w:sz w:val="18"/>
                <w:szCs w:val="18"/>
                <w:color w:val="auto"/>
              </w:rPr>
            </w:pPr>
          </w:p>
        </w:tc>
      </w:tr>
      <w:tr>
        <w:trPr>
          <w:trHeight w:val="178"/>
        </w:trPr>
        <w:tc>
          <w:tcPr>
            <w:tcW w:w="37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Sale of over-allotment common stock in initial</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offering, net of offering costs of $505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60" w:type="dxa"/>
            <w:vAlign w:val="bottom"/>
          </w:tcPr>
          <w:p>
            <w:pPr>
              <w:spacing w:after="0"/>
              <w:rPr>
                <w:sz w:val="20"/>
                <w:szCs w:val="20"/>
                <w:color w:val="auto"/>
              </w:rPr>
            </w:pPr>
          </w:p>
        </w:tc>
      </w:tr>
      <w:tr>
        <w:trPr>
          <w:trHeight w:val="198"/>
        </w:trPr>
        <w:tc>
          <w:tcPr>
            <w:tcW w:w="3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 based compensation expense and stock</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units vested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20"/>
                <w:szCs w:val="20"/>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60" w:type="dxa"/>
            <w:vAlign w:val="bottom"/>
          </w:tcPr>
          <w:p>
            <w:pPr>
              <w:spacing w:after="0"/>
              <w:rPr>
                <w:sz w:val="18"/>
                <w:szCs w:val="18"/>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2019</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24,617,143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203,422</w:t>
            </w:r>
          </w:p>
        </w:tc>
        <w:tc>
          <w:tcPr>
            <w:tcW w:w="60" w:type="dxa"/>
            <w:vAlign w:val="bottom"/>
          </w:tcPr>
          <w:p>
            <w:pPr>
              <w:spacing w:after="0"/>
              <w:rPr>
                <w:sz w:val="18"/>
                <w:szCs w:val="18"/>
                <w:color w:val="auto"/>
              </w:rPr>
            </w:pPr>
          </w:p>
        </w:tc>
      </w:tr>
      <w:tr>
        <w:trPr>
          <w:trHeight w:val="178"/>
        </w:trPr>
        <w:tc>
          <w:tcPr>
            <w:tcW w:w="37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Share based compensation expense and stock</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units vested</w:t>
            </w:r>
          </w:p>
        </w:tc>
        <w:tc>
          <w:tcPr>
            <w:tcW w:w="6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20"/>
                <w:szCs w:val="20"/>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(3,060)</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60" w:type="dxa"/>
            <w:vAlign w:val="bottom"/>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60" w:type="dxa"/>
            <w:vAlign w:val="bottom"/>
          </w:tcPr>
          <w:p>
            <w:pPr>
              <w:spacing w:after="0"/>
              <w:rPr>
                <w:sz w:val="18"/>
                <w:szCs w:val="18"/>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2019</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24,617,143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209,182</w:t>
            </w:r>
          </w:p>
        </w:tc>
        <w:tc>
          <w:tcPr>
            <w:tcW w:w="60" w:type="dxa"/>
            <w:vAlign w:val="bottom"/>
          </w:tcPr>
          <w:p>
            <w:pPr>
              <w:spacing w:after="0"/>
              <w:rPr>
                <w:sz w:val="18"/>
                <w:szCs w:val="18"/>
                <w:color w:val="auto"/>
              </w:rPr>
            </w:pPr>
          </w:p>
        </w:tc>
      </w:tr>
      <w:tr>
        <w:trPr>
          <w:trHeight w:val="178"/>
        </w:trPr>
        <w:tc>
          <w:tcPr>
            <w:tcW w:w="37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Share based compensation expense and stock</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units vested</w:t>
            </w:r>
          </w:p>
        </w:tc>
        <w:tc>
          <w:tcPr>
            <w:tcW w:w="6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60" w:type="dxa"/>
            <w:vAlign w:val="bottom"/>
          </w:tcPr>
          <w:p>
            <w:pPr>
              <w:spacing w:after="0"/>
              <w:rPr>
                <w:sz w:val="18"/>
                <w:szCs w:val="18"/>
                <w:color w:val="auto"/>
              </w:rPr>
            </w:pPr>
          </w:p>
        </w:tc>
      </w:tr>
      <w:tr>
        <w:trPr>
          <w:trHeight w:val="250"/>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September 30, 2019</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24,617,143</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 (3,060)</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174,959</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$ 43,497</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$ 215,421</w:t>
            </w:r>
          </w:p>
        </w:tc>
        <w:tc>
          <w:tcPr>
            <w:tcW w:w="60" w:type="dxa"/>
            <w:vAlign w:val="bottom"/>
          </w:tcPr>
          <w:p>
            <w:pPr>
              <w:spacing w:after="0"/>
              <w:rPr>
                <w:sz w:val="21"/>
                <w:szCs w:val="21"/>
                <w:color w:val="auto"/>
              </w:rPr>
            </w:pPr>
          </w:p>
        </w:tc>
      </w:tr>
      <w:tr>
        <w:trPr>
          <w:trHeight w:val="196"/>
        </w:trPr>
        <w:tc>
          <w:tcPr>
            <w:tcW w:w="3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378"/>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4"/>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paid-in-capital</w:t>
            </w:r>
          </w:p>
        </w:tc>
        <w:tc>
          <w:tcPr>
            <w:tcW w:w="6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2019</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24,620,079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u w:val="single" w:color="auto"/>
                <w:color w:val="auto"/>
                <w:w w:val="98"/>
              </w:rPr>
              <w:t>(3,060)</w:t>
            </w:r>
            <w:r>
              <w:rPr>
                <w:rFonts w:ascii="Times New Roman" w:cs="Times New Roman" w:eastAsia="Times New Roman" w:hAnsi="Times New Roman"/>
                <w:sz w:val="18"/>
                <w:szCs w:val="18"/>
                <w:color w:val="auto"/>
                <w:w w:val="98"/>
              </w:rPr>
              <w:t>$</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175,067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$ 50,357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$ 222,389</w:t>
            </w:r>
          </w:p>
        </w:tc>
      </w:tr>
      <w:tr>
        <w:trPr>
          <w:trHeight w:val="178"/>
        </w:trPr>
        <w:tc>
          <w:tcPr>
            <w:tcW w:w="37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Share based compensation expense and stock</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units vested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17,143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(682)</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9,025</w:t>
            </w: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9,025</w:t>
            </w: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2020</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24,637,222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(3,742)</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175,164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230,829</w:t>
            </w:r>
          </w:p>
        </w:tc>
      </w:tr>
      <w:tr>
        <w:trPr>
          <w:trHeight w:val="178"/>
        </w:trPr>
        <w:tc>
          <w:tcPr>
            <w:tcW w:w="37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Share based compensation expense and stock</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units vested</w:t>
            </w:r>
          </w:p>
        </w:tc>
        <w:tc>
          <w:tcPr>
            <w:tcW w:w="6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(735)</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10,037</w:t>
            </w: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10,037</w:t>
            </w: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June 30, 2020</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24,637,222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(4,477)</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175,200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69,419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240,167</w:t>
            </w:r>
          </w:p>
        </w:tc>
      </w:tr>
      <w:tr>
        <w:trPr>
          <w:trHeight w:val="178"/>
        </w:trPr>
        <w:tc>
          <w:tcPr>
            <w:tcW w:w="37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Share based compensation expense and stock</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units vested</w:t>
            </w:r>
          </w:p>
        </w:tc>
        <w:tc>
          <w:tcPr>
            <w:tcW w:w="6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8,446</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8,446</w:t>
            </w: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September 30, 2020</w:t>
            </w: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24,637,222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u w:val="single" w:color="auto"/>
                <w:color w:val="auto"/>
                <w:w w:val="98"/>
              </w:rPr>
              <w:t>(4,477)</w:t>
            </w:r>
            <w:r>
              <w:rPr>
                <w:rFonts w:ascii="Times New Roman" w:cs="Times New Roman" w:eastAsia="Times New Roman" w:hAnsi="Times New Roman"/>
                <w:sz w:val="18"/>
                <w:szCs w:val="18"/>
                <w:color w:val="auto"/>
                <w:w w:val="98"/>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175,244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$ 77,865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$ 248,657</w:t>
            </w:r>
          </w:p>
        </w:tc>
      </w:tr>
      <w:tr>
        <w:trPr>
          <w:trHeight w:val="20"/>
        </w:trPr>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60" w:right="59"/>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ind w:left="60" w:right="119" w:firstLine="713"/>
        <w:spacing w:after="0" w:line="261" w:lineRule="auto"/>
        <w:rPr>
          <w:sz w:val="20"/>
          <w:szCs w:val="20"/>
          <w:color w:val="auto"/>
        </w:rPr>
      </w:pPr>
      <w:r>
        <w:rPr>
          <w:rFonts w:ascii="Times New Roman" w:cs="Times New Roman" w:eastAsia="Times New Roman" w:hAnsi="Times New Roman"/>
          <w:sz w:val="18"/>
          <w:szCs w:val="18"/>
          <w:color w:val="auto"/>
        </w:rPr>
        <w:t>Legacy Housing Corporation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39" w:lineRule="exact"/>
        <w:rPr>
          <w:sz w:val="20"/>
          <w:szCs w:val="20"/>
          <w:color w:val="auto"/>
        </w:rPr>
      </w:pPr>
    </w:p>
    <w:p>
      <w:pPr>
        <w:ind w:left="60" w:right="79" w:firstLine="713"/>
        <w:spacing w:after="0" w:line="258" w:lineRule="auto"/>
        <w:rPr>
          <w:sz w:val="20"/>
          <w:szCs w:val="20"/>
          <w:color w:val="auto"/>
        </w:rPr>
      </w:pPr>
      <w:r>
        <w:rPr>
          <w:rFonts w:ascii="Times New Roman" w:cs="Times New Roman" w:eastAsia="Times New Roman" w:hAnsi="Times New Roman"/>
          <w:sz w:val="18"/>
          <w:szCs w:val="18"/>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56" w:lineRule="exact"/>
        <w:rPr>
          <w:sz w:val="20"/>
          <w:szCs w:val="20"/>
          <w:color w:val="auto"/>
        </w:rPr>
      </w:pPr>
    </w:p>
    <w:p>
      <w:pPr>
        <w:ind w:left="60" w:right="119" w:firstLine="713"/>
        <w:spacing w:after="0" w:line="258" w:lineRule="auto"/>
        <w:rPr>
          <w:sz w:val="20"/>
          <w:szCs w:val="20"/>
          <w:color w:val="auto"/>
        </w:rPr>
      </w:pPr>
      <w:r>
        <w:rPr>
          <w:rFonts w:ascii="Times New Roman" w:cs="Times New Roman" w:eastAsia="Times New Roman" w:hAnsi="Times New Roman"/>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43" w:lineRule="exact"/>
        <w:rPr>
          <w:sz w:val="20"/>
          <w:szCs w:val="20"/>
          <w:color w:val="auto"/>
        </w:rPr>
      </w:pPr>
    </w:p>
    <w:p>
      <w:pPr>
        <w:ind w:left="60" w:right="59" w:firstLine="713"/>
        <w:spacing w:after="0" w:line="254" w:lineRule="auto"/>
        <w:rPr>
          <w:sz w:val="20"/>
          <w:szCs w:val="20"/>
          <w:color w:val="auto"/>
        </w:rPr>
      </w:pPr>
      <w:r>
        <w:rPr>
          <w:rFonts w:ascii="Times New Roman" w:cs="Times New Roman" w:eastAsia="Times New Roman" w:hAnsi="Times New Roman"/>
          <w:sz w:val="18"/>
          <w:szCs w:val="18"/>
          <w:color w:val="auto"/>
        </w:rPr>
        <w:t>On April 17, 2019, the Company purchased 300,000 shares of its common stock at the price of $10.20 per share, pursuant to the Company’s repurchase program. During the nine months ended September 30, 2020, the Company purchased 145,065 shares of its common stock at an average price of $9.77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Conversion</w:t>
      </w:r>
    </w:p>
    <w:p>
      <w:pPr>
        <w:spacing w:after="0" w:line="202" w:lineRule="exact"/>
        <w:rPr>
          <w:sz w:val="20"/>
          <w:szCs w:val="20"/>
          <w:color w:val="auto"/>
        </w:rPr>
      </w:pPr>
    </w:p>
    <w:p>
      <w:pPr>
        <w:ind w:left="60" w:right="99" w:firstLine="713"/>
        <w:spacing w:after="0" w:line="258" w:lineRule="auto"/>
        <w:rPr>
          <w:sz w:val="20"/>
          <w:szCs w:val="20"/>
          <w:color w:val="auto"/>
        </w:rPr>
      </w:pPr>
      <w:r>
        <w:rPr>
          <w:rFonts w:ascii="Times New Roman" w:cs="Times New Roman" w:eastAsia="Times New Roman" w:hAnsi="Times New Roman"/>
          <w:sz w:val="18"/>
          <w:szCs w:val="18"/>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43"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condensed financial statements as of September 30, 2020 and for the three and nine months ended September 30, 2020 and 2019,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financial statements have been prepared on the same basis as the audited financial statements, and include all adjustments, consisting only of normal recurring adjustments, necessary for the fair statement of the Company's financial position for the periods presented.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60" w:right="59"/>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5"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results for the three and nine months ended September 30, 2020 are not necessarily indicative of the results to be expected for the year ending December 31, 2020, or any other period. The accompanying balance sheet as of December 31, 2019 was derived from audited financial statements included in the Company's annual report on Form 10-K for the year ended December 31, 2019 (the "Form 10-K"). The accompanying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consumer loans and notes receivable, inventory obsolescence, income taxes, fair value of financial instruments and contingent liabilities. Actual results could differ from these estimates.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primarily consist of sales of mobile homes to consumers and mobile home parks through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homes sold through Company-owned retail locations. Consignment Sales and Retail Sales of homes may be financed by the Company, by a third party, or in paid in cash.</w:t>
      </w:r>
    </w:p>
    <w:p>
      <w:pPr>
        <w:spacing w:after="0" w:line="19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performance obligation under the terms of a contract with our customers is satisfied which typically occurs upon delivery and transfer of title of the home, as this depicts when control of the promised good is transferred to our customers.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87"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2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20" w:right="156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5"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and 2019, sales to an independent third-party and its affiliates accounted for $13,253 or 36.2% and $13,027 or 36.9% of our product sales, respectively. For the nine months ended September 30, 2020 and 2019, sales to an independent third-party and its affiliates accounted for $39,559 or 37.0% and $26,350 or 24.7% of our product sales, respectively.</w:t>
      </w:r>
    </w:p>
    <w:p>
      <w:pPr>
        <w:spacing w:after="0" w:line="12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2020, total cost of product sales included $7,073 and $15,878 of costs, mainly relating to up front dealer commission and reimbursed dealer expenses for consignment sales and certain other similar costs incurred for retail store and commercial sales. For the three and nine months ended September 30, 2019, total cost of product sales included $4,713 and $16,600 of costs, mainly relating to up front dealer commission and reimbursed dealer expenses for consignment sales and certain other similar costs incurred for retail store and commercial sales.</w:t>
      </w:r>
    </w:p>
    <w:p>
      <w:pPr>
        <w:spacing w:after="0" w:line="131"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consignment fees, service fees and other miscellaneous income. Consignment fees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service fees and miscellaneous income is recognized at a point in time when the performance obligation is satisfied.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40" w:right="154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3" w:lineRule="exact"/>
        <w:rPr>
          <w:sz w:val="20"/>
          <w:szCs w:val="20"/>
          <w:color w:val="auto"/>
        </w:rPr>
      </w:pPr>
    </w:p>
    <w:p>
      <w:pPr>
        <w:ind w:left="60" w:right="13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Disaggregation of Revenue</w:t>
      </w:r>
      <w:r>
        <w:rPr>
          <w:rFonts w:ascii="Times New Roman" w:cs="Times New Roman" w:eastAsia="Times New Roman" w:hAnsi="Times New Roman"/>
          <w:sz w:val="18"/>
          <w:szCs w:val="18"/>
          <w:color w:val="auto"/>
        </w:rPr>
        <w:t>. The following table summarizes customer contract revenues disaggregated by source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revenue for the three and nine months ended September 30, 2020 and 2019:</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sales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46,958</w:t>
            </w: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Consignment sales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32,215</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 store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(1)</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sales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106,940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106,671</w:t>
            </w:r>
          </w:p>
        </w:tc>
      </w:tr>
      <w:tr>
        <w:trPr>
          <w:trHeight w:val="209"/>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 consumer installment notes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 MHP notes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and MHP loans interest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r>
      <w:tr>
        <w:trPr>
          <w:trHeight w:val="209"/>
        </w:trPr>
        <w:tc>
          <w:tcPr>
            <w:tcW w:w="2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r>
      <w:tr>
        <w:trPr>
          <w:trHeight w:val="210"/>
        </w:trPr>
        <w:tc>
          <w:tcPr>
            <w:tcW w:w="20" w:type="dxa"/>
            <w:vAlign w:val="bottom"/>
          </w:tcPr>
          <w:p>
            <w:pPr>
              <w:spacing w:after="0"/>
              <w:rPr>
                <w:sz w:val="18"/>
                <w:szCs w:val="18"/>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128,022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125,651</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 Other product sales revenue from ancillary products and services including parts, freight and other services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Share-based compensation expense is recognized based on the award’s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56" w:lineRule="exact"/>
        <w:rPr>
          <w:sz w:val="20"/>
          <w:szCs w:val="20"/>
          <w:color w:val="auto"/>
        </w:rPr>
      </w:pPr>
    </w:p>
    <w:p>
      <w:pPr>
        <w:jc w:val="both"/>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option grant with only service-based conditions is estimated using the Black-Scholes pricing model. The fair value of each restricted stock unit (the”RSU”) is calculated based on the closing price of the Company’s common stock on the grant date.</w:t>
      </w:r>
    </w:p>
    <w:p>
      <w:pPr>
        <w:spacing w:after="0" w:line="13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40" w:right="154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Included in accounts receivable are receivables from direct sales of mobile homes and sales of parts and supplies to customers, consignment fees and interest receivables.</w:t>
      </w:r>
    </w:p>
    <w:p>
      <w:pPr>
        <w:spacing w:after="0" w:line="135"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receivables are generally due within 30 days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September 30, 2020 and December 31, 2019, the allowance for doubtful accounts totaled $414 and $457, respectively.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Company has elected to use longer phase-in periods for the adoption of new or revised financial accounting standards under the JOBS Act as an emerging growth company.</w:t>
      </w:r>
    </w:p>
    <w:p>
      <w:pPr>
        <w:spacing w:after="0" w:line="13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longer phase-in period for adoption and accordingly this ASU is effective for the Company’s fiscal year beginning January 1, 2022. Modified retrospective application and early adoption is permitted. The Company expects that the adoption of this standard will result in a material increase to assets and liabilities on the balance sheet but will not have a material impact on the statement of 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4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an accounting standards update ASU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 Measurement of Credit Losses on Financial Instruments</w:t>
      </w:r>
      <w:r>
        <w:rPr>
          <w:rFonts w:ascii="Times New Roman" w:cs="Times New Roman" w:eastAsia="Times New Roman" w:hAnsi="Times New Roman"/>
          <w:sz w:val="18"/>
          <w:szCs w:val="18"/>
          <w:color w:val="auto"/>
        </w:rPr>
        <w:t>, which amends guidance on reporting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phase-in period for adoption and accordingly this ASU is effective for the Company’s fiscal year beginning January 1, 2023. The Company is continuing to evaluate the impact of the adoption of this ASU and is uncertain of the impact on the financial statements and disclosures at this point in time.</w:t>
      </w:r>
    </w:p>
    <w:p>
      <w:pPr>
        <w:spacing w:after="0" w:line="14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20" w:right="156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CONSUMER LOANS RECEIVABLE</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13.9% as of September 30, 2020 and 14.0% as of December 31, 2019. Consumer loans receivable have maturities that range from 3 to 30 years.</w:t>
      </w:r>
    </w:p>
    <w:p>
      <w:pPr>
        <w:spacing w:after="0" w:line="160"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Loan applications go through an underwriting process that considers credit history to evaluate credit risk of the consumer. Interest rates on approved loans are determined based on consumer credit score, payment ability and down payment amount.</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uses payment history to monitor the credit quality of the consumer loans on an ongoing basis.</w:t>
      </w:r>
    </w:p>
    <w:p>
      <w:pPr>
        <w:spacing w:after="0" w:line="185"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receive escrow payments for property taxes and insurance included in its consumer loan collections. The liabilities associated with these escrow collections totaled $8,305 and $7,530 as of September 30, 2020 and December 31, 2019, respectively, and are included in escrow liability in the balance sheets.</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Allowance for Loan Losses—Consumer Loans Receivable</w:t>
      </w:r>
    </w:p>
    <w:p>
      <w:pPr>
        <w:spacing w:after="0" w:line="187"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2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53" w:lineRule="exact"/>
        <w:rPr>
          <w:sz w:val="20"/>
          <w:szCs w:val="20"/>
          <w:color w:val="auto"/>
        </w:rPr>
      </w:pPr>
    </w:p>
    <w:p>
      <w:pPr>
        <w:ind w:left="60" w:right="199" w:firstLine="648"/>
        <w:spacing w:after="0" w:line="273" w:lineRule="auto"/>
        <w:rPr>
          <w:sz w:val="20"/>
          <w:szCs w:val="20"/>
          <w:color w:val="auto"/>
        </w:rPr>
      </w:pPr>
      <w:r>
        <w:rPr>
          <w:rFonts w:ascii="Times New Roman" w:cs="Times New Roman" w:eastAsia="Times New Roman" w:hAnsi="Times New Roman"/>
          <w:sz w:val="17"/>
          <w:szCs w:val="17"/>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3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are:</w:t>
      </w:r>
    </w:p>
    <w:p>
      <w:pPr>
        <w:spacing w:after="0" w:line="5" w:lineRule="exact"/>
        <w:rPr>
          <w:sz w:val="20"/>
          <w:szCs w:val="20"/>
          <w:color w:val="auto"/>
        </w:rPr>
      </w:pPr>
    </w:p>
    <w:p>
      <w:pPr>
        <w:ind w:left="60" w:right="79" w:hanging="10"/>
        <w:spacing w:after="0" w:line="255"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00" w:right="158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5"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the borrower has lived in the house without making payments; (6) location, size, and market conditions; and (7) the experience and expertise of the particular dealer assisting in collection efforts.</w:t>
      </w:r>
    </w:p>
    <w:p>
      <w:pPr>
        <w:spacing w:after="0" w:line="121"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$2,121 and $1,846 as of September 30, 2020 and December 31, 2019, respectively, and are included in other assets in the balance sheets.</w:t>
      </w:r>
    </w:p>
    <w:p>
      <w:pPr>
        <w:spacing w:after="0" w:line="162"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Consumer loans receivable, net of allowance for loan losses and deferred financing fees, consisted of the following:</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7"/>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88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60" w:type="dxa"/>
            <w:vAlign w:val="bottom"/>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auto"/>
            </w:tcBorders>
          </w:tcPr>
          <w:p>
            <w:pPr>
              <w:spacing w:after="0"/>
              <w:rPr>
                <w:sz w:val="15"/>
                <w:szCs w:val="15"/>
                <w:color w:val="auto"/>
              </w:rPr>
            </w:pPr>
          </w:p>
        </w:tc>
      </w:tr>
      <w:tr>
        <w:trPr>
          <w:trHeight w:val="209"/>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loans receivable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112,564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109,005</w:t>
            </w:r>
          </w:p>
        </w:tc>
      </w:tr>
      <w:tr>
        <w:trPr>
          <w:trHeight w:val="216"/>
        </w:trPr>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16"/>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09"/>
        </w:trPr>
        <w:tc>
          <w:tcPr>
            <w:tcW w:w="4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Consumer loans receivable,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5"/>
              </w:rPr>
              <w:t>108,573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105,042</w:t>
            </w:r>
          </w:p>
        </w:tc>
      </w:tr>
      <w:tr>
        <w:trPr>
          <w:trHeight w:val="20"/>
        </w:trPr>
        <w:tc>
          <w:tcPr>
            <w:tcW w:w="43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413"/>
        </w:trPr>
        <w:tc>
          <w:tcPr>
            <w:tcW w:w="6440" w:type="dxa"/>
            <w:vAlign w:val="bottom"/>
            <w:gridSpan w:val="14"/>
          </w:tcPr>
          <w:p>
            <w:pPr>
              <w:jc w:val="right"/>
              <w:ind w:right="420"/>
              <w:spacing w:after="0"/>
              <w:rPr>
                <w:sz w:val="20"/>
                <w:szCs w:val="20"/>
                <w:color w:val="auto"/>
              </w:rPr>
            </w:pPr>
            <w:r>
              <w:rPr>
                <w:rFonts w:ascii="Times New Roman" w:cs="Times New Roman" w:eastAsia="Times New Roman" w:hAnsi="Times New Roman"/>
                <w:sz w:val="18"/>
                <w:szCs w:val="18"/>
                <w:color w:val="auto"/>
                <w:w w:val="99"/>
              </w:rPr>
              <w:t>The following table presents a detail of the activity in the allowance for loan losses: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3"/>
        </w:trPr>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8"/>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260" w:type="dxa"/>
            <w:vAlign w:val="bottom"/>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r>
      <w:tr>
        <w:trPr>
          <w:trHeight w:val="209"/>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1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offs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shd w:val="clear" w:color="auto" w:fill="CCEEFF"/>
          </w:tcPr>
          <w:p>
            <w:pPr>
              <w:spacing w:after="0"/>
              <w:rPr>
                <w:sz w:val="18"/>
                <w:szCs w:val="18"/>
                <w:color w:val="auto"/>
              </w:rPr>
            </w:pPr>
          </w:p>
        </w:tc>
      </w:tr>
      <w:tr>
        <w:trPr>
          <w:trHeight w:val="210"/>
        </w:trPr>
        <w:tc>
          <w:tcPr>
            <w:tcW w:w="4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impaired and general reserve for allowance for loan losses consisted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7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9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60" w:type="dxa"/>
            <w:vAlign w:val="bottom"/>
            <w:gridSpan w:val="2"/>
          </w:tcPr>
          <w:p>
            <w:pPr>
              <w:jc w:val="center"/>
              <w:ind w:left="51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560" w:type="dxa"/>
            <w:vAlign w:val="bottom"/>
            <w:gridSpan w:val="2"/>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4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112,564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109,005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individually evaluated for impairment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Specific reserve against impaired loans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 collectively evaluated for allowance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107,328</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General allowance for loan losses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900" w:type="dxa"/>
            <w:vAlign w:val="bottom"/>
          </w:tcPr>
          <w:p>
            <w:pPr>
              <w:spacing w:after="0"/>
              <w:rPr>
                <w:sz w:val="20"/>
                <w:szCs w:val="20"/>
                <w:color w:val="auto"/>
              </w:rPr>
            </w:pPr>
          </w:p>
        </w:tc>
      </w:tr>
      <w:tr>
        <w:trPr>
          <w:trHeight w:val="846"/>
        </w:trPr>
        <w:tc>
          <w:tcPr>
            <w:tcW w:w="54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00" w:right="158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5"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the total principal outstanding for consumer loans on nonaccrual status was $1,898 and $1,677, respectively. A detailed aging of consumer loans receivable that are past due as of September 30, 2020 and December 31, 2019 were as follows: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2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 receivable</w:t>
            </w:r>
          </w:p>
        </w:tc>
        <w:tc>
          <w:tcPr>
            <w:tcW w:w="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112,564</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109,005</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Past due consumer loans:</w:t>
            </w: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31</w:t>
            </w: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 days past due</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61</w:t>
            </w: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91</w:t>
            </w: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 days past due</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Greater than 120 days past due</w:t>
            </w:r>
          </w:p>
        </w:tc>
        <w:tc>
          <w:tcPr>
            <w:tcW w:w="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NOTES RECEIVABLE FROM MOBILE HOME PARKS (“MHP Notes”)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w:t>
      </w:r>
    </w:p>
    <w:p>
      <w:pPr>
        <w:spacing w:after="0" w:line="13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had concentrations of MHP Notes with an independent third-party and its affiliates that equaled 51.1% and 38.3% of the principal balance outstanding, all of which was secured, as of September 30, 2020 and December 31, 2019, respectively.</w:t>
      </w:r>
    </w:p>
    <w:p>
      <w:pPr>
        <w:spacing w:after="0" w:line="135"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There were minimal past due balances on the MHP Notes as of September 30, 2020 and December 31, 2019 and no charge offs were recorded for MHP Notes during the three and nine months ended September 30, 2020 and 2019, respectively. Allowance for loan loss is considered immaterial and accordingly no loss is recorded against the MHP Notes as of September 30, 2020 and December 31, 2019.</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OTHER NOTES RECEIVABLE</w:t>
      </w:r>
    </w:p>
    <w:p>
      <w:pPr>
        <w:spacing w:after="0" w:line="189" w:lineRule="exact"/>
        <w:rPr>
          <w:sz w:val="20"/>
          <w:szCs w:val="20"/>
          <w:color w:val="auto"/>
        </w:rPr>
      </w:pPr>
    </w:p>
    <w:p>
      <w:pPr>
        <w:jc w:val="both"/>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Other notes receivable relate to various notes issued to mobile park owners and dealers, which are not directly tied to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w:t>
      </w:r>
    </w:p>
    <w:p>
      <w:pPr>
        <w:spacing w:after="0" w:line="3" w:lineRule="exact"/>
        <w:rPr>
          <w:sz w:val="20"/>
          <w:szCs w:val="20"/>
          <w:color w:val="auto"/>
        </w:rPr>
      </w:pPr>
    </w:p>
    <w:p>
      <w:pPr>
        <w:jc w:val="both"/>
        <w:ind w:left="60" w:right="99"/>
        <w:spacing w:after="0" w:line="260" w:lineRule="auto"/>
        <w:rPr>
          <w:sz w:val="20"/>
          <w:szCs w:val="20"/>
          <w:color w:val="auto"/>
        </w:rPr>
      </w:pPr>
      <w:r>
        <w:rPr>
          <w:rFonts w:ascii="Times New Roman" w:cs="Times New Roman" w:eastAsia="Times New Roman" w:hAnsi="Times New Roman"/>
          <w:sz w:val="18"/>
          <w:szCs w:val="18"/>
          <w:color w:val="auto"/>
        </w:rPr>
        <w:t>6.25% to 12.00%. The Company reserves for estimated losses on the other notes based on current economic conditions that may affect the borrower’s ability to pay, the borrower’s financial strength, and historical loss experience.</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balance outstanding on the other notes receivable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260" w:type="dxa"/>
            <w:vAlign w:val="bottom"/>
            <w:gridSpan w:val="3"/>
          </w:tcPr>
          <w:p>
            <w:pPr>
              <w:ind w:left="2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60" w:type="dxa"/>
            <w:vAlign w:val="bottom"/>
            <w:vMerge w:val="restart"/>
          </w:tcPr>
          <w:p>
            <w:pPr>
              <w:jc w:val="right"/>
              <w:ind w:right="1439"/>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20" w:right="156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6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29,341</w:t>
            </w:r>
          </w:p>
        </w:tc>
        <w:tc>
          <w:tcPr>
            <w:tcW w:w="0" w:type="dxa"/>
            <w:vAlign w:val="bottom"/>
          </w:tcPr>
          <w:p>
            <w:pPr>
              <w:spacing w:after="0"/>
              <w:rPr>
                <w:sz w:val="1"/>
                <w:szCs w:val="1"/>
                <w:color w:val="auto"/>
              </w:rPr>
            </w:pPr>
          </w:p>
        </w:tc>
      </w:tr>
      <w:tr>
        <w:trPr>
          <w:trHeight w:val="209"/>
        </w:trPr>
        <w:tc>
          <w:tcPr>
            <w:tcW w:w="5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9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6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209"/>
        </w:trPr>
        <w:tc>
          <w:tcPr>
            <w:tcW w:w="5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18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Depreciation expense was $249 with $88 included as a component of cost of product sales for the three months ended September 30, 2020 and $272 with $94 included as a component of cost of product sales for the three months ended September 30, 2019. Depreciation expense was $750 with $267 included as a component of cost of product sales for the nine months ended September 30, 2020 and $766 with $275 included as a component of cost of product sales for the nine months ended September 30, 2019.</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OTHER ASSETS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assets consisted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9"/>
        </w:trPr>
        <w:tc>
          <w:tcPr>
            <w:tcW w:w="6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property</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Repossessed homes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for the leased property was $53 and $124 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40" w:right="154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ACCRUED LIABILITIES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80" w:type="dxa"/>
            <w:vAlign w:val="bottom"/>
            <w:gridSpan w:val="3"/>
          </w:tcPr>
          <w:p>
            <w:pPr>
              <w:ind w:left="9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1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liability</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state taxes payable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&amp; other accrued liabilities</w:t>
            </w: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09"/>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Revolver 1</w:t>
      </w:r>
    </w:p>
    <w:p>
      <w:pPr>
        <w:spacing w:after="0" w:line="20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At December 31, 2019, the Company had a revolving line of credit (“Revolver 1”) with Capital One, N.A. with a maximum credit limit of $45,000 and a maturity date of May 11, 2020. On March 30, 2020, the Company entered into an agreement with Capital One, N.A. to replace Revolver 1 with a new revolving line of credit (“New Revolver”). The New Revolver has a maximum credit limit of $70,000 and a maturity date of March 30, 2024. For the period January 1, 2020 through March 30, 2020 and for the year ended December 31, 2019, Revolver 1 accrued interest at one-month LIBOR plus 2.40%. The interest rate in effect as of December 31, 2019 was 4.09%. Amounts available under Revolver 1 were subject to a formula based on eligible consumer loans and MHP Notes and were secured by all accounts receivable and the consumer loans receivable and MHP Notes. The amount of available credit under Revolver 1 was $16,140 as of December 31, 2019.</w:t>
      </w:r>
    </w:p>
    <w:p>
      <w:pPr>
        <w:spacing w:after="0" w:line="148"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The New Revolver accrues interest at one-month LIBOR plus 2.00%. The interest rate in effect as of September 30, 2020 was 2.16%.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$26,180 as of September 30, 2020. In connection with the New Revolver, we paid certain arrangement fees and other fees of approximately $0.3 million, which were capitalized as unamortized debt issuance costs and will be amortized to interest expense over the life of the New Revolver.</w:t>
      </w:r>
    </w:p>
    <w:p>
      <w:pPr>
        <w:spacing w:after="0" w:line="13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2020 and 2019, interest expense under the Capital One Revolvers was $239 and $94, respectively, and for the nine months ended September 30, 2020 and 2019, interest expense under the Capital One Revolvers was $785 and $233, respectively. The outstanding balance as of September 30, 2020 and December 31, 2019 was $43,820 and $28,860, respectively. The Company was in compliance with all financial covenants as of September 30, 2020, including that it maintain a tangible net worth of at least $120,000 and that it maintain a ratio of debt to EBITDA of 4 to 1, or less.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Revolver 2</w:t>
      </w:r>
    </w:p>
    <w:p>
      <w:pPr>
        <w:spacing w:after="0" w:line="189" w:lineRule="exact"/>
        <w:rPr>
          <w:sz w:val="20"/>
          <w:szCs w:val="20"/>
          <w:color w:val="auto"/>
        </w:rPr>
      </w:pPr>
    </w:p>
    <w:p>
      <w:pPr>
        <w:ind w:left="60" w:right="339" w:firstLine="648"/>
        <w:spacing w:after="0" w:line="281" w:lineRule="auto"/>
        <w:rPr>
          <w:sz w:val="20"/>
          <w:szCs w:val="20"/>
          <w:color w:val="auto"/>
        </w:rPr>
      </w:pPr>
      <w:r>
        <w:rPr>
          <w:rFonts w:ascii="Times New Roman" w:cs="Times New Roman" w:eastAsia="Times New Roman" w:hAnsi="Times New Roman"/>
          <w:sz w:val="17"/>
          <w:szCs w:val="17"/>
          <w:color w:val="auto"/>
        </w:rPr>
        <w:t>In April 2016, the Company entered into an agreement with Veritex Community Bank to secure an additional revolving line of credit of $15,000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40" w:right="154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5"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interest rates in effect as of March 31, 2020 and December 31, 2019 were 4.17% and 4.19%, respectively. On May 12, 2017, the Company entered into an agreement to increase the line of credit to $20,000. On October 15, 2018, Revolver 2 was amended to extend the maturity date from April 4, 2019 to April 4, 2021. The amount of available credit under Revolver 2 was $12,028 at March 31, 2020. The Company was in compliance with all required covenants as of March 31, 2020. For the nine months ended September 30, 2020 and 2019, interest expense was $17 and $111, respectively. The outstanding balance as of March 31, 2020 and December 31, 2019 was $2,001. The Company was in compliance with the other financial covenants that it maintain a tangible net worth of at least $80,000. In April 2020, this note was paid in full and the facility was terminated.</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PPP Loan</w:t>
      </w:r>
    </w:p>
    <w:p>
      <w:pPr>
        <w:spacing w:after="0" w:line="202"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On April 10, 2020, the Company entered into a loan with Peoples Bank as the lender in an aggregate 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 per annum, with the first six months of interest deferred. Principal and interest were payable monthly commencing on November 10, 2020 and could be prepaid by the Company at any time prior to maturity with no prepayment penalties. On May 1, 2020, this loan was paid in full.</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Payable</w:t>
      </w:r>
    </w:p>
    <w:p>
      <w:pPr>
        <w:spacing w:after="0" w:line="18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On April 7, 2011, the Company signed a promissory note for $4,830 with Woodhaven Bank. The amount due under the promissory note accrues interest at an annual rate of 3.85% through February 2, 2017 and then at the prime interest rate plus 0.60% through maturity on April 7, 2018. On April 7, 2018, the promissory note with Woodhaven Bank was renewed with varying amounts of principal and interest due through the maturity date, April 7, 2033. The promissory note calls for an interest rate of 4.25% and monthly payments of $30 with a final payment due at maturity. The note is secured by certain real property of the Company. Interest expense was $37 and $113 for the three and nine months ended September 30, 2019. In October 2019, this note was paid in full.</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On May 24, 2016, the Company signed a promissory note for $515 with Eagle One, LLC collateralized by the purchase of real property located in Oklahoma City, Oklahoma. The amount due under the promissory note accrues interest at an annual rate of 6.00%. The promissory note calls for monthly principal and interest payments of $6 until June 1, 2026. Interest expense was $0 and $1 for the three and nine months ended September 30, 2019. In January 2019, this note was paid in full.</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PILOT Agreement</w:t>
      </w:r>
    </w:p>
    <w:p>
      <w:pPr>
        <w:spacing w:after="0" w:line="189" w:lineRule="exact"/>
        <w:rPr>
          <w:sz w:val="20"/>
          <w:szCs w:val="20"/>
          <w:color w:val="auto"/>
        </w:rPr>
      </w:pPr>
    </w:p>
    <w:p>
      <w:pPr>
        <w:ind w:left="60" w:right="319" w:firstLine="648"/>
        <w:spacing w:after="0" w:line="268" w:lineRule="auto"/>
        <w:rPr>
          <w:sz w:val="20"/>
          <w:szCs w:val="20"/>
          <w:color w:val="auto"/>
        </w:rPr>
      </w:pPr>
      <w:r>
        <w:rPr>
          <w:rFonts w:ascii="Times New Roman" w:cs="Times New Roman" w:eastAsia="Times New Roman" w:hAnsi="Times New Roman"/>
          <w:sz w:val="17"/>
          <w:szCs w:val="17"/>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w:t>
      </w:r>
    </w:p>
    <w:p>
      <w:pPr>
        <w:spacing w:after="0" w:line="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6.00% per annum on outstanding balances, which are due each December 1st through maturity on December 1, 2021, at which time all unpaid principal and interest are due. The PILOT agreement is collateralized by the assets of the Project. As of September 30, 2020, the Company had not drawn on this credit facility.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20" w:right="156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September 30, 2020, the Company had 9.7 million shares available for grant under the Compensation Plan.</w:t>
      </w:r>
    </w:p>
    <w:p>
      <w:pPr>
        <w:spacing w:after="0" w:line="156"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 During the second quarter of 2020, 42,857 of these restricted shares were forfeited due to the departure of a member of senior managment.</w:t>
      </w:r>
    </w:p>
    <w:p>
      <w:pPr>
        <w:spacing w:after="0" w:line="124" w:lineRule="exact"/>
        <w:rPr>
          <w:sz w:val="20"/>
          <w:szCs w:val="20"/>
          <w:color w:val="auto"/>
        </w:rPr>
      </w:pPr>
    </w:p>
    <w:p>
      <w:pPr>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The Company granted 2,936 restricted shares of its common stock to the independent directors on the Company’s Board of Directors. The shares were granted on February 7, 2019 and become fully vested on December 13, 2019.</w:t>
      </w:r>
    </w:p>
    <w:p>
      <w:pPr>
        <w:spacing w:after="0" w:line="9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August 2019, the Company granted 39,526 restricted shares of its common stock to a member of senior management. The shares were granted on August 2, 2019 and had a grant date fair value of $496. The shares vest at a rate of 20.0% annually, beginning on August 2, 2020, becoming fully vested on August 2, 2024. This grant was canceled during the second quarter of 2020 due to the departure of the member of senior managment.</w:t>
      </w:r>
    </w:p>
    <w:p>
      <w:pPr>
        <w:spacing w:after="0" w:line="153" w:lineRule="exact"/>
        <w:rPr>
          <w:sz w:val="20"/>
          <w:szCs w:val="20"/>
          <w:color w:val="auto"/>
        </w:rPr>
      </w:pPr>
    </w:p>
    <w:p>
      <w:pPr>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The Company granted 1,903 restricted shares of its common stock to the independent directors on the Company’s Board of Directors. The shares were granted on March 27, 2020 and become fully vested on December 13, 2020.</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restricted stock units (the “RSU”) activity (in thousands, except per unit data):</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r>
      <w:tr>
        <w:trPr>
          <w:trHeight w:val="203"/>
        </w:trPr>
        <w:tc>
          <w:tcPr>
            <w:tcW w:w="6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Fair</w:t>
            </w:r>
          </w:p>
        </w:tc>
      </w:tr>
      <w:tr>
        <w:trPr>
          <w:trHeight w:val="212"/>
        </w:trPr>
        <w:tc>
          <w:tcPr>
            <w:tcW w:w="6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02"/>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January 1, 2020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r>
      <w:tr>
        <w:trPr>
          <w:trHeight w:val="20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0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Canceled</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13.12</w:t>
            </w:r>
          </w:p>
        </w:tc>
      </w:tr>
      <w:tr>
        <w:trPr>
          <w:trHeight w:val="196"/>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September 30, 2020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0"/>
        </w:trPr>
        <w:tc>
          <w:tcPr>
            <w:tcW w:w="6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approximately 45,000 RSUs remained unvested. Unrecognized compensation expense related to these RSUs at September 30, 2020 was $512 and is expected to be recognized over 4.32 years.</w:t>
      </w:r>
    </w:p>
    <w:p>
      <w:pPr>
        <w:spacing w:after="0" w:line="135"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 grant. Weighted-average assumptions used in the Black-Scholes option pricing model for stock options granted were as follows: risk free interest rate of 2.41%; dividend yield of 0.00%; expected volatility of common stock of 65.0% and expected life of options of 7.9 years. During the second quarter of 2020, these options were forfeited due to the departure of a senior manager.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00" w:right="158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granted 34,626 incentive stock options to a member of senior management. The options were granted on August 10, 2020 at an exercise price of $14.44 per share. The options vest at a rate of 20.0% annually, beginning on August 10, 2021, and becoming fully vested on August 10, 2025. All options expire ten years after the date of grant. Weighted-average assumptions used in the Black-Scholes option pricing model for stock options granted were as follows: risk free interest rate of 0.24%; dividend yield of 0.00%; expected volatility of common stock of 75.0% and expected life of options of 6.5 years.</w:t>
      </w: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unit data):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Aggregate</w:t>
            </w:r>
          </w:p>
        </w:tc>
      </w:tr>
      <w:tr>
        <w:trPr>
          <w:trHeight w:val="203"/>
        </w:trPr>
        <w:tc>
          <w:tcPr>
            <w:tcW w:w="46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5"/>
        </w:trPr>
        <w:tc>
          <w:tcPr>
            <w:tcW w:w="46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14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40" w:type="dxa"/>
            <w:vAlign w:val="bottom"/>
          </w:tcPr>
          <w:p>
            <w:pPr>
              <w:spacing w:after="0"/>
              <w:rPr>
                <w:sz w:val="18"/>
                <w:szCs w:val="18"/>
                <w:color w:val="auto"/>
              </w:rPr>
            </w:pPr>
          </w:p>
        </w:tc>
        <w:tc>
          <w:tcPr>
            <w:tcW w:w="5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19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2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September 30, 2020</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Exercisable, September 30, 2020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On March 31, 2020, the Company filed a registration statement on Form S-8 to register with the SEC approximately 2.3 million shares of Legacy common stock available for issuance under the 2018 Incentive Compensation Plan. The registration statement became effective upon filing.</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 expense for the nine months ended September 30, 2020 and 2019 was $8.1 million and $6.7 million, respectively. The effective tax rate for the nine months ended September 30, 2020 was 22.7% and differs from the federal statutory rate of 21% primarily due to state income taxes. The effective tax rate for the nine months ended September 30, 2019 was 23.3% and differs from the federal statutory rate of 21% due to state income taxes.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8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September 30, 2020, the Company accrued a $271 liability for incurred but not reported claims.</w:t>
      </w:r>
    </w:p>
    <w:p>
      <w:pPr>
        <w:spacing w:after="0" w:line="14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$603 and $260 at September 30, 2020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20" w:right="156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5" w:lineRule="exact"/>
        <w:rPr>
          <w:sz w:val="20"/>
          <w:szCs w:val="20"/>
          <w:color w:val="auto"/>
        </w:rPr>
      </w:pPr>
    </w:p>
    <w:p>
      <w:pPr>
        <w:ind w:left="60" w:right="799"/>
        <w:spacing w:after="0" w:line="266" w:lineRule="auto"/>
        <w:rPr>
          <w:sz w:val="20"/>
          <w:szCs w:val="20"/>
          <w:color w:val="auto"/>
        </w:rPr>
      </w:pPr>
      <w:r>
        <w:rPr>
          <w:rFonts w:ascii="Times New Roman" w:cs="Times New Roman" w:eastAsia="Times New Roman" w:hAnsi="Times New Roman"/>
          <w:sz w:val="18"/>
          <w:szCs w:val="18"/>
          <w:color w:val="auto"/>
        </w:rPr>
        <w:t>December 31, 2019, respectively, without reduction for the resale value of the homes. The Company considers its obligations on current contracts to be immaterial and accordingly have not recorded any reserve for repurchase commitment as of September 30, 2020 or December 31, 2019.</w:t>
      </w:r>
    </w:p>
    <w:p>
      <w:pPr>
        <w:spacing w:after="0" w:line="13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The Company leases facilities under operating leases that typically have 10-year terms. These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usually offer the Company a right of first refusal that affords the Company the option to purchase the leased premises under certain terms in the event the landlord attempts to sell the leased premises to a third party. Rent expense was $135 and $139 for the three months ended September 30, 2020, and 2019, respectively, and $423 and $403 for the nine months ended September 30, 2020, and 2019, respectively. The Company also subleases properties to third parties, ranging from 3-year to 11-year terms with various renewal options. Rental income from the subleased property was approximately $90 and $86 for the three months ended September 30, 2020 and 2019, respectively, and $264 and $272 for the nine months ended September 30, 2020 and 2019, respectively.</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Future minimum lease commitments under all non-cancelable operating leases for each of the next five years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2020, are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61" w:lineRule="exact"/>
        <w:rPr>
          <w:sz w:val="20"/>
          <w:szCs w:val="20"/>
          <w:color w:val="auto"/>
        </w:rPr>
      </w:pPr>
    </w:p>
    <w:p>
      <w:pPr>
        <w:ind w:left="60" w:right="2019" w:hanging="10"/>
        <w:spacing w:after="0" w:line="456" w:lineRule="auto"/>
        <w:tabs>
          <w:tab w:leader="none" w:pos="33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 AND FAIR VALUE MEASUREMENTS Derivative Financial Instruments</w:t>
      </w: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815-10,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matured on May 11, 2020 and is the only one outstanding during 2020. The fair values of the interest rate swap agreement was an asset included in prepaid expenses and other current assets and was $3 at December 31, 2019. Included in the statements of operations for the nine months ended September 30, 2020 and 2019 were losses of $15 and $37, respectively, which are the result of the changes in the fair values of the interest rate swap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60" w:right="59"/>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87"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investments and derivative instruments in accordance with ASC 820-10,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which among other things provides the framework for measuring fair value. That framework provides a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are as follows:</w:t>
      </w:r>
    </w:p>
    <w:p>
      <w:pPr>
        <w:spacing w:after="0" w:line="157" w:lineRule="exact"/>
        <w:rPr>
          <w:sz w:val="20"/>
          <w:szCs w:val="20"/>
          <w:color w:val="auto"/>
        </w:rPr>
      </w:pPr>
    </w:p>
    <w:p>
      <w:pPr>
        <w:ind w:left="1520" w:right="219" w:hanging="841"/>
        <w:spacing w:after="0" w:line="261" w:lineRule="auto"/>
        <w:tabs>
          <w:tab w:leader="none" w:pos="1500" w:val="left"/>
        </w:tabs>
        <w:rPr>
          <w:sz w:val="20"/>
          <w:szCs w:val="20"/>
          <w:color w:val="auto"/>
        </w:rPr>
      </w:pPr>
      <w:r>
        <w:rPr>
          <w:rFonts w:ascii="Times New Roman" w:cs="Times New Roman" w:eastAsia="Times New Roman" w:hAnsi="Times New Roman"/>
          <w:sz w:val="18"/>
          <w:szCs w:val="18"/>
          <w:color w:val="auto"/>
        </w:rPr>
        <w:t>Level I</w:t>
      </w:r>
      <w:r>
        <w:rPr>
          <w:sz w:val="20"/>
          <w:szCs w:val="20"/>
          <w:color w:val="auto"/>
        </w:rPr>
        <w:tab/>
      </w:r>
      <w:r>
        <w:rPr>
          <w:rFonts w:ascii="Times New Roman" w:cs="Times New Roman" w:eastAsia="Times New Roman" w:hAnsi="Times New Roman"/>
          <w:sz w:val="18"/>
          <w:szCs w:val="18"/>
          <w:color w:val="auto"/>
        </w:rPr>
        <w:t>Quoted prices are available in active markets for identical assets or liabilities that the reporting entity has the ability to access at the measurement date.</w:t>
      </w:r>
    </w:p>
    <w:p>
      <w:pPr>
        <w:ind w:left="1540" w:right="379" w:hanging="841"/>
        <w:spacing w:after="0" w:line="250" w:lineRule="auto"/>
        <w:tabs>
          <w:tab w:leader="none" w:pos="1520" w:val="left"/>
        </w:tabs>
        <w:rPr>
          <w:sz w:val="20"/>
          <w:szCs w:val="20"/>
          <w:color w:val="auto"/>
        </w:rPr>
      </w:pPr>
      <w:r>
        <w:rPr>
          <w:rFonts w:ascii="Times New Roman" w:cs="Times New Roman" w:eastAsia="Times New Roman" w:hAnsi="Times New Roman"/>
          <w:sz w:val="18"/>
          <w:szCs w:val="18"/>
          <w:color w:val="auto"/>
        </w:rPr>
        <w:t>Level II</w:t>
        <w:tab/>
        <w:t>Significant observable inputs other than quoted prices in active markets for which inputs to the valuation methodology include: (1) Quoted prices for similar assets or liabilities in active markets;</w:t>
      </w:r>
    </w:p>
    <w:p>
      <w:pPr>
        <w:spacing w:after="0" w:line="1" w:lineRule="exact"/>
        <w:rPr>
          <w:sz w:val="20"/>
          <w:szCs w:val="20"/>
          <w:color w:val="auto"/>
        </w:rPr>
      </w:pPr>
    </w:p>
    <w:p>
      <w:pPr>
        <w:ind w:left="1540" w:right="199" w:firstLine="1"/>
        <w:spacing w:after="0" w:line="250" w:lineRule="auto"/>
        <w:tabs>
          <w:tab w:leader="none" w:pos="1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540" w:right="539" w:hanging="841"/>
        <w:spacing w:after="0" w:line="260" w:lineRule="auto"/>
        <w:tabs>
          <w:tab w:leader="none" w:pos="1520" w:val="left"/>
        </w:tabs>
        <w:rPr>
          <w:sz w:val="20"/>
          <w:szCs w:val="20"/>
          <w:color w:val="auto"/>
        </w:rPr>
      </w:pPr>
      <w:r>
        <w:rPr>
          <w:rFonts w:ascii="Times New Roman" w:cs="Times New Roman" w:eastAsia="Times New Roman" w:hAnsi="Times New Roman"/>
          <w:sz w:val="18"/>
          <w:szCs w:val="18"/>
          <w:color w:val="auto"/>
        </w:rPr>
        <w:t>Level III</w:t>
        <w:tab/>
        <w:t>Significant unobservable inputs that reflect an entity’s own assumptions that market participants would use in pricing the assets or liabilities.</w:t>
      </w:r>
    </w:p>
    <w:p>
      <w:pPr>
        <w:spacing w:after="0" w:line="141"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asset or liability fair value measurement level within the fair value hierarchy is based on the lowest level of any input that is significant to the fair value measurement.</w:t>
      </w:r>
    </w:p>
    <w:p>
      <w:pPr>
        <w:spacing w:after="0" w:line="121"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uses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fair value of the interest rate swap was an asset valued at $3 at December 31, 2019.</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13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MHP Notes, other notes, lines of credit, and notes payable have variable interest rates that reflect market rates and their fair value approximates their carrying value. This is considered a Level II valuation technique. The Company also assessed the fair value of the consumer loans receivable based on the discounted value of the remaining principal and interest cash flows. The Company determined that the fair value of the consumer loan portfolio was approximately $134,000 compared to the book value of $108,573 as of September 30, 2020, and a fair value of approximately $119,000 compared to the book value of $105,042 as of December 31, 2019. This is a Level III valuation technique.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20" w:right="1560"/>
        <w:spacing w:after="0" w:line="39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2020 AND 2019 (dollars in thousands)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common share (“EPS”) is computed based on the weighted-average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(in 000's)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w:t>
            </w: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198"/>
        </w:trPr>
        <w:tc>
          <w:tcPr>
            <w:tcW w:w="2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Basic weighted-average common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outstanding</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24,192,157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24,317,143</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24,237,402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24,400,534</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grants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20,821</w:t>
            </w:r>
          </w:p>
        </w:tc>
      </w:tr>
      <w:tr>
        <w:trPr>
          <w:trHeight w:val="216"/>
        </w:trPr>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290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Diluted weighted-average common</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4"/>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outstanding</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24,214,279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24,338,839</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24,243,927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24,421,355</w:t>
            </w: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per share attributable to</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Housing Corporation</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6"/>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16"/>
        </w:trPr>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bl>
    <w:p>
      <w:pPr>
        <w:spacing w:after="0" w:line="19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diluted earnings per share calculation excludes 123,624 potential shares for the three months ended September 30, 2019, and excludes 54,446 and 124,498 potential shares for the nine months ended September 30, 2020 and 2019, respectively because the effect of including theses potential shares would be antidilutive.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Bell Mobile Homes, a retailer owned by one of the Company’s significant owners, purchases manufactured homes from the Company. Accounts receivable balances due from Bell Mobile Homes were $34 and $549 as of September 30, 2020 and December 31, 2019, respectively. Accounts payable balances due to Bell Mobile Homes for maintenance and related services were $33 and $74 as of September 30, 2020 and December 31, 2019, respectively. Home sales to Bell Mobile Homes were $383 and $829 for the three months ended September 30, 2020 and 2019, respectively and $1,800 and $3,118 for the nine months ended September 30, 2020 and 2019, respectively.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0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these financial statements, an evaluation of subsequent events was performed through the date of filing and there were no other events that have occurred that would require adjustments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179" w:firstLine="713"/>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financial statements and accompanying notes and the information contained in other sections of this Form 10-Q.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10-Q and in our Registration Statement on Form S-1, particularly under the heading “Risk Factors.”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79" w:firstLine="648"/>
        <w:spacing w:after="0" w:line="244" w:lineRule="auto"/>
        <w:rPr>
          <w:sz w:val="20"/>
          <w:szCs w:val="20"/>
          <w:color w:val="auto"/>
        </w:rPr>
      </w:pPr>
      <w:r>
        <w:rPr>
          <w:rFonts w:ascii="Times New Roman" w:cs="Times New Roman" w:eastAsia="Times New Roman" w:hAnsi="Times New Roman"/>
          <w:sz w:val="18"/>
          <w:szCs w:val="18"/>
          <w:color w:val="auto"/>
        </w:rPr>
        <w:t>Legacy Housing Corporation builds, sells and finances manufactured homes and “tiny houses” that are distributed through a network of independent retailers and company-owned stores and are sold directly to manufactured housing communities. We are the fourth largest producer of manufactured homes in the United States as ranked by number of homes manufactured based on information available from the Manufactured Housing Institute and IBTS for the fourth quarter of 2019. With current operations focused primarily in the southern United States, we offer our customers an array of quality homes ranging in size from approximately 390 to 2,667 square feet consisting of 1 to 5 bedrooms, with 1 to 3</w:t>
      </w:r>
      <w:r>
        <w:rPr>
          <w:rFonts w:ascii="Times New Roman" w:cs="Times New Roman" w:eastAsia="Times New Roman" w:hAnsi="Times New Roman"/>
          <w:sz w:val="8"/>
          <w:szCs w:val="8"/>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bathrooms. Our homes range in price, at retail, from approximately $22,000 to $140,000. For the three and nine months ended September 30, 2020, we sold 961 and 2,866 home sections, respectively (which are entire homes or single floors that are combined to create complete homes). For the three and nine months ended September 30, 2019, we sold 968 and 2,914 home sections, respectively.</w:t>
      </w:r>
    </w:p>
    <w:p>
      <w:pPr>
        <w:spacing w:after="0" w:line="16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60" w:lineRule="exact"/>
        <w:rPr>
          <w:sz w:val="20"/>
          <w:szCs w:val="20"/>
          <w:color w:val="auto"/>
        </w:rPr>
      </w:pPr>
    </w:p>
    <w:p>
      <w:pPr>
        <w:ind w:left="60" w:right="119" w:firstLine="713"/>
        <w:spacing w:after="0" w:line="253" w:lineRule="auto"/>
        <w:rPr>
          <w:sz w:val="20"/>
          <w:szCs w:val="20"/>
          <w:color w:val="auto"/>
        </w:rPr>
      </w:pPr>
      <w:r>
        <w:rPr>
          <w:rFonts w:ascii="Times New Roman" w:cs="Times New Roman" w:eastAsia="Times New Roman" w:hAnsi="Times New Roman"/>
          <w:sz w:val="18"/>
          <w:szCs w:val="18"/>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75 home sections, or 62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20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homes are marketed under our premier “Legacy” brand name and currently are sold primarily across 15 states through a network of 84 independent retail locations, 13 company-owned retail locations and through direct sales to owners of manufactured home communities. Our 13 company-owned retail locations, including 11 Heritage Housing stores and two Tiny House Outlet stores exclusively sell our homes. For the nine months ended September 30, 2020, approximately 45% of our manufactured homes were sold in Texas, followed by 11% in Michigan, 7% in Georgia, 5% in Kansas, 5% in North Carolina, and 5% in Kentucky. For the nine months ended September 30, 2019, approximately 43% of our manufactured homes were sold in Texas, followed by 12% in Oklahoma, 7% in Alabama, 7% in Georgia, and 5% in Tennessee. We plan to deepen our distribution channel by using cash from operations and borrowings from our lines of credit to expand our company-owned retail locations in new and existing markets.</w:t>
      </w:r>
    </w:p>
    <w:p>
      <w:pPr>
        <w:spacing w:after="0" w:line="161"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at our retail locations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provides us with several competitive advantages and allows us to capture sales which may not have otherwise occurred without our ability to offer consumer financing.</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Conversion</w:t>
      </w:r>
    </w:p>
    <w:p>
      <w:pPr>
        <w:spacing w:after="0" w:line="189"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Effective December 31, 2019, the Company reincorporated from a Delaware corporation to a Texas corporation. For more information, see “Corporate Conversion” in Note 1.</w:t>
      </w:r>
    </w:p>
    <w:p>
      <w:pPr>
        <w:spacing w:after="0" w:line="16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Corporation.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depend on various opportunities, challenges, trends and other factors, including the following:</w:t>
      </w:r>
    </w:p>
    <w:p>
      <w:pPr>
        <w:spacing w:after="0" w:line="135" w:lineRule="exact"/>
        <w:rPr>
          <w:sz w:val="20"/>
          <w:szCs w:val="20"/>
          <w:color w:val="auto"/>
        </w:rPr>
      </w:pPr>
    </w:p>
    <w:p>
      <w:pPr>
        <w:ind w:left="1020" w:right="119" w:hanging="322"/>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our long-term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 We initially anticipated opening 2 to 4 additional retail centers by the end of 2020, but we will reassess those plans once we have a clearer understanding of the COVID-19 pandemic’s impact on the retail business.</w:t>
      </w:r>
    </w:p>
    <w:p>
      <w:pPr>
        <w:spacing w:after="0" w:line="146" w:lineRule="exact"/>
        <w:rPr>
          <w:rFonts w:ascii="Times New Roman" w:cs="Times New Roman" w:eastAsia="Times New Roman" w:hAnsi="Times New Roman"/>
          <w:sz w:val="18"/>
          <w:szCs w:val="18"/>
          <w:color w:val="auto"/>
        </w:rPr>
      </w:pPr>
    </w:p>
    <w:p>
      <w:pPr>
        <w:ind w:left="1020" w:right="99" w:hanging="322"/>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purchased several properties in our market area for the purpose of developing manufactured housing communities and subdivisions. As of September 30, 2020, these properties include the following:</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Location</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Acquisition</w:t>
            </w:r>
          </w:p>
        </w:tc>
        <w:tc>
          <w:tcPr>
            <w:tcW w:w="2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Cost</w:t>
            </w:r>
          </w:p>
        </w:tc>
      </w:tr>
      <w:tr>
        <w:trPr>
          <w:trHeight w:val="210"/>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Bastrop County, Texas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Acres</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4,400,000</w:t>
            </w: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Bexar County, Texas</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Acres</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Horseshoe Bay, Texas</w:t>
            </w: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133 Acres</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2018-2019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2,431,000</w:t>
            </w: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Johnson County, Texas</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91.5 Acres</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Venus, Texas</w:t>
            </w: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 Acres</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2019</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422,000</w:t>
            </w:r>
          </w:p>
        </w:tc>
      </w:tr>
      <w:tr>
        <w:trPr>
          <w:trHeight w:val="228"/>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8,998,000</w:t>
            </w:r>
          </w:p>
        </w:tc>
      </w:tr>
    </w:tbl>
    <w:p>
      <w:pPr>
        <w:spacing w:after="0" w:line="179" w:lineRule="exact"/>
        <w:rPr>
          <w:sz w:val="20"/>
          <w:szCs w:val="20"/>
          <w:color w:val="auto"/>
        </w:rPr>
      </w:pPr>
    </w:p>
    <w:p>
      <w:pPr>
        <w:ind w:left="1020" w:right="79" w:hanging="322"/>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56" w:lineRule="exact"/>
        <w:rPr>
          <w:rFonts w:ascii="Times New Roman" w:cs="Times New Roman" w:eastAsia="Times New Roman" w:hAnsi="Times New Roman"/>
          <w:sz w:val="18"/>
          <w:szCs w:val="18"/>
          <w:color w:val="auto"/>
        </w:rPr>
      </w:pPr>
    </w:p>
    <w:p>
      <w:pPr>
        <w:ind w:left="1020" w:right="79" w:hanging="322"/>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our financial performance will be impacted by our ability to fulfill current orders for our manufactured homes from dealers and customers. Currently, our two Texas manufacturing facilities are 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1020" w:right="139"/>
        <w:spacing w:after="0" w:line="266" w:lineRule="auto"/>
        <w:rPr>
          <w:sz w:val="20"/>
          <w:szCs w:val="20"/>
          <w:color w:val="auto"/>
        </w:rPr>
      </w:pPr>
      <w:r>
        <w:rPr>
          <w:rFonts w:ascii="Times New Roman" w:cs="Times New Roman" w:eastAsia="Times New Roman" w:hAnsi="Times New Roman"/>
          <w:sz w:val="18"/>
          <w:szCs w:val="18"/>
          <w:color w:val="auto"/>
        </w:rPr>
        <w:t>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35" w:lineRule="exact"/>
        <w:rPr>
          <w:sz w:val="20"/>
          <w:szCs w:val="20"/>
          <w:color w:val="auto"/>
        </w:rPr>
      </w:pPr>
    </w:p>
    <w:p>
      <w:pPr>
        <w:ind w:left="1020" w:right="459" w:hanging="322"/>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76" w:lineRule="exact"/>
        <w:rPr>
          <w:sz w:val="20"/>
          <w:szCs w:val="20"/>
          <w:color w:val="auto"/>
        </w:rPr>
      </w:pPr>
    </w:p>
    <w:p>
      <w:pPr>
        <w:ind w:left="1680" w:right="379" w:hanging="334"/>
        <w:spacing w:after="0" w:line="264" w:lineRule="auto"/>
        <w:tabs>
          <w:tab w:leader="none" w:pos="168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increased loan losses or deferred loan payments as loan obligors suffer cash flow issues resulting from reduced employment, reduced rental income or unit sales, or other factors;</w:t>
      </w:r>
    </w:p>
    <w:p>
      <w:pPr>
        <w:spacing w:after="0" w:line="176" w:lineRule="exact"/>
        <w:rPr>
          <w:rFonts w:ascii="Courier New" w:cs="Courier New" w:eastAsia="Courier New" w:hAnsi="Courier New"/>
          <w:sz w:val="18"/>
          <w:szCs w:val="18"/>
          <w:color w:val="auto"/>
        </w:rPr>
      </w:pPr>
    </w:p>
    <w:p>
      <w:pPr>
        <w:jc w:val="both"/>
        <w:ind w:left="1680" w:right="139" w:hanging="334"/>
        <w:spacing w:after="0" w:line="256" w:lineRule="auto"/>
        <w:tabs>
          <w:tab w:leader="none" w:pos="168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185" w:lineRule="exact"/>
        <w:rPr>
          <w:rFonts w:ascii="Courier New" w:cs="Courier New" w:eastAsia="Courier New" w:hAnsi="Courier New"/>
          <w:sz w:val="18"/>
          <w:szCs w:val="18"/>
          <w:color w:val="auto"/>
        </w:rPr>
      </w:pPr>
    </w:p>
    <w:p>
      <w:pPr>
        <w:jc w:val="both"/>
        <w:ind w:left="1680" w:right="239" w:hanging="334"/>
        <w:spacing w:after="0" w:line="256" w:lineRule="auto"/>
        <w:tabs>
          <w:tab w:leader="none" w:pos="168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reduced production resulting from factors such as the spread of the illness through the Company’s workforce, reduced product demand, or government-mandated closures of our factories, company-owned stores, or retail lots of independent dealers who carry our products;</w:t>
      </w:r>
    </w:p>
    <w:p>
      <w:pPr>
        <w:spacing w:after="0" w:line="185" w:lineRule="exact"/>
        <w:rPr>
          <w:rFonts w:ascii="Courier New" w:cs="Courier New" w:eastAsia="Courier New" w:hAnsi="Courier New"/>
          <w:sz w:val="18"/>
          <w:szCs w:val="18"/>
          <w:color w:val="auto"/>
        </w:rPr>
      </w:pPr>
    </w:p>
    <w:p>
      <w:pPr>
        <w:ind w:left="1680" w:right="599" w:hanging="334"/>
        <w:spacing w:after="0" w:line="264" w:lineRule="auto"/>
        <w:tabs>
          <w:tab w:leader="none" w:pos="168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delays in development projects as zoning, regulatory, and permitting decisions are likely to be postponed and the expected negative impact of the pandemic on the construction industry;</w:t>
      </w:r>
    </w:p>
    <w:p>
      <w:pPr>
        <w:spacing w:after="0" w:line="176" w:lineRule="exact"/>
        <w:rPr>
          <w:rFonts w:ascii="Courier New" w:cs="Courier New" w:eastAsia="Courier New" w:hAnsi="Courier New"/>
          <w:sz w:val="18"/>
          <w:szCs w:val="18"/>
          <w:color w:val="auto"/>
        </w:rPr>
      </w:pPr>
    </w:p>
    <w:p>
      <w:pPr>
        <w:ind w:left="1680" w:right="579" w:hanging="334"/>
        <w:spacing w:after="0" w:line="264" w:lineRule="auto"/>
        <w:tabs>
          <w:tab w:leader="none" w:pos="168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reduced raw material availability related to global supply chain disruption from the pandemic, including possible border closures;</w:t>
      </w:r>
    </w:p>
    <w:p>
      <w:pPr>
        <w:spacing w:after="0" w:line="176" w:lineRule="exact"/>
        <w:rPr>
          <w:rFonts w:ascii="Courier New" w:cs="Courier New" w:eastAsia="Courier New" w:hAnsi="Courier New"/>
          <w:sz w:val="18"/>
          <w:szCs w:val="18"/>
          <w:color w:val="auto"/>
        </w:rPr>
      </w:pPr>
    </w:p>
    <w:p>
      <w:pPr>
        <w:ind w:left="1680" w:hanging="334"/>
        <w:spacing w:after="0"/>
        <w:tabs>
          <w:tab w:leader="none" w:pos="168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decreased cash flow from operations which could negatively affect our liquidity;</w:t>
      </w:r>
    </w:p>
    <w:p>
      <w:pPr>
        <w:spacing w:after="0" w:line="209" w:lineRule="exact"/>
        <w:rPr>
          <w:rFonts w:ascii="Courier New" w:cs="Courier New" w:eastAsia="Courier New" w:hAnsi="Courier New"/>
          <w:sz w:val="18"/>
          <w:szCs w:val="18"/>
          <w:color w:val="auto"/>
        </w:rPr>
      </w:pPr>
    </w:p>
    <w:p>
      <w:pPr>
        <w:jc w:val="both"/>
        <w:ind w:left="1680" w:right="539" w:hanging="334"/>
        <w:spacing w:after="0" w:line="256" w:lineRule="auto"/>
        <w:tabs>
          <w:tab w:leader="none" w:pos="168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86" w:lineRule="exact"/>
        <w:rPr>
          <w:sz w:val="20"/>
          <w:szCs w:val="20"/>
          <w:color w:val="auto"/>
        </w:rPr>
      </w:pPr>
    </w:p>
    <w:p>
      <w:pPr>
        <w:jc w:val="both"/>
        <w:ind w:left="1020" w:right="159"/>
        <w:spacing w:after="0" w:line="266" w:lineRule="auto"/>
        <w:rPr>
          <w:sz w:val="20"/>
          <w:szCs w:val="20"/>
          <w:color w:val="auto"/>
        </w:rPr>
      </w:pPr>
      <w:r>
        <w:rPr>
          <w:rFonts w:ascii="Times New Roman" w:cs="Times New Roman" w:eastAsia="Times New Roman" w:hAnsi="Times New Roman"/>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76" w:lineRule="exact"/>
        <w:rPr>
          <w:sz w:val="20"/>
          <w:szCs w:val="20"/>
          <w:color w:val="auto"/>
        </w:rPr>
      </w:pPr>
    </w:p>
    <w:p>
      <w:pPr>
        <w:ind w:left="1020" w:right="179"/>
        <w:spacing w:after="0" w:line="258" w:lineRule="auto"/>
        <w:rPr>
          <w:sz w:val="20"/>
          <w:szCs w:val="20"/>
          <w:color w:val="auto"/>
        </w:rPr>
      </w:pPr>
      <w:r>
        <w:rPr>
          <w:rFonts w:ascii="Times New Roman" w:cs="Times New Roman" w:eastAsia="Times New Roman" w:hAnsi="Times New Roman"/>
          <w:sz w:val="18"/>
          <w:szCs w:val="18"/>
          <w:color w:val="auto"/>
        </w:rPr>
        <w:t>Management has taken a number of actions in recent months, including stimulating demand by offering discounts and modified purchase terms, reducing production labor, suspending overtime, and reducing rates of pay for non-production workers. Additionally, the Company negotiated a new credit agreement with its primary bank that expanded and extended our credit facility. The new credit agreement closed on March 30, 2020.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information set forth in the financial statements and the accompanying notes appearing elsewhere in this Form 10-Q.</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2020 and 2019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Dealer incentive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547.1 %</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settlement, net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Product sales primarily consist of direct sales, commercial sales, consignment sales and retail store sales. Product sales decreased $1.2 million, or 3.4%, during the three months ended September 30, 2020 as compared to the same period in 2019. This change was driven by an increase in commercial sales, consignment sales and other product sales offset by a decline in direct sales and retail store sales. Consignment sales increased $0.4 million to $12.0 million in 2020 from $11.6 million in 2019, commercial sales increased $0.8 million to $17.7 million in 2020 from $16.9 million in 2019 and our company-owned retail stores sales increased $1.0 million to $3.9 million in 2020 from $3.0 million in 2019. This increase was partially offset by a net $1.2 million decrease in direct sales to $1.5 million in 2020 from $2.6 million in 2019. Other product sales increased $0.2 million to $1.5 million in 2020 from $1.3 million in 2019 and is primarily due to an increase in parts sales and miscellaneous sales income.</w:t>
      </w:r>
    </w:p>
    <w:p>
      <w:pPr>
        <w:spacing w:after="0" w:line="148"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Net revenue attributable to our factory-built housing consisted of the following during the three months of 2020 and 2019:</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 sold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products sold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per product sold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2020, our net revenue per product sold increased because of changes in our product sales mix. We had increases in consignment sales and sales to manufactured home communities partially offset by declines in direct sales and company-owned retail store sales. Sales through our company-owned retail stores and sales to manufactured home communities have higher margins than our direct sales and consignment sales. In addition, there was a price increase to our product prices in the third quarter of 2020 due to rising material and labor costs, which resulted in higher home sales prices and more revenue generated per home sold.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Consumer and MHP loans interest income grew $0.7 million, or 13.0%, during the three months ended September 30, 2020 as compared to the same period in 2019 and is related to our increase in outstanding MHP Note portfolio and consumer loan portfolio. Between September 30, 2019 and September 30, 2020 our MHP Note portfolio increased by $46.4 million and the consumer loan portfolio increased by $5.5 million.</w:t>
      </w:r>
    </w:p>
    <w:p>
      <w:pPr>
        <w:spacing w:after="0" w:line="13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Other revenue primarily consists of service fees and consignment fees. Other revenue decreased $0.1 million or 16.1% during the three months ended September 30, 2020 as compared to the same period in 2019 and is primarily due to a $0.1 million decrease in consignment fees revenue.</w:t>
      </w:r>
    </w:p>
    <w:p>
      <w:pPr>
        <w:spacing w:after="0" w:line="135"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cost of product sales increased $0.3 million, or 1.2%, during the three months ended September 30, 2020 as compared to the same period in 2019. The increase in costs is primarily related to increases in the cost of materials and labor in 2020.</w:t>
      </w:r>
    </w:p>
    <w:p>
      <w:pPr>
        <w:spacing w:after="0" w:line="149" w:lineRule="exact"/>
        <w:rPr>
          <w:sz w:val="20"/>
          <w:szCs w:val="20"/>
          <w:color w:val="auto"/>
        </w:rPr>
      </w:pPr>
    </w:p>
    <w:p>
      <w:pPr>
        <w:ind w:left="60" w:right="119" w:firstLine="713"/>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decreased $1.8 million, or 28.1%, during the three months ended September 30, 2020 as compared to the same period in 2019. This decrease was primarily due to a $0.4 million decrease in warranty costs, a $0.3 million decrease in delivery costs, a $0.1 million decrease in salaries and incentive costs, a $0.4 decrease in loan loss reserve, a $0.3 million decrease in insurance expense, a $0.1 million decrease in consulting and professional fees and a net $0.2 million decrease in other miscellaneous costs. In addition, dealer incentive expense increased $0.5 million in 2020 as compared to 2019.</w:t>
      </w:r>
    </w:p>
    <w:p>
      <w:pPr>
        <w:spacing w:after="0" w:line="147" w:lineRule="exact"/>
        <w:rPr>
          <w:sz w:val="20"/>
          <w:szCs w:val="20"/>
          <w:color w:val="auto"/>
        </w:rPr>
      </w:pPr>
    </w:p>
    <w:p>
      <w:pPr>
        <w:ind w:left="60" w:right="259" w:firstLine="713"/>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$0.1 million during the three months ended September 30, 2020 as compared to the same period in 2019. This increase was primarily due to an increase of $0.1 million in non-operating interest income and an increase of $0.1 million in miscellaneous, net partially offset by a $0.1 million increase in interest expense.</w:t>
      </w:r>
    </w:p>
    <w:p>
      <w:pPr>
        <w:spacing w:after="0" w:line="13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during the three months ended September 30, 2020 was $2.5 million compared to $1.9 million for the same period in 2019. The effective tax rate for the three months ended September 30, 2020 was 22.7% and differs from the federal statutory rate of 21% primarily due to state income taxes. The effective tax rate for the three months ended September 30, 2019 was 23.6% and differs from the federal statutory rate of 21% primarily due to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2020 and 2019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106,940</w:t>
            </w:r>
          </w:p>
        </w:tc>
        <w:tc>
          <w:tcPr>
            <w:tcW w:w="1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Dealer incentive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248.5 %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215.2 %</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settlement,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(8,097)</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(6,691)</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Product sales increased $0.3 million, or 0.3%, during the nine months ended September 30, 2020 as compared to the same period in 2019. This change was driven by an increase in commercial sales and retail store sales offset by a decline in direct sales, consignment sales and other product sales. Commercial sales increased $7.6 million to $54.5 million in 2020 from $47.0 million in 2019 and our company-owned retail stores sales increased $0.2 million to $11.5 million in 2020 from $11.3 million in 2019. This increase was partially offset by a net $2.3 million decrease in consignment sales to $29.9 million in 2020 from $32.2 million in 2019, a $5.1 million decrease in direct sales to $7.5 million in 2020 from $12.6 million in 2019. Other product sales decreased $.01 million to $3.5 million in 2020 from $3.6 million in 2019 and is primarily due to a decrease in parts sales and miscellaneous sales income.</w:t>
      </w:r>
    </w:p>
    <w:p>
      <w:pPr>
        <w:spacing w:after="0" w:line="165"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Net revenue attributable to our factory-built housing consisted of the following during the nine months of 2020 and 2019:</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 sold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products sold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per product sold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our net revenue per product sold remained flat. We had declines in direct sales and consignment sales offset by increases in sales to manufactured home communities and company-owned retail stores. Sales through our company-owned retail stores and sales to manufactured home communities have higher margins than our direct sales and consignment sales.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Consumer and MHP loans interest income grew $2.6 million, or 15.9%, during the nine months ended September 30, 2020 as compared to the same period in 2019 and is related to our increase in outstanding MHP Note portfolio and consumer loan portfolio. Between September 30, 2020 and September 30, 2019 our MHP Note portfolio increased by $46.4 million and the consumer loan portfolio increased by $5.5 million.</w:t>
      </w:r>
    </w:p>
    <w:p>
      <w:pPr>
        <w:spacing w:after="0" w:line="139" w:lineRule="exact"/>
        <w:rPr>
          <w:sz w:val="20"/>
          <w:szCs w:val="20"/>
          <w:color w:val="auto"/>
        </w:rPr>
      </w:pPr>
    </w:p>
    <w:p>
      <w:pPr>
        <w:jc w:val="both"/>
        <w:ind w:left="60" w:right="299" w:firstLine="648"/>
        <w:spacing w:after="0" w:line="289" w:lineRule="auto"/>
        <w:rPr>
          <w:sz w:val="20"/>
          <w:szCs w:val="20"/>
          <w:color w:val="auto"/>
        </w:rPr>
      </w:pPr>
      <w:r>
        <w:rPr>
          <w:rFonts w:ascii="Times New Roman" w:cs="Times New Roman" w:eastAsia="Times New Roman" w:hAnsi="Times New Roman"/>
          <w:sz w:val="17"/>
          <w:szCs w:val="17"/>
          <w:color w:val="auto"/>
        </w:rPr>
        <w:t>Other revenue primarily consists of service fees and consignment fees. Other revenue decreased $0.5 million or 18.4% during the nine months ended September 30, 2020 as compared to the same period in 2019 due to a $0.2 million decrease in service fee revenue, $0.2 million decrease in other income and a $0.1 decrease in consignment fees revenue.</w:t>
      </w:r>
    </w:p>
    <w:p>
      <w:pPr>
        <w:spacing w:after="0" w:line="11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cost of product sales increased $1.1 million, or 1.5%, during the nine months ended September 30, 2020 as compared to the same period in 2019. The increase in costs is primarily related to the increasing number of home units sold and increases in the cost of materials and labor in 2020.</w:t>
      </w:r>
    </w:p>
    <w:p>
      <w:pPr>
        <w:spacing w:after="0" w:line="149" w:lineRule="exact"/>
        <w:rPr>
          <w:sz w:val="20"/>
          <w:szCs w:val="20"/>
          <w:color w:val="auto"/>
        </w:rPr>
      </w:pPr>
    </w:p>
    <w:p>
      <w:pPr>
        <w:ind w:left="60" w:right="79" w:firstLine="713"/>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$4.7 million, or 25.0%, during the nine months ended September 30, 2020 as compared to the same period in 2019. This decrease was primarily due to $1.2 million of retail store expenses recorded as SG&amp;A in the first quarter of 2019 that were subsequently recorded in cost of sales later in 2019, a $1.1 million decrease in warranty costs, a $0.4 million decrease in advertising and promotions, a $0.7 decrease in loan loss reserve, a $0.4 million decrease in consulting and professional fees, a $0.2 million decrease in salaries and incentive costs, a $0.2 million expense in the first quarter of 2019 for settlement of a lawsuit and a net $0.4 million decrease in other miscellaneous costs. In addition, dealer incentive expense increased $0.4 million, or 74.0% in 2020 as compared to 2019.</w:t>
      </w:r>
    </w:p>
    <w:p>
      <w:pPr>
        <w:spacing w:after="0" w:line="148" w:lineRule="exact"/>
        <w:rPr>
          <w:sz w:val="20"/>
          <w:szCs w:val="20"/>
          <w:color w:val="auto"/>
        </w:rPr>
      </w:pPr>
    </w:p>
    <w:p>
      <w:pPr>
        <w:ind w:left="60" w:right="419" w:firstLine="713"/>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$1.3 million during the nine months ended September 30, 2020 as compared to the same period in 2019. This increase was primarily due to a $1.1 million gain due to the settlement of a lawsuit with a previous vendor for the Company, an increase of $0.5 million in non-operating interest income and an increase of $0.1 million in miscellaneous, net income offset by a $0.3 million increase in interest expense.</w:t>
      </w:r>
    </w:p>
    <w:p>
      <w:pPr>
        <w:spacing w:after="0" w:line="139"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Income tax expense during the nine months ended September 30, 2020 was $8.1 million compared to $6.7 million for the same period in 2019. The effective tax rate for the nine months ended September 30, 2020 was 22.7% and differs from the federal statutory rate of 21% primarily due to state income taxes. The effective tax rate for the nine months ended September 30, 2019 was 23.3% and differs from the federal statutory rate of 21% primarily due to state income taxes.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September 30, 2020, and availability on our lines of credit will be sufficient to fund our operations and provide for growth for the next 12 to 18 months and into the foreseeable future. As of September 30, 2020, we had approximately $1.6 million in cash and cash equivalents, compared to $1.7 million as of December 31, 2019. We negotiated a new credit agreement with our primary bank that expanded and extended our credit facility. The new credit agreement closed on March 30,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w:t>
      </w:r>
    </w:p>
    <w:p>
      <w:pPr>
        <w:spacing w:after="0" w:line="15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100"/>
        <w:spacing w:after="0" w:line="229" w:lineRule="auto"/>
        <w:rPr>
          <w:sz w:val="20"/>
          <w:szCs w:val="20"/>
          <w:color w:val="auto"/>
        </w:rPr>
      </w:pPr>
      <w:r>
        <w:rPr>
          <w:rFonts w:ascii="Times New Roman" w:cs="Times New Roman" w:eastAsia="Times New Roman" w:hAnsi="Times New Roman"/>
          <w:sz w:val="14"/>
          <w:szCs w:val="14"/>
          <w:b w:val="1"/>
          <w:bCs w:val="1"/>
          <w:color w:val="auto"/>
        </w:rPr>
        <w:t>September 30,</w:t>
      </w:r>
    </w:p>
    <w:p>
      <w:pPr>
        <w:ind w:left="7120"/>
        <w:spacing w:after="0" w:line="232" w:lineRule="auto"/>
        <w:rPr>
          <w:sz w:val="20"/>
          <w:szCs w:val="20"/>
          <w:color w:val="auto"/>
        </w:rPr>
      </w:pPr>
      <w:r>
        <w:rPr>
          <w:rFonts w:ascii="Times New Roman" w:cs="Times New Roman" w:eastAsia="Times New Roman" w:hAnsi="Times New Roman"/>
          <w:sz w:val="14"/>
          <w:szCs w:val="14"/>
          <w:b w:val="1"/>
          <w:bCs w:val="1"/>
          <w:color w:val="auto"/>
        </w:rPr>
        <w:t>(in thousands)</w:t>
      </w:r>
    </w:p>
    <w:tbl>
      <w:tblPr>
        <w:tblLayout w:type="fixed"/>
        <w:tblInd w:w="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42"/>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Comparison of Cash Flow Activities from September 30, 2020 to September 30, 2019</w:t>
      </w:r>
    </w:p>
    <w:p>
      <w:pPr>
        <w:spacing w:after="0" w:line="20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decreased $11.4 million during the nine months ended September 30, 2020, compared to the comparable period in 2019, primarily as a result of increased volume of loan originations supporting sales to MHPs net of principal collections, increased growth in growth in consumer loan originations net of principal collections, decreased payables and increased accounts receivable. The decrease in operating cash flows described above was partially offset by cash generated by operating income before non-cash adjustments, increased accrued expenses, reduced prepaid expenses and reduced inventory.</w:t>
      </w:r>
    </w:p>
    <w:p>
      <w:pPr>
        <w:spacing w:after="0" w:line="14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of $3.8 million in 2020 was primarily attributable to $2.2 million used for the acquisition of property plant and equipment, $0.3 million used to purchase consumer loans and $5.4 million used for loans to third parties for the development of manufactured housing parks. These were offset by collections of $3.2 million of loans we made to third parties for the development of manufactured housing parks and collections of $0.9 million from our purchased consumer loans.</w:t>
      </w:r>
    </w:p>
    <w:p>
      <w:pPr>
        <w:spacing w:after="0" w:line="143"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$12.0 million in 2020 was primarily attributable to net proceeds of $12.7 million on our lines of credit and $0.8 million increase in escrow deposits received by the company offset by $1.4 million for purchase of treasury stock.</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8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Capital One Revolver. </w:t>
      </w:r>
      <w:r>
        <w:rPr>
          <w:rFonts w:ascii="Times New Roman" w:cs="Times New Roman" w:eastAsia="Times New Roman" w:hAnsi="Times New Roman"/>
          <w:sz w:val="18"/>
          <w:szCs w:val="18"/>
          <w:color w:val="auto"/>
        </w:rPr>
        <w:t>At December 31, 2019, we had a revolving line of credit (“Revolver 1”) with Capital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 with a maximum credit limit of $45,000,000 and a maturity date of May 11, 2020. On March 30, 2020, we entered into an agreement with Capital One, N.A. to replace Revolver 1 with a new revolving line of credit (“New Revolver”). The New Revolver has a maximum credit limit of $70,000,000 and a maturity date of March 30, 2024. For the period January 1, 2020 through March 30, 2020 and for the year ended December 31, 2019, Revolver 1 accrued interest at one-month LIBOR plus 2.40%. The interest rate in effect as of December 31, 2019 was 4.09%. Amounts available under Revolver 1 were subject to a formula based on eligible consumer loans and MHP Notes and were secured by all accounts receivable and the consumer loans receivable and MHP Notes. The amount of available credit under Revolver 1 was $16,140,000 as of December 31, 2019.</w:t>
      </w:r>
    </w:p>
    <w:p>
      <w:pPr>
        <w:spacing w:after="0" w:line="15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New Revolver accrues interest at one-month LIBOR plus 2.00%. The interest rate in effect as of September 30, 2020 was 2.16%.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$26,180,000 as of September 30, 2020. In connection with the New Revolver, we paid certain arrangement fees and other fees of approximately $0.3 million, which were capitalized as unamortized debt issuance costs and will be amortized to interest expense over the life of the New Revolver.</w:t>
      </w:r>
    </w:p>
    <w:p>
      <w:pPr>
        <w:spacing w:after="0" w:line="162"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For the nine months ended September 30, 2020 and 2019, interest expense under the Capital One Revolvers was $785,000 and $233,000, respectively. The outstanding balance as of September 30, 2020 and December 31, 2019 was $43,820,000 and $28,860,000, respectively. We were in compliance with all financial covenants as of September 30,</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2020, including that we maintain a tangible net worth of at least $120,000,000 and that we maintain a ratio of debt to EBITDA of 4-to-1, or less.</w:t>
      </w:r>
    </w:p>
    <w:p>
      <w:pPr>
        <w:spacing w:after="0" w:line="11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Veritex Community Bank Revolver. </w:t>
      </w:r>
      <w:r>
        <w:rPr>
          <w:rFonts w:ascii="Times New Roman" w:cs="Times New Roman" w:eastAsia="Times New Roman" w:hAnsi="Times New Roman"/>
          <w:sz w:val="18"/>
          <w:szCs w:val="18"/>
          <w:color w:val="auto"/>
        </w:rPr>
        <w:t>In April 2016, we entered into an agreement with Veritex Community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secure an additional revolving line of credit of $15,000,000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March 31, 2020 and December 31, 2019 was 4.17% and 4.19%, respectively. On May 12, 2017, we entered into an agreement to increase the maximum borrowing availability under Revolver 2 to $20,000,000. On October 15, 2018, Revolver 2 was amended to extend the maturity date from April 4, 2019 to April 4, 2021. The amount of available credit under Revolver 2 was $12,028,000 and $11,262,000 at March 31, 2020 and December 31, 2019, respectively. For the nine months ended September 30, 2020 and 2019, interest expense was $17,000 and $111,000, respectively. The outstanding balance as of March 31, 2020 and December 31, 2019 was $2,001,000. We were in compliance with all financial covenants as of March 31, 2020, including that we maintain a tangible net worth of at least $80,000,000. In April 2020, this note was paid in full and the facility was terminated.</w:t>
      </w:r>
    </w:p>
    <w:p>
      <w:pPr>
        <w:spacing w:after="0" w:line="149" w:lineRule="exact"/>
        <w:rPr>
          <w:sz w:val="20"/>
          <w:szCs w:val="20"/>
          <w:color w:val="auto"/>
        </w:rPr>
      </w:pPr>
    </w:p>
    <w:p>
      <w:pPr>
        <w:ind w:left="60" w:right="79" w:firstLine="638"/>
        <w:spacing w:after="0" w:line="257" w:lineRule="auto"/>
        <w:tabs>
          <w:tab w:leader="none" w:pos="108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On April 10, 2020, we Company entered into a loan with Peoples Bank as the lender in an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1.000% per annum, with the first six months of interest deferred. Principal and interest were payable monthly commencing on November 10, 2020 and could be prepaid by us at any time prior to maturity with no prepayment penalties. On May 1, 2020, this loan was paid in full.</w:t>
      </w:r>
    </w:p>
    <w:p>
      <w:pPr>
        <w:spacing w:after="0" w:line="155"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Notes Payable. </w:t>
      </w:r>
      <w:r>
        <w:rPr>
          <w:rFonts w:ascii="Times New Roman" w:cs="Times New Roman" w:eastAsia="Times New Roman" w:hAnsi="Times New Roman"/>
          <w:sz w:val="18"/>
          <w:szCs w:val="18"/>
          <w:color w:val="auto"/>
        </w:rPr>
        <w:t>We have a promissory note with Woodhaven Bank. The amount due under the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accrued interest at an annual rate of 3.85% through February 2, 2017 and then at the prime interest rate plus 0.60% through maturity on April 7, 2018. The loan was subsequently renewed through April 7, 2033. The promissory note calls for an interest rate of 4.25% and monthly payments of $30,000 with a final payment due at maturity. The note is secured by certain of our real property. Interest expense was $113,000 for the nine months ended September 30, 2019. In October 2019, this note was paid in full.</w:t>
      </w:r>
    </w:p>
    <w:p>
      <w:pPr>
        <w:spacing w:after="0" w:line="146" w:lineRule="exact"/>
        <w:rPr>
          <w:sz w:val="20"/>
          <w:szCs w:val="20"/>
          <w:color w:val="auto"/>
        </w:rPr>
      </w:pPr>
    </w:p>
    <w:p>
      <w:pPr>
        <w:ind w:left="60" w:right="79" w:firstLine="713"/>
        <w:spacing w:after="0" w:line="281" w:lineRule="auto"/>
        <w:rPr>
          <w:sz w:val="20"/>
          <w:szCs w:val="20"/>
          <w:color w:val="auto"/>
        </w:rPr>
      </w:pPr>
      <w:r>
        <w:rPr>
          <w:rFonts w:ascii="Times New Roman" w:cs="Times New Roman" w:eastAsia="Times New Roman" w:hAnsi="Times New Roman"/>
          <w:sz w:val="17"/>
          <w:szCs w:val="17"/>
          <w:color w:val="auto"/>
        </w:rPr>
        <w:t>On May 24, 2016, we signed a promissory note for $515,000 with Eagle One, LLC collateralized by the purchase of real property located in Oklahoma City, Oklahoma. The amount due under the promissory note accrues interest at an annual rate of 6.00%. The promissory note calls for monthly principal and interest payments of $6,000 until June 1, 2026. Interest expense was $1,000 for the nine months ended September 30, 2019. In January 2019, this note was paid in full.</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PILOT Agreement. </w:t>
      </w:r>
      <w:r>
        <w:rPr>
          <w:rFonts w:ascii="Times New Roman" w:cs="Times New Roman" w:eastAsia="Times New Roman" w:hAnsi="Times New Roman"/>
          <w:sz w:val="18"/>
          <w:szCs w:val="18"/>
          <w:color w:val="auto"/>
        </w:rPr>
        <w:t>In December 2016, we entered into a Payment in Lieu of Taxes (“PILOT”)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 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September 30, 2020, we had not drawn down on this credit facility.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is a summary of contractual cash obligations as of September 30, 2020:</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80" w:type="dxa"/>
            <w:vAlign w:val="bottom"/>
            <w:tcBorders>
              <w:bottom w:val="single" w:sz="8" w:color="auto"/>
            </w:tcBorders>
          </w:tcPr>
          <w:p>
            <w:pPr>
              <w:spacing w:after="0"/>
              <w:rPr>
                <w:sz w:val="15"/>
                <w:szCs w:val="15"/>
                <w:color w:val="auto"/>
              </w:rPr>
            </w:pPr>
          </w:p>
        </w:tc>
      </w:tr>
      <w:tr>
        <w:trPr>
          <w:trHeight w:val="29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20" w:type="dxa"/>
            <w:vAlign w:val="bottom"/>
          </w:tcPr>
          <w:p>
            <w:pPr>
              <w:spacing w:after="0"/>
              <w:rPr>
                <w:sz w:val="24"/>
                <w:szCs w:val="24"/>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2021 - 2022</w:t>
            </w:r>
          </w:p>
        </w:tc>
        <w:tc>
          <w:tcPr>
            <w:tcW w:w="160" w:type="dxa"/>
            <w:vAlign w:val="bottom"/>
          </w:tcPr>
          <w:p>
            <w:pPr>
              <w:spacing w:after="0"/>
              <w:rPr>
                <w:sz w:val="24"/>
                <w:szCs w:val="2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2023 - 2024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After 2024</w:t>
            </w:r>
          </w:p>
        </w:tc>
      </w:tr>
      <w:tr>
        <w:trPr>
          <w:trHeight w:val="209"/>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Lines of credit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43,820,000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43,820,000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2,632,000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148,000</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808,000</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left="60" w:right="99" w:firstLine="713"/>
        <w:spacing w:after="0" w:line="253" w:lineRule="auto"/>
        <w:rPr>
          <w:sz w:val="20"/>
          <w:szCs w:val="20"/>
          <w:color w:val="auto"/>
        </w:rPr>
      </w:pPr>
      <w:r>
        <w:rPr>
          <w:rFonts w:ascii="Times New Roman" w:cs="Times New Roman" w:eastAsia="Times New Roman" w:hAnsi="Times New Roman"/>
          <w:sz w:val="18"/>
          <w:szCs w:val="18"/>
          <w:color w:val="auto"/>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$603,000 and $260,000 as of September 30, 2020 and December 31, 2019,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September 30, 2020.</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2019. Other than recent accounting pronouncement adoptions discussed in Note 1 of our condensed financial statements, we had no significant changes in those critical accounting estimates since our last annual report.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 Nature of Operations, Recent Accounting Pronouncements to our September 30, 2020 Condensed Financial Statements, included in Part I, Item 1, Financial Statements (Unaudited), of this Quarterly Report.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0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that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4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Company’s management conducted an evaluation, under the supervision and with the participation of the Chief Executive Officer and the Chief Accounting Officer, of the effectiveness of the design and operation of the Company’s disclosure controls and procedures (as defined in Rule 13a-15(e) of the Exchange Act). Based on this evaluation, the Chief Executive Officer and the Chief Accounting Officer each concluded, as of the end of the period, our disclosure controls and procedures were not effective as of September 30, 2020 due to material weaknesses in internal control over financial reporting that were disclosed in our Annual Report on Form 10-K for the fiscal year ended December 31, 2019, and as described below.</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0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filed with the SEC on March 31, 2020, we identified material weaknesses in our internal control over financial reporting during the preparation of our financial statements for the year ended December 31, 2019.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material weaknesses in financial reporting as of September 30, 2020 are summarized as follows:</w:t>
      </w:r>
    </w:p>
    <w:p>
      <w:pPr>
        <w:spacing w:after="0" w:line="185" w:lineRule="exact"/>
        <w:rPr>
          <w:sz w:val="20"/>
          <w:szCs w:val="20"/>
          <w:color w:val="auto"/>
        </w:rPr>
      </w:pPr>
    </w:p>
    <w:p>
      <w:pPr>
        <w:ind w:left="1020" w:right="259" w:hanging="322"/>
        <w:spacing w:after="0" w:line="289"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determined that we did not have sufficient accounting processes and procedures in place, particularly in the areas of allowance for loan loss; finished goods inventory costing; revenue recognition; income taxes; processing of payroll, accounts payable, and treasury transactions; and accruals for period end cut-off.</w:t>
      </w:r>
    </w:p>
    <w:p>
      <w:pPr>
        <w:spacing w:after="0" w:line="130" w:lineRule="exact"/>
        <w:rPr>
          <w:rFonts w:ascii="Times New Roman" w:cs="Times New Roman" w:eastAsia="Times New Roman" w:hAnsi="Times New Roman"/>
          <w:sz w:val="17"/>
          <w:szCs w:val="17"/>
          <w:color w:val="auto"/>
        </w:rPr>
      </w:pPr>
    </w:p>
    <w:p>
      <w:pPr>
        <w:ind w:left="1020" w:right="519" w:hanging="32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did not have sufficient experienced personnel to support preparation of financial statements for compliance with U.S. GAAP and SEC.</w:t>
      </w:r>
    </w:p>
    <w:p>
      <w:pPr>
        <w:spacing w:after="0" w:line="121" w:lineRule="exact"/>
        <w:rPr>
          <w:rFonts w:ascii="Times New Roman" w:cs="Times New Roman" w:eastAsia="Times New Roman" w:hAnsi="Times New Roman"/>
          <w:sz w:val="18"/>
          <w:szCs w:val="18"/>
          <w:color w:val="auto"/>
        </w:rPr>
      </w:pPr>
    </w:p>
    <w:p>
      <w:pPr>
        <w:ind w:left="1020" w:right="279" w:hanging="322"/>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35" w:lineRule="exact"/>
        <w:rPr>
          <w:rFonts w:ascii="Times New Roman" w:cs="Times New Roman" w:eastAsia="Times New Roman" w:hAnsi="Times New Roman"/>
          <w:sz w:val="18"/>
          <w:szCs w:val="18"/>
          <w:color w:val="auto"/>
        </w:rPr>
      </w:pPr>
    </w:p>
    <w:p>
      <w:pPr>
        <w:ind w:left="1020" w:right="139" w:hanging="32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our information technology infrastructure does not provide sufficient safeguards required by the COBIT framework.</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Efforts to Address Previously-Identified Material Weaknesses</w:t>
      </w:r>
    </w:p>
    <w:p>
      <w:pPr>
        <w:spacing w:after="0" w:line="18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As previously described in Item 9A of our Annual Report on Form 10-K for the year ended December 31, 2019,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remediation of these material weaknesses will be completed by the end of fiscal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third quarter of fiscal 2020 that materially affected, or are reasonably likely to materially affect, our internal control over financial reporting.</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See Note 12 - Commitments and Contingencies in our September 30, 2020 Condensed Financial Statements, included in Part I, Item 1, Financial Statements (Unaudited), of this Quarterly Report.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ind w:left="60"/>
        <w:spacing w:after="0"/>
        <w:tabs>
          <w:tab w:leader="none" w:pos="184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ind w:left="60"/>
        <w:spacing w:after="0"/>
        <w:tabs>
          <w:tab w:leader="none" w:pos="176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EXHIBIT 31.1 *</w:t>
      </w:r>
      <w:r>
        <w:rPr>
          <w:sz w:val="20"/>
          <w:szCs w:val="20"/>
          <w:color w:val="auto"/>
        </w:rPr>
        <w:tab/>
      </w:r>
      <w:r>
        <w:rPr>
          <w:rFonts w:ascii="Times New Roman" w:cs="Times New Roman" w:eastAsia="Times New Roman" w:hAnsi="Times New Roman"/>
          <w:sz w:val="17"/>
          <w:szCs w:val="17"/>
          <w:color w:val="auto"/>
        </w:rPr>
        <w:t>-</w:t>
      </w:r>
      <w:hyperlink w:anchor="page36">
        <w:r>
          <w:rPr>
            <w:rFonts w:ascii="Times New Roman" w:cs="Times New Roman" w:eastAsia="Times New Roman" w:hAnsi="Times New Roman"/>
            <w:sz w:val="17"/>
            <w:szCs w:val="17"/>
            <w:u w:val="single" w:color="auto"/>
            <w:color w:val="0000EE"/>
          </w:rPr>
          <w:t>Rule 13a—14(a) / 15d—14(a) Certifications — Chief Executive Officer.</w:t>
        </w:r>
      </w:hyperlink>
    </w:p>
    <w:p>
      <w:pPr>
        <w:spacing w:after="0" w:line="225" w:lineRule="exact"/>
        <w:rPr>
          <w:sz w:val="20"/>
          <w:szCs w:val="20"/>
          <w:color w:val="auto"/>
        </w:rPr>
      </w:pPr>
    </w:p>
    <w:p>
      <w:pPr>
        <w:ind w:left="60"/>
        <w:spacing w:after="0"/>
        <w:tabs>
          <w:tab w:leader="none" w:pos="176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EXHIBIT 31.2 *</w:t>
      </w:r>
      <w:r>
        <w:rPr>
          <w:sz w:val="20"/>
          <w:szCs w:val="20"/>
          <w:color w:val="auto"/>
        </w:rPr>
        <w:tab/>
      </w:r>
      <w:r>
        <w:rPr>
          <w:rFonts w:ascii="Times New Roman" w:cs="Times New Roman" w:eastAsia="Times New Roman" w:hAnsi="Times New Roman"/>
          <w:sz w:val="17"/>
          <w:szCs w:val="17"/>
          <w:color w:val="auto"/>
        </w:rPr>
        <w:t>-</w:t>
      </w:r>
      <w:hyperlink w:anchor="page37">
        <w:r>
          <w:rPr>
            <w:rFonts w:ascii="Times New Roman" w:cs="Times New Roman" w:eastAsia="Times New Roman" w:hAnsi="Times New Roman"/>
            <w:sz w:val="17"/>
            <w:szCs w:val="17"/>
            <w:u w:val="single" w:color="auto"/>
            <w:color w:val="0000EE"/>
          </w:rPr>
          <w:t>Rule 13a—14(a) / 15d—14(a) Certifications — Chief Accounting Officer.</w:t>
        </w:r>
      </w:hyperlink>
    </w:p>
    <w:p>
      <w:pPr>
        <w:spacing w:after="0" w:line="225" w:lineRule="exact"/>
        <w:rPr>
          <w:sz w:val="20"/>
          <w:szCs w:val="20"/>
          <w:color w:val="auto"/>
        </w:rPr>
      </w:pPr>
    </w:p>
    <w:p>
      <w:pPr>
        <w:ind w:left="60"/>
        <w:spacing w:after="0"/>
        <w:tabs>
          <w:tab w:leader="none" w:pos="17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w:t>
      </w:r>
      <w:r>
        <w:rPr>
          <w:sz w:val="20"/>
          <w:szCs w:val="20"/>
          <w:color w:val="auto"/>
        </w:rPr>
        <w:tab/>
      </w:r>
      <w:r>
        <w:rPr>
          <w:rFonts w:ascii="Times New Roman" w:cs="Times New Roman" w:eastAsia="Times New Roman" w:hAnsi="Times New Roman"/>
          <w:sz w:val="18"/>
          <w:szCs w:val="18"/>
          <w:color w:val="auto"/>
        </w:rPr>
        <w:t>-</w:t>
      </w:r>
      <w:hyperlink w:anchor="page38">
        <w:r>
          <w:rPr>
            <w:rFonts w:ascii="Times New Roman" w:cs="Times New Roman" w:eastAsia="Times New Roman" w:hAnsi="Times New Roman"/>
            <w:sz w:val="18"/>
            <w:szCs w:val="18"/>
            <w:u w:val="single" w:color="auto"/>
            <w:color w:val="0000EE"/>
          </w:rPr>
          <w:t>Section 1350 Certification.</w:t>
        </w:r>
      </w:hyperlink>
    </w:p>
    <w:p>
      <w:pPr>
        <w:spacing w:after="0" w:line="225" w:lineRule="exact"/>
        <w:rPr>
          <w:sz w:val="20"/>
          <w:szCs w:val="20"/>
          <w:color w:val="auto"/>
        </w:rPr>
      </w:pPr>
    </w:p>
    <w:p>
      <w:pPr>
        <w:ind w:left="60"/>
        <w:spacing w:after="0"/>
        <w:tabs>
          <w:tab w:leader="none" w:pos="17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32.2 *</w:t>
      </w:r>
      <w:r>
        <w:rPr>
          <w:sz w:val="20"/>
          <w:szCs w:val="20"/>
          <w:color w:val="auto"/>
        </w:rPr>
        <w:tab/>
      </w:r>
      <w:r>
        <w:rPr>
          <w:rFonts w:ascii="Times New Roman" w:cs="Times New Roman" w:eastAsia="Times New Roman" w:hAnsi="Times New Roman"/>
          <w:sz w:val="18"/>
          <w:szCs w:val="18"/>
          <w:color w:val="auto"/>
        </w:rPr>
        <w:t>-</w:t>
      </w:r>
      <w:hyperlink w:anchor="page39">
        <w:r>
          <w:rPr>
            <w:rFonts w:ascii="Times New Roman" w:cs="Times New Roman" w:eastAsia="Times New Roman" w:hAnsi="Times New Roman"/>
            <w:sz w:val="18"/>
            <w:szCs w:val="18"/>
            <w:u w:val="single" w:color="auto"/>
            <w:color w:val="0000EE"/>
          </w:rPr>
          <w:t>Section 1350 Certification.</w:t>
        </w:r>
      </w:hyperlink>
    </w:p>
    <w:p>
      <w:pPr>
        <w:spacing w:after="0" w:line="225" w:lineRule="exact"/>
        <w:rPr>
          <w:sz w:val="20"/>
          <w:szCs w:val="20"/>
          <w:color w:val="auto"/>
        </w:rPr>
      </w:pPr>
    </w:p>
    <w:p>
      <w:pPr>
        <w:ind w:left="60"/>
        <w:spacing w:after="0"/>
        <w:tabs>
          <w:tab w:leader="none" w:pos="1760" w:val="left"/>
        </w:tabs>
        <w:rPr>
          <w:sz w:val="20"/>
          <w:szCs w:val="20"/>
          <w:color w:val="auto"/>
        </w:rPr>
      </w:pPr>
      <w:r>
        <w:rPr>
          <w:rFonts w:ascii="Times New Roman" w:cs="Times New Roman" w:eastAsia="Times New Roman" w:hAnsi="Times New Roman"/>
          <w:sz w:val="18"/>
          <w:szCs w:val="18"/>
          <w:color w:val="auto"/>
        </w:rPr>
        <w:t>EXHIBIT 101.INS *</w:t>
        <w:tab/>
        <w:t>-XBRL Instance Document.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101.SCH *  -XBRL Taxonomy Extension Schema Document.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101.CAL *  -XBRL Taxonomy Extension Calculation Linkbase Document.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101.DEF *  -XBRL Taxonomy Extension Definition Linkbase Document.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101.LAB * -XBRL Taxonomy Extension Label Linkbase Document.</w:t>
      </w:r>
    </w:p>
    <w:p>
      <w:pPr>
        <w:spacing w:after="0" w:line="225" w:lineRule="exact"/>
        <w:rPr>
          <w:sz w:val="20"/>
          <w:szCs w:val="20"/>
          <w:color w:val="auto"/>
        </w:rPr>
      </w:pPr>
    </w:p>
    <w:p>
      <w:pPr>
        <w:ind w:left="60"/>
        <w:spacing w:after="0"/>
        <w:tabs>
          <w:tab w:leader="none" w:pos="1760" w:val="left"/>
        </w:tabs>
        <w:rPr>
          <w:sz w:val="20"/>
          <w:szCs w:val="20"/>
          <w:color w:val="auto"/>
        </w:rPr>
      </w:pPr>
      <w:r>
        <w:rPr>
          <w:rFonts w:ascii="Times New Roman" w:cs="Times New Roman" w:eastAsia="Times New Roman" w:hAnsi="Times New Roman"/>
          <w:sz w:val="18"/>
          <w:szCs w:val="18"/>
          <w:color w:val="auto"/>
        </w:rPr>
        <w:t>EXHIBIT 101.PRE *</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572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tc>
      </w:tr>
      <w:tr>
        <w:trPr>
          <w:trHeight w:val="4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16, 2020</w:t>
            </w:r>
          </w:p>
        </w:tc>
        <w:tc>
          <w:tcPr>
            <w:tcW w:w="5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By:  /s/ Thomas Kerkaert</w:t>
            </w:r>
          </w:p>
        </w:tc>
      </w:tr>
      <w:tr>
        <w:trPr>
          <w:trHeight w:val="191"/>
        </w:trPr>
        <w:tc>
          <w:tcPr>
            <w:tcW w:w="3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Thomas Kerkaert</w:t>
            </w:r>
          </w:p>
        </w:tc>
        <w:tc>
          <w:tcPr>
            <w:tcW w:w="20" w:type="dxa"/>
            <w:vAlign w:val="bottom"/>
          </w:tcPr>
          <w:p>
            <w:pPr>
              <w:spacing w:after="0"/>
              <w:rPr>
                <w:sz w:val="16"/>
                <w:szCs w:val="16"/>
                <w:color w:val="auto"/>
              </w:rPr>
            </w:pPr>
          </w:p>
        </w:tc>
      </w:tr>
      <w:tr>
        <w:trPr>
          <w:trHeight w:val="214"/>
        </w:trPr>
        <w:tc>
          <w:tcPr>
            <w:tcW w:w="3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16"/>
        </w:trPr>
        <w:tc>
          <w:tcPr>
            <w:tcW w:w="3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(On behalf of Registrant and as Principal Financial</w:t>
            </w:r>
          </w:p>
        </w:tc>
      </w:tr>
      <w:tr>
        <w:trPr>
          <w:trHeight w:val="236"/>
        </w:trPr>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864"/>
        </w:trPr>
        <w:tc>
          <w:tcPr>
            <w:tcW w:w="3200" w:type="dxa"/>
            <w:vAlign w:val="bottom"/>
          </w:tcPr>
          <w:p>
            <w:pPr>
              <w:spacing w:after="0"/>
              <w:rPr>
                <w:sz w:val="24"/>
                <w:szCs w:val="24"/>
                <w:color w:val="auto"/>
              </w:rPr>
            </w:pP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Kenneth E. Shipley, certify that:</w:t>
      </w:r>
    </w:p>
    <w:p>
      <w:pPr>
        <w:spacing w:after="0" w:line="225" w:lineRule="exact"/>
        <w:rPr>
          <w:sz w:val="20"/>
          <w:szCs w:val="20"/>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60" w:right="240" w:firstLine="655"/>
        <w:spacing w:after="0" w:line="266" w:lineRule="auto"/>
        <w:tabs>
          <w:tab w:leader="none" w:pos="11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60" w:right="60" w:firstLine="655"/>
        <w:spacing w:after="0" w:line="266" w:lineRule="auto"/>
        <w:tabs>
          <w:tab w:leader="none" w:pos="12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60" w:right="80" w:firstLine="655"/>
        <w:spacing w:after="0" w:line="266" w:lineRule="auto"/>
        <w:tabs>
          <w:tab w:leader="none" w:pos="11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60" w:right="20" w:firstLine="655"/>
        <w:spacing w:after="0" w:line="266" w:lineRule="auto"/>
        <w:tabs>
          <w:tab w:leader="none" w:pos="12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60" w:right="320" w:firstLine="655"/>
        <w:spacing w:after="0" w:line="266" w:lineRule="auto"/>
        <w:tabs>
          <w:tab w:leader="none" w:pos="11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60" w:right="360" w:firstLine="655"/>
        <w:spacing w:after="0" w:line="282" w:lineRule="auto"/>
        <w:tabs>
          <w:tab w:leader="none" w:pos="12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16, 2020</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E. Shipley</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Thomas Kerkaert, certify that:</w:t>
      </w:r>
    </w:p>
    <w:p>
      <w:pPr>
        <w:spacing w:after="0" w:line="225" w:lineRule="exact"/>
        <w:rPr>
          <w:sz w:val="20"/>
          <w:szCs w:val="20"/>
          <w:color w:val="auto"/>
        </w:rPr>
      </w:pPr>
    </w:p>
    <w:p>
      <w:pPr>
        <w:ind w:left="840" w:hanging="18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60" w:right="240" w:firstLine="655"/>
        <w:spacing w:after="0" w:line="266" w:lineRule="auto"/>
        <w:tabs>
          <w:tab w:leader="none" w:pos="11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60" w:right="60" w:firstLine="655"/>
        <w:spacing w:after="0" w:line="266" w:lineRule="auto"/>
        <w:tabs>
          <w:tab w:leader="none" w:pos="12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60" w:right="80" w:firstLine="655"/>
        <w:spacing w:after="0" w:line="266" w:lineRule="auto"/>
        <w:tabs>
          <w:tab w:leader="none" w:pos="11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60" w:right="20" w:firstLine="655"/>
        <w:spacing w:after="0" w:line="266" w:lineRule="auto"/>
        <w:tabs>
          <w:tab w:leader="none" w:pos="12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60" w:right="320" w:firstLine="655"/>
        <w:spacing w:after="0" w:line="266" w:lineRule="auto"/>
        <w:tabs>
          <w:tab w:leader="none" w:pos="11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60" w:right="360" w:firstLine="655"/>
        <w:spacing w:after="0" w:line="282" w:lineRule="auto"/>
        <w:tabs>
          <w:tab w:leader="none" w:pos="12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16, 2020</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Kerkaert</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Thomas Kerkaert</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10-Q for the quarter ended September 30, 2020, as filed with the Securities and Exchange Commission on the date hereof (the “Report”), I, Kenneth E. Shipley, President and Chief Executive Officer of the Company, certify, pursuant to 18 U.S.C. §1350, as adopted pursuant to Section 906 of the Sarbanes-Oxley Act of 2002, that:</w:t>
      </w:r>
    </w:p>
    <w:p>
      <w:pPr>
        <w:spacing w:after="0" w:line="180" w:lineRule="exact"/>
        <w:rPr>
          <w:sz w:val="20"/>
          <w:szCs w:val="20"/>
          <w:color w:val="auto"/>
        </w:rPr>
      </w:pPr>
    </w:p>
    <w:p>
      <w:pPr>
        <w:ind w:left="1300" w:right="260" w:hanging="644"/>
        <w:spacing w:after="0" w:line="282" w:lineRule="auto"/>
        <w:tabs>
          <w:tab w:leader="none" w:pos="12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16, 2020</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E. Shipley</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10-Q for the quarter ended September 30, 2020, as filed with the Securities and Exchange Commission on the date hereof (the “Report”), I, Thomas Kerkaert, Chief Financial Officer of the Company, certify, pursuant to 18 U.S.C. §1350, as adopted pursuant to Section 906 of the Sarbanes-Oxley Act of 2002, that:</w:t>
      </w:r>
    </w:p>
    <w:p>
      <w:pPr>
        <w:spacing w:after="0" w:line="180" w:lineRule="exact"/>
        <w:rPr>
          <w:sz w:val="20"/>
          <w:szCs w:val="20"/>
          <w:color w:val="auto"/>
        </w:rPr>
      </w:pPr>
    </w:p>
    <w:p>
      <w:pPr>
        <w:ind w:left="1300" w:right="260" w:hanging="644"/>
        <w:spacing w:after="0" w:line="282" w:lineRule="auto"/>
        <w:tabs>
          <w:tab w:leader="none" w:pos="1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16, 2020</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Kerkaert</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Thomas Kerkaert</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3"/>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o"/>
      <w:numFmt w:val="bullet"/>
      <w:start w:val="1"/>
    </w:lvl>
  </w:abstractNum>
  <w:abstractNum w:abstractNumId="9">
    <w:nsid w:val="140E0F76"/>
    <w:multiLevelType w:val="hybridMultilevel"/>
    <w:lvl w:ilvl="0">
      <w:lvlJc w:val="left"/>
      <w:lvlText w:val="%1"/>
      <w:numFmt w:val="upperLetter"/>
      <w:start w:val="68"/>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2020-11-16T16:21:43Z</dcterms:created>
  <dcterms:modified xsi:type="dcterms:W3CDTF">2020-11-16T16:21:43Z</dcterms:modified>
</cp:coreProperties>
</file>