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4525-2_def14a.htm"/>
        <w:bookmarkStart w:id="1" w:name="kstm264525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 xml:space="preserve">SECURITIES AND EXCHANGE COMMISSION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br/>
        <w:t xml:space="preserve">the Securities Exchange Act of 1934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Legacy Housing Corporation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6"/>
          <w:sz w:val="16"/>
        </w:rPr>
        <w:t xml:space="preserve"> </w:t>
      </w:r>
    </w:p>
    <w:p>
      <w:pPr>
        <w:pStyle w:val="TextBody"/>
        <w:bidi w:val="0"/>
        <w:spacing w:lineRule="atLeast" w:line="200" w:before="160" w:after="283"/>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LEGACY HOUSING CORPORATION</w:t>
      </w:r>
      <w:r>
        <w:rPr>
          <w:rFonts w:ascii="Times New Roman;Times;serif" w:hAnsi="Times New Roman;Times;serif"/>
          <w:b w:val="false"/>
          <w:i w:val="false"/>
          <w:caps w:val="false"/>
          <w:smallCaps w:val="false"/>
          <w:color w:val="000000"/>
          <w:spacing w:val="4"/>
          <w:sz w:val="20"/>
        </w:rPr>
        <w:t xml:space="preserve"> </w:t>
        <w:br/>
        <w:t xml:space="preserve">1600 Airport Freeway, Suite 100 </w:t>
        <w:br/>
        <w:t xml:space="preserve">Bedford, Texas 76022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ANNUAL MEETING OF STOCKHOLDERS </w:t>
        <w:br/>
        <w:t>October 28,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Our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behalf of the Board of Directors, we are honored to invite you to attend the 2026 Annual Meeting of Stockholders of Legacy Housing Corporation (“Legacy” or the “Company”). The Annual Meeting will be held on Wednesday, October 28, 2026, at 11:00 a.m., Central time, solely by means of remote communication via the internet (a “virtual meeting”). All stockholders as of September 8, 2026 (the “record date”), will be able to attend, vote and participate in the meeting by remote communication. To attend and participate in the meeting, visit </w:t>
      </w:r>
      <w:r>
        <w:rPr>
          <w:rFonts w:ascii="Times New Roman;Times;serif" w:hAnsi="Times New Roman;Times;serif"/>
          <w:b w:val="false"/>
          <w:i/>
          <w:caps w:val="false"/>
          <w:smallCaps w:val="false"/>
          <w:color w:val="000000"/>
          <w:spacing w:val="4"/>
          <w:sz w:val="20"/>
        </w:rPr>
        <w:t>www.cstproxy.com/legacyhousingcorp/2026</w:t>
      </w:r>
      <w:r>
        <w:rPr>
          <w:rFonts w:ascii="Times New Roman;Times;serif" w:hAnsi="Times New Roman;Times;serif"/>
          <w:b w:val="false"/>
          <w:i w:val="false"/>
          <w:caps w:val="false"/>
          <w:smallCaps w:val="false"/>
          <w:color w:val="000000"/>
          <w:spacing w:val="4"/>
          <w:sz w:val="20"/>
        </w:rPr>
        <w:t xml:space="preserve"> and enter your 12-digit control number located on your proxy card, voting instruction form, or Notice of Internet Availability. You will not be able to attend the Annual Meeting in person. For additional information about participating in the Annual Meeting, see “About the Meeting — How can I attend the Annual Meeting?” in the accompanying Proxy Statement beginning on page 2.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you will be asked to: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1:   Elect four directors for a term of one year or until their successors are elected and qualified; and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2:   Ratify the appointment of Frazier &amp; Deeter, LLC as our independent registered public accounting firm for the year ending December 31, 2026.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 will also be taken on any other matters that properly come before the meeting. If you are a stockholder of record at the close of business on the record date, you are entitled to vote at the Annual Meeting or at any adjournment or postponement of the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of Directors recommends that you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election of each of the nominees named in Proposal 1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Proposal 2. Information about the matters to be acted upon at the Annual Meeting is contained in the accompanying Proxy Statement.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a proxy to vote your shares in advance of the Annual Meeting by any of the following means: </w:t>
      </w:r>
    </w:p>
    <w:tbl>
      <w:tblPr>
        <w:tblW w:w="8812" w:type="dxa"/>
        <w:jc w:val="left"/>
        <w:tblInd w:w="1393" w:type="dxa"/>
        <w:tblLayout w:type="fixed"/>
        <w:tblCellMar>
          <w:top w:w="0" w:type="dxa"/>
          <w:left w:w="0" w:type="dxa"/>
          <w:bottom w:w="0" w:type="dxa"/>
          <w:right w:w="0" w:type="dxa"/>
        </w:tblCellMar>
      </w:tblPr>
      <w:tblGrid>
        <w:gridCol w:w="124"/>
        <w:gridCol w:w="582"/>
        <w:gridCol w:w="109"/>
        <w:gridCol w:w="109"/>
        <w:gridCol w:w="7733"/>
        <w:gridCol w:w="155"/>
      </w:tblGrid>
      <w:tr>
        <w:trPr/>
        <w:tc>
          <w:tcPr>
            <w:tcW w:w="124" w:type="dxa"/>
            <w:tcBorders/>
            <w:vAlign w:val="center"/>
          </w:tcPr>
          <w:p>
            <w:pPr>
              <w:pStyle w:val="TableContents"/>
              <w:bidi w:val="0"/>
              <w:spacing w:before="0" w:after="283"/>
              <w:jc w:val="left"/>
              <w:rPr/>
            </w:pPr>
            <w:r>
              <w:rPr/>
              <w:t>​</w:t>
            </w:r>
          </w:p>
        </w:tc>
        <w:tc>
          <w:tcPr>
            <w:tcW w:w="582" w:type="dxa"/>
            <w:tcBorders/>
            <w:vAlign w:val="center"/>
          </w:tcPr>
          <w:p>
            <w:pPr>
              <w:pStyle w:val="TableContents"/>
              <w:bidi w:val="0"/>
              <w:spacing w:before="0" w:after="0"/>
              <w:jc w:val="center"/>
              <w:rPr/>
            </w:pPr>
            <w:r>
              <w:rPr/>
              <w:drawing>
                <wp:inline distT="0" distB="0" distL="0" distR="0">
                  <wp:extent cx="304800" cy="2762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304800"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33" w:type="dxa"/>
            <w:tcBorders/>
            <w:vAlign w:val="center"/>
          </w:tcPr>
          <w:p>
            <w:pPr>
              <w:pStyle w:val="TableContents"/>
              <w:bidi w:val="0"/>
              <w:spacing w:lineRule="atLeast" w:line="240" w:before="0" w:after="0"/>
              <w:jc w:val="left"/>
              <w:rPr>
                <w:b/>
              </w:rPr>
            </w:pPr>
            <w:r>
              <w:rPr>
                <w:b/>
                <w:spacing w:val="-4"/>
              </w:rPr>
              <w:t>Internet</w:t>
            </w:r>
            <w:r>
              <w:rPr>
                <w:b/>
              </w:rPr>
              <w:t xml:space="preserve"> </w:t>
            </w:r>
          </w:p>
          <w:p>
            <w:pPr>
              <w:pStyle w:val="TableContents"/>
              <w:bidi w:val="0"/>
              <w:spacing w:lineRule="atLeast" w:line="240" w:before="120" w:after="283"/>
              <w:jc w:val="both"/>
              <w:rPr/>
            </w:pPr>
            <w:r>
              <w:rPr>
                <w:spacing w:val="4"/>
              </w:rPr>
              <w:t xml:space="preserve">Please visit </w:t>
            </w:r>
            <w:r>
              <w:rPr>
                <w:i/>
                <w:spacing w:val="4"/>
              </w:rPr>
              <w:t>www.cstproxy.com/legacyhousingcorp/2026</w:t>
            </w:r>
            <w:r>
              <w:rPr>
                <w:spacing w:val="4"/>
              </w:rPr>
              <w:t xml:space="preserve"> and submit a proxy to vote your shares at </w:t>
            </w:r>
            <w:r>
              <w:rPr>
                <w:i/>
                <w:spacing w:val="4"/>
              </w:rPr>
              <w:t>www.cstproxyvote.com</w:t>
            </w:r>
            <w:r>
              <w:rPr>
                <w:spacing w:val="4"/>
              </w:rPr>
              <w:t xml:space="preserve"> by 10:59 p.m., Central time, on Tuesday, October 27,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2" w:type="dxa"/>
            <w:tcBorders/>
            <w:vAlign w:val="center"/>
          </w:tcPr>
          <w:p>
            <w:pPr>
              <w:pStyle w:val="TableContents"/>
              <w:bidi w:val="0"/>
              <w:spacing w:before="0" w:after="0"/>
              <w:jc w:val="center"/>
              <w:rPr/>
            </w:pPr>
            <w:r>
              <w:rPr/>
              <w:drawing>
                <wp:inline distT="0" distB="0" distL="0" distR="0">
                  <wp:extent cx="304800" cy="21907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3048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33" w:type="dxa"/>
            <w:tcBorders/>
            <w:vAlign w:val="center"/>
          </w:tcPr>
          <w:p>
            <w:pPr>
              <w:pStyle w:val="TableContents"/>
              <w:bidi w:val="0"/>
              <w:spacing w:lineRule="atLeast" w:line="240" w:before="0" w:after="283"/>
              <w:jc w:val="left"/>
              <w:rPr>
                <w:b/>
              </w:rPr>
            </w:pPr>
            <w:r>
              <w:rPr>
                <w:b/>
                <w:spacing w:val="-4"/>
              </w:rPr>
              <w:t>Mail</w:t>
            </w:r>
            <w:r>
              <w:rPr>
                <w:b/>
              </w:rPr>
              <w:t xml:space="preserve"> </w:t>
            </w:r>
          </w:p>
          <w:p>
            <w:pPr>
              <w:pStyle w:val="TableContents"/>
              <w:bidi w:val="0"/>
              <w:spacing w:lineRule="atLeast" w:line="240" w:before="120" w:after="283"/>
              <w:jc w:val="both"/>
              <w:rPr/>
            </w:pPr>
            <w:r>
              <w:rPr>
                <w:spacing w:val="4"/>
              </w:rPr>
              <w:t>If you received printed copies of the proxy materials and prefer to submit a proxy to vote your shares by mail, please complete, sign, date and return your proxy card by mail so that it is received prior to the Annual Meeting.</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58"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attend and vote at the Annual Meeting. </w:t>
      </w:r>
    </w:p>
    <w:tbl>
      <w:tblPr>
        <w:tblW w:w="8812" w:type="dxa"/>
        <w:jc w:val="left"/>
        <w:tblInd w:w="1393" w:type="dxa"/>
        <w:tblLayout w:type="fixed"/>
        <w:tblCellMar>
          <w:top w:w="0" w:type="dxa"/>
          <w:left w:w="0" w:type="dxa"/>
          <w:bottom w:w="0" w:type="dxa"/>
          <w:right w:w="0" w:type="dxa"/>
        </w:tblCellMar>
      </w:tblPr>
      <w:tblGrid>
        <w:gridCol w:w="124"/>
        <w:gridCol w:w="489"/>
        <w:gridCol w:w="109"/>
        <w:gridCol w:w="109"/>
        <w:gridCol w:w="7826"/>
        <w:gridCol w:w="155"/>
      </w:tblGrid>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center"/>
              <w:rPr/>
            </w:pPr>
            <w:r>
              <w:rPr/>
              <w:drawing>
                <wp:inline distT="0" distB="0" distL="0" distR="0">
                  <wp:extent cx="238125" cy="30480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23812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26" w:type="dxa"/>
            <w:tcBorders/>
            <w:vAlign w:val="center"/>
          </w:tcPr>
          <w:p>
            <w:pPr>
              <w:pStyle w:val="TableContents"/>
              <w:bidi w:val="0"/>
              <w:spacing w:lineRule="atLeast" w:line="240" w:before="0" w:after="0"/>
              <w:jc w:val="left"/>
              <w:rPr>
                <w:b/>
              </w:rPr>
            </w:pPr>
            <w:r>
              <w:rPr>
                <w:b/>
                <w:spacing w:val="-4"/>
              </w:rPr>
              <w:t>Virtual Annual Meeting</w:t>
            </w:r>
            <w:r>
              <w:rPr>
                <w:b/>
              </w:rPr>
              <w:t xml:space="preserve"> </w:t>
            </w:r>
          </w:p>
          <w:p>
            <w:pPr>
              <w:pStyle w:val="TableContents"/>
              <w:bidi w:val="0"/>
              <w:spacing w:lineRule="atLeast" w:line="240" w:before="120" w:after="283"/>
              <w:jc w:val="both"/>
              <w:rPr/>
            </w:pPr>
            <w:r>
              <w:rPr>
                <w:spacing w:val="4"/>
              </w:rPr>
              <w:t xml:space="preserve">You may attend the Annual Meeting virtually at </w:t>
            </w:r>
            <w:r>
              <w:rPr>
                <w:i/>
                <w:spacing w:val="4"/>
              </w:rPr>
              <w:t>www.cstproxy.com/legacyhousingcorp/2026</w:t>
            </w:r>
            <w:r>
              <w:rPr>
                <w:spacing w:val="4"/>
              </w:rPr>
              <w:t xml:space="preserve"> and cast your vote at </w:t>
            </w:r>
            <w:r>
              <w:rPr>
                <w:i/>
                <w:spacing w:val="4"/>
              </w:rPr>
              <w:t>www.cstproxyvote.com</w:t>
            </w:r>
            <w:r>
              <w:rPr>
                <w:spacing w:val="4"/>
              </w:rPr>
              <w:t>.</w:t>
            </w:r>
            <w:r>
              <w:rPr/>
              <w:t xml:space="preserve"> </w:t>
            </w:r>
          </w:p>
          <w:p>
            <w:pPr>
              <w:pStyle w:val="TableContents"/>
              <w:bidi w:val="0"/>
              <w:spacing w:lineRule="atLeast" w:line="240" w:before="120" w:after="283"/>
              <w:jc w:val="both"/>
              <w:rPr>
                <w:spacing w:val="4"/>
              </w:rPr>
            </w:pPr>
            <w:r>
              <w:rPr>
                <w:spacing w:val="4"/>
              </w:rPr>
              <w:t xml:space="preserve">Beneficial owners whose shares are held at a brokerage firm,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09"/>
        <w:gridCol w:w="109"/>
        <w:gridCol w:w="8207"/>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07" w:type="dxa"/>
            <w:tcBorders/>
            <w:vAlign w:val="center"/>
          </w:tcPr>
          <w:p>
            <w:pPr>
              <w:pStyle w:val="TableContents"/>
              <w:bidi w:val="0"/>
              <w:spacing w:before="0" w:after="0"/>
              <w:jc w:val="both"/>
              <w:rPr/>
            </w:pPr>
            <w:r>
              <w:rPr>
                <w:spacing w:val="4"/>
              </w:rPr>
              <w:t>or by a bank or other nominee, should follow the voting instructions that they received from the nominee (see information in the Proxy Statement under “About the Meeting — What is the difference between a stockholder “of record” and a “street name” holder?”).</w:t>
            </w:r>
            <w:r>
              <w:rPr/>
              <w:t xml:space="preserve"> </w:t>
            </w:r>
          </w:p>
          <w:p>
            <w:pPr>
              <w:pStyle w:val="TableContents"/>
              <w:bidi w:val="0"/>
              <w:spacing w:before="120" w:after="283"/>
              <w:jc w:val="both"/>
              <w:rPr/>
            </w:pPr>
            <w:r>
              <w:rPr>
                <w:spacing w:val="4"/>
              </w:rPr>
              <w:t>This notice is being delivered to the holders of shares as of the close of business on September 8, 2026, the record date fixed by the Board of Directors for the purposes of determining the Company stockholders entitled to receive notice of, and to vote at, the Annual Meeting, and constitutes notice of the Annual Meeting under Texas law.</w:t>
            </w:r>
            <w:r>
              <w:rPr/>
              <w:t xml:space="preserve"> </w:t>
            </w:r>
          </w:p>
        </w:tc>
        <w:tc>
          <w:tcPr>
            <w:tcW w:w="154" w:type="dxa"/>
            <w:tcBorders/>
            <w:vAlign w:val="center"/>
          </w:tcPr>
          <w:p>
            <w:pPr>
              <w:pStyle w:val="TableContents"/>
              <w:bidi w:val="0"/>
              <w:spacing w:before="0" w:after="283"/>
              <w:jc w:val="left"/>
              <w:rPr/>
            </w:pPr>
            <w:r>
              <w:rPr/>
              <w:t>​</w:t>
            </w:r>
          </w:p>
        </w:tc>
      </w:tr>
    </w:tbl>
    <w:tbl>
      <w:tblPr>
        <w:tblW w:w="6263" w:type="dxa"/>
        <w:jc w:val="left"/>
        <w:tblInd w:w="1393" w:type="dxa"/>
        <w:tblLayout w:type="fixed"/>
        <w:tblCellMar>
          <w:top w:w="0" w:type="dxa"/>
          <w:left w:w="0" w:type="dxa"/>
          <w:bottom w:w="0" w:type="dxa"/>
          <w:right w:w="0" w:type="dxa"/>
        </w:tblCellMar>
      </w:tblPr>
      <w:tblGrid>
        <w:gridCol w:w="124"/>
        <w:gridCol w:w="2123"/>
        <w:gridCol w:w="109"/>
        <w:gridCol w:w="109"/>
        <w:gridCol w:w="3644"/>
        <w:gridCol w:w="154"/>
      </w:tblGrid>
      <w:tr>
        <w:trPr/>
        <w:tc>
          <w:tcPr>
            <w:tcW w:w="124" w:type="dxa"/>
            <w:tcBorders/>
            <w:vAlign w:val="center"/>
          </w:tcPr>
          <w:p>
            <w:pPr>
              <w:pStyle w:val="TableContents"/>
              <w:bidi w:val="0"/>
              <w:spacing w:before="0" w:after="283"/>
              <w:jc w:val="left"/>
              <w:rPr/>
            </w:pPr>
            <w:r>
              <w:rPr/>
              <w:t>​</w:t>
            </w:r>
          </w:p>
        </w:tc>
        <w:tc>
          <w:tcPr>
            <w:tcW w:w="21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44" w:type="dxa"/>
            <w:tcBorders/>
            <w:vAlign w:val="center"/>
          </w:tcPr>
          <w:p>
            <w:pPr>
              <w:pStyle w:val="TableContents"/>
              <w:bidi w:val="0"/>
              <w:spacing w:before="0" w:after="283"/>
              <w:jc w:val="left"/>
              <w:rPr>
                <w:spacing w:val="4"/>
              </w:rPr>
            </w:pPr>
            <w:r>
              <w:rPr>
                <w:spacing w:val="4"/>
              </w:rPr>
              <w:t xml:space="preserve">By Order of the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44" w:type="dxa"/>
            <w:tcBorders/>
            <w:vAlign w:val="center"/>
          </w:tcPr>
          <w:p>
            <w:pPr>
              <w:pStyle w:val="TableContents"/>
              <w:bidi w:val="0"/>
              <w:spacing w:before="0" w:after="0"/>
              <w:jc w:val="left"/>
              <w:rPr/>
            </w:pPr>
            <w:r>
              <w:rPr/>
              <w:drawing>
                <wp:inline distT="0" distB="0" distL="0" distR="0">
                  <wp:extent cx="561975" cy="447675"/>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561975" cy="447675"/>
                          </a:xfrm>
                          <a:prstGeom prst="rect">
                            <a:avLst/>
                          </a:prstGeom>
                        </pic:spPr>
                      </pic:pic>
                    </a:graphicData>
                  </a:graphic>
                </wp:inline>
              </w:drawing>
            </w:r>
            <w:r>
              <w:rPr/>
              <w:t xml:space="preserve"> </w:t>
            </w:r>
          </w:p>
          <w:p>
            <w:pPr>
              <w:pStyle w:val="TableContents"/>
              <w:bidi w:val="0"/>
              <w:spacing w:before="0" w:after="283"/>
              <w:ind w:left="0" w:right="0" w:hanging="0"/>
              <w:jc w:val="left"/>
              <w:rPr>
                <w:bdr w:val="single" w:sz="8" w:space="1" w:color="000000"/>
              </w:rPr>
            </w:pPr>
            <w:r>
              <w:rPr>
                <w:bdr w:val="single" w:sz="8" w:space="1" w:color="000000"/>
              </w:rPr>
              <w:t>​</w:t>
            </w:r>
          </w:p>
          <w:p>
            <w:pPr>
              <w:pStyle w:val="TableContents"/>
              <w:bidi w:val="0"/>
              <w:spacing w:lineRule="atLeast" w:line="240" w:before="80" w:after="283"/>
              <w:jc w:val="left"/>
              <w:rPr/>
            </w:pPr>
            <w:r>
              <w:rPr>
                <w:spacing w:val="4"/>
              </w:rPr>
              <w:t>Kenneth E. Shipley</w:t>
            </w:r>
            <w:r>
              <w:rPr/>
              <w:t xml:space="preserve"> </w:t>
              <w:br/>
            </w:r>
            <w:r>
              <w:rPr>
                <w:i/>
                <w:spacing w:val="4"/>
              </w:rPr>
              <w:t>Chief Executive Officer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23" w:type="dxa"/>
            <w:tcBorders/>
            <w:vAlign w:val="center"/>
          </w:tcPr>
          <w:p>
            <w:pPr>
              <w:pStyle w:val="TableContents"/>
              <w:bidi w:val="0"/>
              <w:spacing w:before="0" w:after="283"/>
              <w:jc w:val="left"/>
              <w:rPr>
                <w:spacing w:val="4"/>
              </w:rPr>
            </w:pPr>
            <w:r>
              <w:rPr>
                <w:spacing w:val="4"/>
              </w:rPr>
              <w:t xml:space="preserve">Bedford, Texas </w:t>
              <w:br/>
              <w:t xml:space="preserve">September 18,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4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of Internet Availability Regarding the Availability of Proxy Materials for the Stockholder Meeting to be Held on Wednesday, October 28, 2026:</w:t>
      </w:r>
      <w:r>
        <w:rPr>
          <w:rFonts w:ascii="Times New Roman;Times;serif" w:hAnsi="Times New Roman;Times;serif"/>
          <w:b w:val="false"/>
          <w:i w:val="false"/>
          <w:caps w:val="false"/>
          <w:smallCaps w:val="false"/>
          <w:color w:val="000000"/>
          <w:spacing w:val="4"/>
          <w:sz w:val="20"/>
        </w:rPr>
        <w:t xml:space="preserve">   This year we will take advantage of the rules of the U.S. Securities and Exchange Commission (the “SEC”) that allow us to furnish our proxy materials over the Internet. As a result, we are sending a Notice of Internet Availability to our stockholders on or about September 18, 2026 which will contain instructions on how to access our proxy materials on the Internet, as well as instructions on how stockholders may obtain a paper copy of our proxy materials. The Proxy Statement, Proxy Card and Annual Report on Form 10-K for the year ended December 31, 2025, accompany this notice and are available at </w:t>
      </w:r>
      <w:r>
        <w:rPr>
          <w:rFonts w:ascii="Times New Roman;Times;serif" w:hAnsi="Times New Roman;Times;serif"/>
          <w:b w:val="false"/>
          <w:i/>
          <w:caps w:val="false"/>
          <w:smallCaps w:val="false"/>
          <w:color w:val="000000"/>
          <w:spacing w:val="4"/>
          <w:sz w:val="20"/>
        </w:rPr>
        <w:t>www.cstproxy.com/legacyhousingcorp/2026</w:t>
      </w:r>
      <w:r>
        <w:rPr>
          <w:rFonts w:ascii="Times New Roman;Times;serif" w:hAnsi="Times New Roman;Times;serif"/>
          <w:b w:val="false"/>
          <w:i w:val="false"/>
          <w:caps w:val="false"/>
          <w:smallCaps w:val="false"/>
          <w:color w:val="000000"/>
          <w:spacing w:val="4"/>
          <w:sz w:val="20"/>
        </w:rPr>
        <w:t xml:space="preserve">. In addition, a list of stockholders entitled to vote at the Annual Meeting will be available for examination by any stockholder for any purpose germane to the Annual Meeting for at least 10 days prior to the Annual Meeting, during ordinary business hours, at our principal place of business at 1600 Airport Freeway, Suite 100, Bedford, Texas 76022. During </w:t>
        <w:br/>
        <w:t xml:space="preserve">the Annual Meeting, the list of stockholders will be available for examination at </w:t>
      </w:r>
      <w:r>
        <w:rPr>
          <w:rFonts w:ascii="Times New Roman;Times;serif" w:hAnsi="Times New Roman;Times;serif"/>
          <w:b w:val="false"/>
          <w:i/>
          <w:caps w:val="false"/>
          <w:smallCaps w:val="false"/>
          <w:color w:val="000000"/>
          <w:spacing w:val="4"/>
          <w:sz w:val="20"/>
        </w:rPr>
        <w:t>www.cstproxy.com/legacyhousingcorp/2026</w:t>
      </w:r>
      <w:r>
        <w:rPr>
          <w:rFonts w:ascii="Times New Roman;Times;serif" w:hAnsi="Times New Roman;Times;serif"/>
          <w:b w:val="false"/>
          <w:i w:val="false"/>
          <w:caps w:val="false"/>
          <w:smallCaps w:val="false"/>
          <w:color w:val="000000"/>
          <w:spacing w:val="4"/>
          <w:sz w:val="20"/>
        </w:rPr>
        <w:t xml:space="preserve"> using the 12-digit control number located on your proxy card, voting instruction form, or Notice of Internet Availability.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25"/>
        <w:gridCol w:w="109"/>
        <w:gridCol w:w="109"/>
        <w:gridCol w:w="109"/>
        <w:gridCol w:w="109"/>
        <w:gridCol w:w="387"/>
        <w:gridCol w:w="109"/>
        <w:gridCol w:w="155"/>
      </w:tblGrid>
      <w:tr>
        <w:trPr/>
        <w:tc>
          <w:tcPr>
            <w:tcW w:w="77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25" w:type="dxa"/>
            <w:tcBorders/>
            <w:shd w:fill="CCEEFF" w:val="clear"/>
            <w:tcMar>
              <w:bottom w:w="0" w:type="dxa"/>
            </w:tcMar>
            <w:vAlign w:val="center"/>
          </w:tcPr>
          <w:p>
            <w:pPr>
              <w:pStyle w:val="TableContents"/>
              <w:bidi w:val="0"/>
              <w:spacing w:before="0" w:after="0"/>
              <w:jc w:val="left"/>
              <w:rPr/>
            </w:pPr>
            <w:hyperlink w:anchor="tPRST">
              <w:r>
                <w:rPr>
                  <w:rStyle w:val="InternetLink"/>
                  <w:spacing w:val="4"/>
                </w:rPr>
                <w:t xml:space="preserve">PROXY STATEMENT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7" w:type="dxa"/>
            <w:tcBorders/>
            <w:shd w:fill="CCEEFF" w:val="clear"/>
            <w:tcMar>
              <w:bottom w:w="0" w:type="dxa"/>
            </w:tcMar>
            <w:vAlign w:val="center"/>
          </w:tcPr>
          <w:p>
            <w:pPr>
              <w:pStyle w:val="TableContents"/>
              <w:bidi w:val="0"/>
              <w:spacing w:before="0" w:after="283"/>
              <w:jc w:val="right"/>
              <w:rPr/>
            </w:pPr>
            <w:hyperlink w:anchor="tPRST">
              <w:r>
                <w:rPr>
                  <w:rStyle w:val="InternetLink"/>
                  <w:spacing w:val="4"/>
                </w:rPr>
                <w:t>1</w:t>
              </w:r>
            </w:hyperlink>
            <w:hyperlink w:anchor="tPR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5" w:type="dxa"/>
            <w:tcBorders/>
            <w:tcMar>
              <w:bottom w:w="0" w:type="dxa"/>
            </w:tcMar>
            <w:vAlign w:val="center"/>
          </w:tcPr>
          <w:p>
            <w:pPr>
              <w:pStyle w:val="TableContents"/>
              <w:bidi w:val="0"/>
              <w:spacing w:before="0" w:after="0"/>
              <w:jc w:val="left"/>
              <w:rPr/>
            </w:pPr>
            <w:hyperlink w:anchor="tATM">
              <w:r>
                <w:rPr>
                  <w:rStyle w:val="InternetLink"/>
                  <w:spacing w:val="4"/>
                </w:rPr>
                <w:t xml:space="preserve">ABOUT THE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7" w:type="dxa"/>
            <w:tcBorders/>
            <w:tcMar>
              <w:bottom w:w="0" w:type="dxa"/>
            </w:tcMar>
            <w:vAlign w:val="center"/>
          </w:tcPr>
          <w:p>
            <w:pPr>
              <w:pStyle w:val="TableContents"/>
              <w:bidi w:val="0"/>
              <w:spacing w:before="0" w:after="283"/>
              <w:jc w:val="right"/>
              <w:rPr/>
            </w:pPr>
            <w:hyperlink w:anchor="tATM">
              <w:r>
                <w:rPr>
                  <w:rStyle w:val="InternetLink"/>
                  <w:spacing w:val="4"/>
                </w:rPr>
                <w:t>1</w:t>
              </w:r>
            </w:hyperlink>
            <w:hyperlink w:anchor="tA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5" w:type="dxa"/>
            <w:tcBorders/>
            <w:shd w:fill="CCEEFF" w:val="clear"/>
            <w:tcMar>
              <w:bottom w:w="0" w:type="dxa"/>
            </w:tcMar>
            <w:vAlign w:val="center"/>
          </w:tcPr>
          <w:p>
            <w:pPr>
              <w:pStyle w:val="TableContents"/>
              <w:bidi w:val="0"/>
              <w:spacing w:before="0" w:after="0"/>
              <w:jc w:val="left"/>
              <w:rPr/>
            </w:pPr>
            <w:hyperlink w:anchor="tHOAM">
              <w:r>
                <w:rPr>
                  <w:rStyle w:val="InternetLink"/>
                  <w:spacing w:val="4"/>
                </w:rPr>
                <w:t xml:space="preserve">HOUSEHOLDING OF ANNUAL MEETING MATERIALS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7" w:type="dxa"/>
            <w:tcBorders/>
            <w:shd w:fill="CCEEFF" w:val="clear"/>
            <w:tcMar>
              <w:bottom w:w="0" w:type="dxa"/>
            </w:tcMar>
            <w:vAlign w:val="center"/>
          </w:tcPr>
          <w:p>
            <w:pPr>
              <w:pStyle w:val="TableContents"/>
              <w:bidi w:val="0"/>
              <w:spacing w:before="0" w:after="283"/>
              <w:jc w:val="right"/>
              <w:rPr/>
            </w:pPr>
            <w:hyperlink w:anchor="tHOAM">
              <w:r>
                <w:rPr>
                  <w:rStyle w:val="InternetLink"/>
                  <w:spacing w:val="4"/>
                </w:rPr>
                <w:t>7</w:t>
              </w:r>
            </w:hyperlink>
            <w:hyperlink w:anchor="tHOA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5" w:type="dxa"/>
            <w:tcBorders/>
            <w:tcMar>
              <w:bottom w:w="0" w:type="dxa"/>
            </w:tcMar>
            <w:vAlign w:val="center"/>
          </w:tcPr>
          <w:p>
            <w:pPr>
              <w:pStyle w:val="TableContents"/>
              <w:bidi w:val="0"/>
              <w:spacing w:before="0" w:after="0"/>
              <w:jc w:val="left"/>
              <w:rPr/>
            </w:pPr>
            <w:hyperlink w:anchor="tP1EO">
              <w:r>
                <w:rPr>
                  <w:rStyle w:val="InternetLink"/>
                  <w:spacing w:val="4"/>
                </w:rPr>
                <w:t xml:space="preserve">PROPOSAL 1: ELECTION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7" w:type="dxa"/>
            <w:tcBorders/>
            <w:tcMar>
              <w:bottom w:w="0" w:type="dxa"/>
            </w:tcMar>
            <w:vAlign w:val="center"/>
          </w:tcPr>
          <w:p>
            <w:pPr>
              <w:pStyle w:val="TableContents"/>
              <w:bidi w:val="0"/>
              <w:spacing w:before="0" w:after="283"/>
              <w:jc w:val="right"/>
              <w:rPr/>
            </w:pPr>
            <w:hyperlink w:anchor="tP1EO">
              <w:r>
                <w:rPr>
                  <w:rStyle w:val="InternetLink"/>
                  <w:spacing w:val="4"/>
                </w:rPr>
                <w:t>8</w:t>
              </w:r>
            </w:hyperlink>
            <w:hyperlink w:anchor="tP1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5" w:type="dxa"/>
            <w:tcBorders/>
            <w:shd w:fill="CCEEFF" w:val="clear"/>
            <w:tcMar>
              <w:bottom w:w="0" w:type="dxa"/>
            </w:tcMar>
            <w:vAlign w:val="center"/>
          </w:tcPr>
          <w:p>
            <w:pPr>
              <w:pStyle w:val="TableContents"/>
              <w:bidi w:val="0"/>
              <w:spacing w:before="0" w:after="0"/>
              <w:ind w:left="200" w:right="0" w:hanging="200"/>
              <w:jc w:val="left"/>
              <w:rPr/>
            </w:pPr>
            <w:hyperlink w:anchor="tP2RO">
              <w:r>
                <w:rPr>
                  <w:rStyle w:val="InternetLink"/>
                  <w:spacing w:val="4"/>
                </w:rPr>
                <w:t xml:space="preserve">PROPOSAL 2: RATIFICATION OF THE 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7" w:type="dxa"/>
            <w:tcBorders/>
            <w:shd w:fill="CCEEFF" w:val="clear"/>
            <w:tcMar>
              <w:bottom w:w="0" w:type="dxa"/>
            </w:tcMar>
            <w:vAlign w:val="center"/>
          </w:tcPr>
          <w:p>
            <w:pPr>
              <w:pStyle w:val="TableContents"/>
              <w:bidi w:val="0"/>
              <w:spacing w:before="0" w:after="283"/>
              <w:jc w:val="right"/>
              <w:rPr/>
            </w:pPr>
            <w:hyperlink w:anchor="tP2RO">
              <w:r>
                <w:rPr>
                  <w:rStyle w:val="InternetLink"/>
                  <w:spacing w:val="4"/>
                </w:rPr>
                <w:t>10</w:t>
              </w:r>
            </w:hyperlink>
            <w:hyperlink w:anchor="tP2R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5" w:type="dxa"/>
            <w:tcBorders/>
            <w:tcMar>
              <w:bottom w:w="0" w:type="dxa"/>
            </w:tcMar>
            <w:vAlign w:val="center"/>
          </w:tcPr>
          <w:p>
            <w:pPr>
              <w:pStyle w:val="TableContents"/>
              <w:bidi w:val="0"/>
              <w:spacing w:before="0" w:after="0"/>
              <w:jc w:val="left"/>
              <w:rPr/>
            </w:pPr>
            <w:hyperlink w:anchor="tCOGO">
              <w:r>
                <w:rPr>
                  <w:rStyle w:val="InternetLink"/>
                  <w:spacing w:val="4"/>
                </w:rPr>
                <w:t xml:space="preserve">CORPORATE GOVERNANCE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7" w:type="dxa"/>
            <w:tcBorders/>
            <w:tcMar>
              <w:bottom w:w="0" w:type="dxa"/>
            </w:tcMar>
            <w:vAlign w:val="center"/>
          </w:tcPr>
          <w:p>
            <w:pPr>
              <w:pStyle w:val="TableContents"/>
              <w:bidi w:val="0"/>
              <w:spacing w:before="0" w:after="283"/>
              <w:jc w:val="right"/>
              <w:rPr/>
            </w:pPr>
            <w:hyperlink w:anchor="tCOGO">
              <w:r>
                <w:rPr>
                  <w:rStyle w:val="InternetLink"/>
                  <w:spacing w:val="4"/>
                </w:rPr>
                <w:t>12</w:t>
              </w:r>
            </w:hyperlink>
            <w:hyperlink w:anchor="tCOG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5" w:type="dxa"/>
            <w:tcBorders/>
            <w:shd w:fill="CCEEFF" w:val="clear"/>
            <w:tcMar>
              <w:bottom w:w="0" w:type="dxa"/>
            </w:tcMar>
            <w:vAlign w:val="center"/>
          </w:tcPr>
          <w:p>
            <w:pPr>
              <w:pStyle w:val="TableContents"/>
              <w:bidi w:val="0"/>
              <w:spacing w:before="0" w:after="0"/>
              <w:jc w:val="left"/>
              <w:rPr/>
            </w:pPr>
            <w:hyperlink w:anchor="tACR">
              <w:r>
                <w:rPr>
                  <w:rStyle w:val="InternetLink"/>
                  <w:spacing w:val="4"/>
                </w:rPr>
                <w:t xml:space="preserve">AUDIT COMMITTEE REPORT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7" w:type="dxa"/>
            <w:tcBorders/>
            <w:shd w:fill="CCEEFF" w:val="clear"/>
            <w:tcMar>
              <w:bottom w:w="0" w:type="dxa"/>
            </w:tcMar>
            <w:vAlign w:val="center"/>
          </w:tcPr>
          <w:p>
            <w:pPr>
              <w:pStyle w:val="TableContents"/>
              <w:bidi w:val="0"/>
              <w:spacing w:before="0" w:after="283"/>
              <w:jc w:val="right"/>
              <w:rPr/>
            </w:pPr>
            <w:hyperlink w:anchor="tACR">
              <w:r>
                <w:rPr>
                  <w:rStyle w:val="InternetLink"/>
                  <w:spacing w:val="4"/>
                </w:rPr>
                <w:t>17</w:t>
              </w:r>
            </w:hyperlink>
            <w:hyperlink w:anchor="tAC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5" w:type="dxa"/>
            <w:tcBorders/>
            <w:tcMar>
              <w:bottom w:w="0" w:type="dxa"/>
            </w:tcMar>
            <w:vAlign w:val="center"/>
          </w:tcPr>
          <w:p>
            <w:pPr>
              <w:pStyle w:val="TableContents"/>
              <w:bidi w:val="0"/>
              <w:spacing w:before="0" w:after="0"/>
              <w:jc w:val="left"/>
              <w:rPr/>
            </w:pPr>
            <w:hyperlink w:anchor="tSEOW">
              <w:r>
                <w:rPr>
                  <w:rStyle w:val="InternetLink"/>
                  <w:spacing w:val="4"/>
                </w:rPr>
                <w:t xml:space="preserve">SECURITY OWNERSHIP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7" w:type="dxa"/>
            <w:tcBorders/>
            <w:tcMar>
              <w:bottom w:w="0" w:type="dxa"/>
            </w:tcMar>
            <w:vAlign w:val="center"/>
          </w:tcPr>
          <w:p>
            <w:pPr>
              <w:pStyle w:val="TableContents"/>
              <w:bidi w:val="0"/>
              <w:spacing w:before="0" w:after="283"/>
              <w:jc w:val="right"/>
              <w:rPr/>
            </w:pPr>
            <w:hyperlink w:anchor="tSEOW">
              <w:r>
                <w:rPr>
                  <w:rStyle w:val="InternetLink"/>
                  <w:spacing w:val="4"/>
                </w:rPr>
                <w:t>18</w:t>
              </w:r>
            </w:hyperlink>
            <w:hyperlink w:anchor="tSE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5" w:type="dxa"/>
            <w:tcBorders/>
            <w:shd w:fill="CCEEFF" w:val="clear"/>
            <w:tcMar>
              <w:bottom w:w="0" w:type="dxa"/>
            </w:tcMar>
            <w:vAlign w:val="center"/>
          </w:tcPr>
          <w:p>
            <w:pPr>
              <w:pStyle w:val="TableContents"/>
              <w:bidi w:val="0"/>
              <w:spacing w:before="0" w:after="0"/>
              <w:jc w:val="left"/>
              <w:rPr/>
            </w:pPr>
            <w:hyperlink w:anchor="tMAN">
              <w:r>
                <w:rPr>
                  <w:rStyle w:val="InternetLink"/>
                  <w:spacing w:val="4"/>
                </w:rPr>
                <w:t xml:space="preserve">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7" w:type="dxa"/>
            <w:tcBorders/>
            <w:shd w:fill="CCEEFF" w:val="clear"/>
            <w:tcMar>
              <w:bottom w:w="0" w:type="dxa"/>
            </w:tcMar>
            <w:vAlign w:val="center"/>
          </w:tcPr>
          <w:p>
            <w:pPr>
              <w:pStyle w:val="TableContents"/>
              <w:bidi w:val="0"/>
              <w:spacing w:before="0" w:after="283"/>
              <w:jc w:val="right"/>
              <w:rPr/>
            </w:pPr>
            <w:hyperlink w:anchor="tMAN">
              <w:r>
                <w:rPr>
                  <w:rStyle w:val="InternetLink"/>
                  <w:spacing w:val="4"/>
                </w:rPr>
                <w:t>20</w:t>
              </w:r>
            </w:hyperlink>
            <w:hyperlink w:anchor="tMA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5" w:type="dxa"/>
            <w:tcBorders/>
            <w:tcMar>
              <w:bottom w:w="0" w:type="dxa"/>
            </w:tcMar>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7" w:type="dxa"/>
            <w:tcBorders/>
            <w:tcMar>
              <w:bottom w:w="0" w:type="dxa"/>
            </w:tcMar>
            <w:vAlign w:val="center"/>
          </w:tcPr>
          <w:p>
            <w:pPr>
              <w:pStyle w:val="TableContents"/>
              <w:bidi w:val="0"/>
              <w:spacing w:before="0" w:after="283"/>
              <w:jc w:val="right"/>
              <w:rPr/>
            </w:pPr>
            <w:hyperlink w:anchor="tEXCO">
              <w:r>
                <w:rPr>
                  <w:rStyle w:val="InternetLink"/>
                  <w:spacing w:val="4"/>
                </w:rPr>
                <w:t>21</w:t>
              </w:r>
            </w:hyperlink>
            <w:hyperlink w:anchor="tEX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5" w:type="dxa"/>
            <w:tcBorders/>
            <w:shd w:fill="CCEEFF" w:val="clear"/>
            <w:tcMar>
              <w:bottom w:w="0" w:type="dxa"/>
            </w:tcMar>
            <w:vAlign w:val="center"/>
          </w:tcPr>
          <w:p>
            <w:pPr>
              <w:pStyle w:val="TableContents"/>
              <w:bidi w:val="0"/>
              <w:spacing w:before="0" w:after="0"/>
              <w:jc w:val="left"/>
              <w:rPr/>
            </w:pPr>
            <w:hyperlink w:anchor="tANRE">
              <w:r>
                <w:rPr>
                  <w:rStyle w:val="InternetLink"/>
                  <w:spacing w:val="4"/>
                </w:rPr>
                <w:t xml:space="preserve">ANNUAL REPORT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7" w:type="dxa"/>
            <w:tcBorders/>
            <w:shd w:fill="CCEEFF" w:val="clear"/>
            <w:tcMar>
              <w:bottom w:w="0" w:type="dxa"/>
            </w:tcMar>
            <w:vAlign w:val="center"/>
          </w:tcPr>
          <w:p>
            <w:pPr>
              <w:pStyle w:val="TableContents"/>
              <w:bidi w:val="0"/>
              <w:spacing w:before="0" w:after="283"/>
              <w:jc w:val="right"/>
              <w:rPr/>
            </w:pPr>
            <w:hyperlink w:anchor="tANRE">
              <w:r>
                <w:rPr>
                  <w:rStyle w:val="InternetLink"/>
                  <w:spacing w:val="4"/>
                </w:rPr>
                <w:t>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T"/>
      <w:bookmarkEnd w:id="3"/>
      <w:r>
        <w:rPr>
          <w:rFonts w:ascii="calibri;arial;sans-serif" w:hAnsi="calibri;arial;sans-serif"/>
          <w:b w:val="false"/>
          <w:i w:val="false"/>
          <w:caps w:val="false"/>
          <w:smallCaps w:val="false"/>
          <w:color w:val="000000"/>
          <w:sz w:val="16"/>
        </w:rPr>
        <w:t>​</w:t>
      </w:r>
      <w:bookmarkStart w:id="4" w:name="tATM"/>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LEGACY HOUSING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1600 Airport Freeway, Suite 100 </w:t>
        <w:br/>
        <w:t>Bedford, Texas 76022</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Wednesday, October 28,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of Stockholders of Legacy Housing Corporation (“Legacy” or the “Company”) will be held on Wednesday, October 28, 2026 (the “Annual Meeting”) for the purposes set forth in this proxy statement and in the accompanying notice. The Annual Meeting will be held virtually for the following purposes: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 four directors for a term of one year or until their successors are elected and qualified; and </w:t>
      </w:r>
      <w:r>
        <mc:AlternateContent>
          <mc:Choice Requires="wps">
            <w:drawing>
              <wp:anchor behindDoc="0" distT="6731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5"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Ratify the appointment of Frazier &amp; Deeter, LLC as our independent registered public accounting firm for the year ending December 31, 2026. </w:t>
      </w:r>
      <w:r>
        <mc:AlternateContent>
          <mc:Choice Requires="wps">
            <w:drawing>
              <wp:anchor behindDoc="0" distT="6731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6"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(the “Board”) is soliciting your proxy to vote your shares of common stock at the Annual Meeting or any adjournments of that meeting. This proxy statement, which was prepared by our management team for the Board, contains information about the matters to be considered at the meeting or any adjournments or postponements of the meeting. All proxies will be voted in accordance with the instructions they contain. If you do not specify your voting instructions on the proxy you submit for the meeting, it will be voted in accordance with the recommendation of the Board. You may revoke your proxy at any time before it is exercised at the meeting by giving our Secretary written notice to that effect.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the SEC, the Company is providing access to its proxy materials online under the SEC’s “notice and access” rules. As a result, unless you previously requested electronic or paper delivery on an ongoing basis, the Company is mailing to its stockholders a Notice of Internet Availability of Proxy Materials (the “Notice of Internet Availability”) instead of a paper copy of the proxy statement and a form of proxy card or voting instruction card. The Notice of Internet Availability contains instructions on how to access such proxy materials online. The Notice of Internet Availability is first being mailed, and the proxy materials are expected to be made available, to the Company’s stockholders on or about September 18, 2026.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is being considered at the Annual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proposals to be voted on at the Annual Meeting are: </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election of four directors for a term of one year or until their successors are elected and qualified (the “Election of Directors”); and </w:t>
      </w:r>
      <w:r>
        <mc:AlternateContent>
          <mc:Choice Requires="wps">
            <w:drawing>
              <wp:anchor behindDoc="0" distT="6731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ratification of the appointment of Frazier &amp; Deeter, LLC as our independent registered public accounting firm for the year ending December 31, 2026. </w:t>
      </w:r>
      <w:r>
        <mc:AlternateContent>
          <mc:Choice Requires="wps">
            <w:drawing>
              <wp:anchor behindDoc="0" distT="6731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does not intend to present at the meeting any matters not referred to in the form of proxy. If any proposal not set forth in this proxy statement should be presented for action at the meeting and is a matter which should come before the meeting, it is intended that the shares represented by proxies will be voted with respect to such matters in accordance with the judgment of the persons voting them.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can vote at the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vote if you owned common stock as of the close of business on September 8, 2026. Each share of common stock is entitled to one vote.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can I attend the Annual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attend the Annual Meeting, visit </w:t>
      </w:r>
      <w:r>
        <w:rPr>
          <w:rFonts w:ascii="Times New Roman;Times;serif" w:hAnsi="Times New Roman;Times;serif"/>
          <w:b w:val="false"/>
          <w:i/>
          <w:caps w:val="false"/>
          <w:smallCaps w:val="false"/>
          <w:color w:val="000000"/>
          <w:spacing w:val="4"/>
          <w:sz w:val="20"/>
        </w:rPr>
        <w:t>www.cstproxy.com/legacyhousingcorp/2026</w:t>
      </w:r>
      <w:r>
        <w:rPr>
          <w:rFonts w:ascii="Times New Roman;Times;serif" w:hAnsi="Times New Roman;Times;serif"/>
          <w:b w:val="false"/>
          <w:i w:val="false"/>
          <w:caps w:val="false"/>
          <w:smallCaps w:val="false"/>
          <w:color w:val="000000"/>
          <w:spacing w:val="4"/>
          <w:sz w:val="20"/>
        </w:rPr>
        <w:t xml:space="preserve"> and enter your 12-digit control number located on your proxy card, voting instruction form, or Notice of Internet Availability.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virtual meeting platform is supported across various browsers and devices. Participants should ensure that they have a strong internet connection wherever they intend to participate in the Annual Meeting. We encourage you to access the Annual Meeting prior to the start time to allow ample time for online check-in.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the day of the Annual Meeting, October 28, 2026, stockholders may begin to log in to the virtual-only Annual Meeting 15 minutes prior to the start of Annual Meeting. If you experience any difficulties accessing the Annual Meeting website or at any time during the Annual Meeting, please call the technical support number posted on </w:t>
      </w:r>
      <w:r>
        <w:rPr>
          <w:rFonts w:ascii="Times New Roman;Times;serif" w:hAnsi="Times New Roman;Times;serif"/>
          <w:b w:val="false"/>
          <w:i/>
          <w:caps w:val="false"/>
          <w:smallCaps w:val="false"/>
          <w:color w:val="000000"/>
          <w:spacing w:val="4"/>
          <w:sz w:val="20"/>
        </w:rPr>
        <w:t>www.cstproxy.com/legacyhousingcorp/2026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can I participate in the Annual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encourage stockholder participation in the virtual meeting format of the Annual Meeting, we have adopted the following practices.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of Conduct.   We will post to the Annual Meeting website the “Rules of Conduct,” which will address the rules for participating in the Annual Meeting, including the types of questions that will be allowed, how we will respond to the questions, and the number of questions allowed per stockholder.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Stockholders are encouraged to ask questions.   Stockholders who wish to submit a question in advance may do so at </w:t>
      </w:r>
      <w:r>
        <w:rPr>
          <w:rFonts w:ascii="Times New Roman;Times;serif" w:hAnsi="Times New Roman;Times;serif"/>
          <w:b w:val="false"/>
          <w:i/>
          <w:caps w:val="false"/>
          <w:smallCaps w:val="false"/>
          <w:color w:val="000000"/>
          <w:spacing w:val="4"/>
          <w:sz w:val="20"/>
        </w:rPr>
        <w:t>www.cstproxy.com/legacyhousingcorp/2026</w:t>
      </w:r>
      <w:r>
        <w:rPr>
          <w:rFonts w:ascii="Times New Roman;Times;serif" w:hAnsi="Times New Roman;Times;serif"/>
          <w:b w:val="false"/>
          <w:i w:val="false"/>
          <w:caps w:val="false"/>
          <w:smallCaps w:val="false"/>
          <w:color w:val="000000"/>
          <w:spacing w:val="4"/>
          <w:sz w:val="20"/>
        </w:rPr>
        <w:t xml:space="preserve">. Stockholders also may submit questions live during the Annual Meeting by logging in to the Annual Meeting at </w:t>
      </w:r>
      <w:r>
        <w:rPr>
          <w:rFonts w:ascii="Times New Roman;Times;serif" w:hAnsi="Times New Roman;Times;serif"/>
          <w:b w:val="false"/>
          <w:i/>
          <w:caps w:val="false"/>
          <w:smallCaps w:val="false"/>
          <w:color w:val="000000"/>
          <w:spacing w:val="4"/>
          <w:sz w:val="20"/>
        </w:rPr>
        <w:t>www.cstproxy.com/legacyhousingcorp/2026</w:t>
      </w:r>
      <w:r>
        <w:rPr>
          <w:rFonts w:ascii="Times New Roman;Times;serif" w:hAnsi="Times New Roman;Times;serif"/>
          <w:b w:val="false"/>
          <w:i w:val="false"/>
          <w:caps w:val="false"/>
          <w:smallCaps w:val="false"/>
          <w:color w:val="000000"/>
          <w:spacing w:val="4"/>
          <w:sz w:val="20"/>
        </w:rPr>
        <w:t xml:space="preserve">. During the meeting, we will address as many appropriate stockholder-submitted questions as we are 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is being nominated for director?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 candidates nominated for election at the Annual Meeting are Kenneth E. Shipley, Brian J. Ferguson, Skyler M. Howton and Jeffrey K. Stouder. Each individual is an existing director.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is the difference between a stockholder “of record” and a “street name” holder?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directly in your name, you are considered the stockholder of record with respect to those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a stock brokerage account or by a bank, trust or other nominee, then the broker, bank, trust or other nominee is considered to be the stockholder of record with respect to those shares. However, you are still considered to be the beneficial owner of those shares, and your shares are said to be held in “street name.” Street name holders generally cannot submit a proxy or vote their shares directly and must instead instruct the broker, bank, trust or other nominee how to vote their shares. Stockholders whose shares are held in street name through a brokerage account may receive separate forms or instructions from their respective brokers for voting purposes. Stockholders are encouraged to consult with their brokers or review any additional materials provided by their brokers in conjunction with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many votes must be present to hold the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shares are counted as present at the meeting if you attend the meeting virtually or if you properly return a proxy by mail. In order for us to conduct our meeting, a majority of our outstanding shares as of September 8, 2026, the record date, must be present virtually or by proxy at the meeting. This is referred to as a quorum. On September 8, 2026, we had a total of 23,783,038 shares issued and outstanding.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record holder and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such as ratification of independent registered public accountants, even if you have not instructed your broker, bank, trust or other nominee on how to vote on those matters. Please see the subsection “What happens if I do not specify how I want to vote my shares?” below. In the absence of a quorum, the Annual Meeting may be adjourned to a day, time and place as determined by the chair of the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should I do if I receive more than one proxy card or other set of proxy materials from the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in multiple accounts or registrations, or in both registered and street name, you will receive a proxy card for each account. Please sign, date and return all proxy cards you receive from the Company. Only your latest dated proxy for each account will be voted. We recommend that you contact your broker and/or our transfer agent to consolidate as many accounts as possible under the same name and address. Our transfer agent is Continental Stock Transfer &amp; Trust Company, tel.: (212) 509-4000.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I vote?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record holder of shares of common stock, you can vote in three ways: </w:t>
      </w:r>
    </w:p>
    <w:tbl>
      <w:tblPr>
        <w:tblW w:w="8812" w:type="dxa"/>
        <w:jc w:val="left"/>
        <w:tblInd w:w="1393" w:type="dxa"/>
        <w:tblLayout w:type="fixed"/>
        <w:tblCellMar>
          <w:top w:w="0" w:type="dxa"/>
          <w:left w:w="0" w:type="dxa"/>
          <w:bottom w:w="0" w:type="dxa"/>
          <w:right w:w="0" w:type="dxa"/>
        </w:tblCellMar>
      </w:tblPr>
      <w:tblGrid>
        <w:gridCol w:w="124"/>
        <w:gridCol w:w="582"/>
        <w:gridCol w:w="109"/>
        <w:gridCol w:w="109"/>
        <w:gridCol w:w="7733"/>
        <w:gridCol w:w="155"/>
      </w:tblGrid>
      <w:tr>
        <w:trPr/>
        <w:tc>
          <w:tcPr>
            <w:tcW w:w="124" w:type="dxa"/>
            <w:tcBorders/>
            <w:vAlign w:val="center"/>
          </w:tcPr>
          <w:p>
            <w:pPr>
              <w:pStyle w:val="TableContents"/>
              <w:bidi w:val="0"/>
              <w:spacing w:before="0" w:after="283"/>
              <w:jc w:val="left"/>
              <w:rPr/>
            </w:pPr>
            <w:r>
              <w:rPr/>
              <w:t>​</w:t>
            </w:r>
          </w:p>
        </w:tc>
        <w:tc>
          <w:tcPr>
            <w:tcW w:w="582" w:type="dxa"/>
            <w:tcBorders/>
            <w:vAlign w:val="center"/>
          </w:tcPr>
          <w:p>
            <w:pPr>
              <w:pStyle w:val="TableContents"/>
              <w:bidi w:val="0"/>
              <w:spacing w:before="0" w:after="0"/>
              <w:jc w:val="center"/>
              <w:rPr/>
            </w:pPr>
            <w:r>
              <w:rPr/>
              <w:drawing>
                <wp:inline distT="0" distB="0" distL="0" distR="0">
                  <wp:extent cx="304800" cy="276225"/>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304800"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33" w:type="dxa"/>
            <w:tcBorders/>
            <w:vAlign w:val="center"/>
          </w:tcPr>
          <w:p>
            <w:pPr>
              <w:pStyle w:val="TableContents"/>
              <w:bidi w:val="0"/>
              <w:spacing w:lineRule="atLeast" w:line="240" w:before="0" w:after="0"/>
              <w:jc w:val="left"/>
              <w:rPr>
                <w:b/>
              </w:rPr>
            </w:pPr>
            <w:r>
              <w:rPr>
                <w:b/>
                <w:spacing w:val="-4"/>
              </w:rPr>
              <w:t>Internet</w:t>
            </w:r>
            <w:r>
              <w:rPr>
                <w:b/>
              </w:rPr>
              <w:t xml:space="preserve"> </w:t>
            </w:r>
          </w:p>
          <w:p>
            <w:pPr>
              <w:pStyle w:val="TableContents"/>
              <w:bidi w:val="0"/>
              <w:spacing w:lineRule="atLeast" w:line="240" w:before="120" w:after="283"/>
              <w:jc w:val="both"/>
              <w:rPr/>
            </w:pPr>
            <w:r>
              <w:rPr>
                <w:spacing w:val="4"/>
              </w:rPr>
              <w:t xml:space="preserve">Please visit </w:t>
            </w:r>
            <w:r>
              <w:rPr>
                <w:i/>
                <w:spacing w:val="4"/>
              </w:rPr>
              <w:t>www.cstproxy.com/legacyhousingcorp/2026</w:t>
            </w:r>
            <w:r>
              <w:rPr>
                <w:spacing w:val="4"/>
              </w:rPr>
              <w:t xml:space="preserve"> and submit a proxy to vote your shares at </w:t>
            </w:r>
            <w:r>
              <w:rPr>
                <w:i/>
                <w:spacing w:val="4"/>
              </w:rPr>
              <w:t>www.cstproxyvote.com</w:t>
            </w:r>
            <w:r>
              <w:rPr>
                <w:spacing w:val="4"/>
              </w:rPr>
              <w:t xml:space="preserve"> by 10:59 p.m., Central time, on Tuesday, October 27,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2" w:type="dxa"/>
            <w:tcBorders/>
            <w:vAlign w:val="center"/>
          </w:tcPr>
          <w:p>
            <w:pPr>
              <w:pStyle w:val="TableContents"/>
              <w:bidi w:val="0"/>
              <w:spacing w:before="0" w:after="0"/>
              <w:jc w:val="center"/>
              <w:rPr/>
            </w:pPr>
            <w:r>
              <w:rPr/>
              <w:drawing>
                <wp:inline distT="0" distB="0" distL="0" distR="0">
                  <wp:extent cx="304800" cy="219075"/>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3048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33" w:type="dxa"/>
            <w:tcBorders/>
            <w:vAlign w:val="center"/>
          </w:tcPr>
          <w:p>
            <w:pPr>
              <w:pStyle w:val="TableContents"/>
              <w:bidi w:val="0"/>
              <w:spacing w:lineRule="atLeast" w:line="240" w:before="0" w:after="283"/>
              <w:jc w:val="left"/>
              <w:rPr>
                <w:b/>
              </w:rPr>
            </w:pPr>
            <w:r>
              <w:rPr>
                <w:b/>
                <w:spacing w:val="-4"/>
              </w:rPr>
              <w:t>Mail</w:t>
            </w:r>
            <w:r>
              <w:rPr>
                <w:b/>
              </w:rPr>
              <w:t xml:space="preserve"> </w:t>
            </w:r>
          </w:p>
          <w:p>
            <w:pPr>
              <w:pStyle w:val="TableContents"/>
              <w:bidi w:val="0"/>
              <w:spacing w:lineRule="atLeast" w:line="240" w:before="120" w:after="283"/>
              <w:jc w:val="both"/>
              <w:rPr/>
            </w:pPr>
            <w:r>
              <w:rPr>
                <w:spacing w:val="4"/>
              </w:rPr>
              <w:t>If you received printed copies of the proxy materials and prefer to submit a proxy to vote your shares by mail, please complete, sign, date and return your proxy card by mail so that it is received prior to the Annual Meeting.</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48"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attend and vote at the Annual Meeting. </w:t>
      </w:r>
    </w:p>
    <w:tbl>
      <w:tblPr>
        <w:tblW w:w="8812" w:type="dxa"/>
        <w:jc w:val="left"/>
        <w:tblInd w:w="1393" w:type="dxa"/>
        <w:tblLayout w:type="fixed"/>
        <w:tblCellMar>
          <w:top w:w="0" w:type="dxa"/>
          <w:left w:w="0" w:type="dxa"/>
          <w:bottom w:w="0" w:type="dxa"/>
          <w:right w:w="0" w:type="dxa"/>
        </w:tblCellMar>
      </w:tblPr>
      <w:tblGrid>
        <w:gridCol w:w="124"/>
        <w:gridCol w:w="489"/>
        <w:gridCol w:w="109"/>
        <w:gridCol w:w="109"/>
        <w:gridCol w:w="7826"/>
        <w:gridCol w:w="155"/>
      </w:tblGrid>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center"/>
              <w:rPr/>
            </w:pPr>
            <w:r>
              <w:rPr/>
              <w:drawing>
                <wp:inline distT="0" distB="0" distL="0" distR="0">
                  <wp:extent cx="238125" cy="3048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23812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26" w:type="dxa"/>
            <w:tcBorders/>
            <w:vAlign w:val="center"/>
          </w:tcPr>
          <w:p>
            <w:pPr>
              <w:pStyle w:val="TableContents"/>
              <w:bidi w:val="0"/>
              <w:spacing w:lineRule="atLeast" w:line="240" w:before="0" w:after="0"/>
              <w:jc w:val="left"/>
              <w:rPr>
                <w:b/>
              </w:rPr>
            </w:pPr>
            <w:r>
              <w:rPr>
                <w:b/>
                <w:spacing w:val="-4"/>
              </w:rPr>
              <w:t>Virtual Annual Meeting</w:t>
            </w:r>
            <w:r>
              <w:rPr>
                <w:b/>
              </w:rPr>
              <w:t xml:space="preserve"> </w:t>
            </w:r>
          </w:p>
          <w:p>
            <w:pPr>
              <w:pStyle w:val="TableContents"/>
              <w:bidi w:val="0"/>
              <w:spacing w:lineRule="atLeast" w:line="240" w:before="120" w:after="283"/>
              <w:jc w:val="left"/>
              <w:rPr/>
            </w:pPr>
            <w:r>
              <w:rPr>
                <w:spacing w:val="4"/>
              </w:rPr>
              <w:t xml:space="preserve">You may attend the Annual Meeting virtually at </w:t>
            </w:r>
            <w:r>
              <w:rPr>
                <w:i/>
                <w:spacing w:val="4"/>
              </w:rPr>
              <w:t>www.cstproxy.com/legacyhousingcorp/2026</w:t>
            </w:r>
            <w:r>
              <w:rPr>
                <w:spacing w:val="4"/>
              </w:rPr>
              <w:t xml:space="preserve"> and cast your vote at </w:t>
            </w:r>
            <w:r>
              <w:rPr>
                <w:i/>
                <w:spacing w:val="4"/>
              </w:rPr>
              <w:t>www.cstproxyvote.com</w:t>
            </w:r>
            <w:r>
              <w:rPr>
                <w:spacing w:val="4"/>
              </w:rPr>
              <w: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2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happens if I do not specify how I want to vote my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stockholder of record, if you submit a signed proxy card or submit your proxy by Internet and do not specify how you want your shares voted, the person named in the proxy will vote your shares “FOR” the director nominees recommended by the Board and “FOR” the ratification of the appointment of Frazier &amp; Deeter, LLC as our independent registered public accounting firm for the year ending December 31,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nominee holding shares for a beneficial owner has not received voting instructions from the beneficial owner and the nominee does not have discretionary authority to vote the shares. If you hold your shares in street name and do not provide voting instructions to your broker or other nominee, your shares will be considered to be broker non-votes and will not be voted on any proposal on which your broker or other nominee does not have discretionary authority to vote. Shares that constitute broker non-votes will be counted as present at the Annual Meeting for the purpose of determining a quorum but will not be considered entitled to vote on all the proposals in question. Brokers generally have discretionary authority to vote on the ratification of the appointment of Frazier &amp; Deeter, LLC as our independent registered public accounting firm, which is considered a “routine” matter. Brokers, however, do not have discretionary authority to vote on the election of directors to serve on our Board, which is considered “non-routine” under Nasdaq rules.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their discretion, the proxy holders named in the proxy are authorized to vote on any other matters that may properly come before the Annual Meeting and at any continuation, postponement or adjournment thereof. The Board knows of no other items of business that will be presented for consideration at the Annual Meeting other than those described in this Proxy Statement. No stockholder proposal or nomination was received prior to the deadline set forth in our Bylaws and, accordingly, no such matters may be brought to a vote at the Annual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 I change my mind after I vote?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you may revoke your proxy and change your vote at any time before the polls close at the Annual Meeting. You can do this by (i) signing another proxy with a later date and returning it to us prior to the meeting or (ii) voting virtually again at the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will count the votes and how will votes be counted?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Continental Stock Transfer &amp; Trust Company, the transfer agent for our common stock, will tabulate the votes as required by Texas law, the state of our incorporation, who will separately tabulate affirmative and negative votes, as well as abstentions and broker non-votes. Shares held by persons attending the Annual Meeting but not voting, shares represented by proxies that reflect abstentions as to one or more proposals and broker non-votes will be counted as present for purposes of determining a quorum.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common stock will be counted as one vote according to the instructions contained on a proper proxy card, whether submitted in person, by mail, internet, on a ballot voted in person at the meeting, or in accordance with the instructions provided by your broker.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vote is required to approve each of the matters to be considered at the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1: Election of Directors</w:t>
      </w:r>
      <w:r>
        <w:rPr>
          <w:rFonts w:ascii="Times New Roman;Times;serif" w:hAnsi="Times New Roman;Times;serif"/>
          <w:b w:val="false"/>
          <w:i w:val="false"/>
          <w:caps w:val="false"/>
          <w:smallCaps w:val="false"/>
          <w:color w:val="000000"/>
          <w:spacing w:val="4"/>
          <w:sz w:val="20"/>
        </w:rPr>
        <w:t xml:space="preserve">.   Provided that a quorum is present at the Annual Meeting, a majority of the shares of stock present virtually or by proxy at the Annual Meeting and entitled to vote on this proposal is required for the election of directors under Proposal 1. You may vote “FOR,” “AGAINST” or “ABSTAIN” any one or more of the nominees. To elect a nominee, the shares voted “FOR” such nominee must exceed the number of shares voted “AGAINST” and “ABSTAIN” for such nominee. An abstention will have the same effect as a vote “AGAINST” a nominee. </w:t>
      </w:r>
      <w:r>
        <w:rPr>
          <w:rFonts w:ascii="Times New Roman;Times;serif" w:hAnsi="Times New Roman;Times;serif"/>
          <w:b/>
          <w:i w:val="false"/>
          <w:caps w:val="false"/>
          <w:smallCaps w:val="false"/>
          <w:color w:val="000000"/>
          <w:spacing w:val="-4"/>
          <w:sz w:val="20"/>
        </w:rPr>
        <w:t>If you do not instruct your broker how to vote with respect to this proposal, your broker may not vote your shares with respect to the election of directors.</w:t>
      </w:r>
      <w:r>
        <w:rPr>
          <w:rFonts w:ascii="Times New Roman;Times;serif" w:hAnsi="Times New Roman;Times;serif"/>
          <w:b w:val="false"/>
          <w:i w:val="false"/>
          <w:caps w:val="false"/>
          <w:smallCaps w:val="false"/>
          <w:color w:val="000000"/>
          <w:spacing w:val="4"/>
          <w:sz w:val="20"/>
        </w:rPr>
        <w:t xml:space="preserve"> Any shares not voted will be treated as broker non-votes, and broker non-votes will have no effect on the results of the Election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2: Ratification of Independent Registered Public Accounting Firm</w:t>
      </w:r>
      <w:r>
        <w:rPr>
          <w:rFonts w:ascii="Times New Roman;Times;serif" w:hAnsi="Times New Roman;Times;serif"/>
          <w:b w:val="false"/>
          <w:i w:val="false"/>
          <w:caps w:val="false"/>
          <w:smallCaps w:val="false"/>
          <w:color w:val="000000"/>
          <w:spacing w:val="4"/>
          <w:sz w:val="20"/>
        </w:rPr>
        <w:t xml:space="preserve">.   Provided that a quorum is present at the Annual Meeting, a majority of the shares of stock present virtually or by proxy at the Annual Meeting and entitled to vote on this proposal is required to ratify Frazier &amp; Deeter, LLC as our independent registered public accounting firm under Proposal 2. You may vote “FOR,” “AGAINST” or “ABSTAIN” the ratification of Frazier &amp; Deeter, LLC as our independent registered public accounting firm. To ratify Frazier &amp; Deeter, LLC as our independent registered public accounting firm, the shares voted “FOR” this proposal must exceed the number of shares voted “AGAINST” and “ABSTAIN.” An abstention will have the same effect as a vote “AGAINST.” If you are a beneficial owner, your broker, bank or other nominee may vote your shares on this proposal without receiving voting instructions from you. If a broker does not exercise this authority, broker non-votes will have no effect on the outcome of Proposal 2.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Will my vote be kept confidential?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your vote will be kept confidential, and we will not disclose your vote, unless (1) we are required to do so by law (including in connection with the pursuit or defense of a legal or administrative action or proceeding) or (2) there is a contested election for the Board.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does the Board recommend that I vote on the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you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of the director nominees, Kenneth E. Shipley, Brian J. Ferguson, Skyler M. Howton and Jeffrey K. Stouder, each for a term of one year.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you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the appointment of Frazier &amp; Deeter, LLC as our independent registered public accounting firm for the year ending December 31, 2026.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Where can I find the voting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report the voting results in a Current Report on Form 8-K that will be filed with the SEC within four business days after the conclusion of the Annual Meeting.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and when may I submit a stockholder proposal, including a stockholder nomination for director, for the 2027 Annual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interested in submitting a proposal for inclusion in our proxy statement for the 2027 Annual Meeting, you need to follow the procedures outlined in Rule 14a-8 of the Securities Exchange Act of 1934,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amended (the “Exchange Act”). To be eligible for inclusion, we must receive your stockholder proposal for our proxy statement for the 2027 Annual Meeting of Stockholders at our principal office in Bedford, Texas no later than May 21, 2027, which is 120 days before the one-year anniversary date on which this proxy statement was mailed to our stockholders in connection with the Annual Meeting, and must otherwise comply with the rules promulgated by the SEC. However, if the date of the 2027 Annual Meeting is changed by more than 30 days from the anniversary date of the Annual Meeting, then the deadline is a reasonable time before we begin to print and mail proxy materials for the 2027 Annual Meeting. In such an event, we expect to issue a press release announcing such change and take reasonable steps necessary to inform other relevant parties of the change, including intermediaries in the proxy process.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Rule 14a-8 of the Exchange Act set forth above, under our Bylaws, written notice of stockholder nominations to the Board or any other stockholder proposals that are to be included in the proxy statement for the 2027 Annual Meeting (the “2027 Proxy Statement”) pursuant to Section 2.3 of our Bylaws (the “Stockholder Notice”), must be delivered to our Secretary at our offices at 1600 Airport Freeway, Suite 100, Bedford, Texas 76022, not later than 90 days (July 30, 2027) nor earlier than 120 days (June 30, 2027) prior to the one-year anniversary date of the Annual Meeting. Accordingly, any eligible stockholder who wishes to have a nomination considered at the 2027 Annual Meeting and included in the 2027 Proxy Statement must deliver the Stockholder Notice (containing the information specified in our Bylaws regarding the stockholder and the proposed nominee) to the Secretary between June 30, 2027 and July 30, 2027. However, if the date of the 2027 Annual Meeting is earlier or delayed by more than 30 days from the one-year anniversary date of the Annual Meeting, the Stockholder Notice must be delivered to the Secretary not earlier than the close of business on the 120th day prior to the 2027 Annual Meeting and not later than the close of business on the later of: (i) the 90th day prior to the 2027 Annual Meeting; or (ii) the 10th day following public announcement by the Company of the date of the 2027 Annual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in addition to satisfying the provisions in our Bylaws relating to nominations of director candidates, including the deadline for written notices, to comply with the SEC’s universal proxy rule, stockholders who intend to solicit proxies in support of director nominees other than our nominees in compliance with Rule 14a-19 under the Exchange Act (including a statement that such stockholder intends to solicit the holders of shares representing at least 67% of the voting power of the Company’s shares entitled to vote on the election of directors in support of director nominees other than the Company’s nominees), must provide notice that sets forth the information required by Rule 14a-19(b) no later than 60 days prior to the anniversary date of the Annual Meeting (for the 2027 Annual Meeting, no later than August 29, 2027). However, if the date of the 2027 Annual Meeting changes by more than 30 days from the one-year anniversary date of the Annual Meeting, such notice must instead be provided by the later of: (i) 60 days prior to the date of the 2027 Annual Meeting; or (ii) the 10th calendar day following public announcement by the Company of the date of the 2027 Annual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are the costs of soliciting these proxies and who will pay?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the costs of mailing the proxy statement and solicitation of proxies, which we estimate to be approximately $9,000. In addition to solicitations by mail, our directors, officers and regular employees may solicit proxies by telephone, email and personal communication. No additional remuneration will be paid to any director, officer or employee of the Company for such solicitation. We will request brokers, custodians and fiduciaries to forward proxy soliciting material to the owners of shares of our common stock that they hold in their names. To the extent necessary in order to assure sufficient representation, our officers and regular employees may request the return of proxies personally, by telephone or email. The extent to which this will be necessary depends entirely upon how promptly proxies are received, and stockholders are urged to send in their proxies without delay.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Will I be able to review a list of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stockholders entitled to vote at the Annual Meeting will be available for examination by any stockholder for any purpose germane to the Annual Meeting for at least 10 days prior to the Annual Meeting, during ordinary business hours, at our principal place of business at 1600 Airport Freeway, Suite 100, Bedford, Texas 76022. During the Annual Meeting, the list of stockholders will be available for examination 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www.cstproxy.com/legacyhousingcorp/2026</w:t>
      </w:r>
      <w:r>
        <w:rPr>
          <w:rFonts w:ascii="Times New Roman;Times;serif" w:hAnsi="Times New Roman;Times;serif"/>
          <w:b w:val="false"/>
          <w:i w:val="false"/>
          <w:caps w:val="false"/>
          <w:smallCaps w:val="false"/>
          <w:color w:val="000000"/>
          <w:spacing w:val="4"/>
          <w:sz w:val="20"/>
        </w:rPr>
        <w:t xml:space="preserve"> using the 12-digit control number located on your proxy card, voting instruction form, or Notice of Internet Availability.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Do I have appraisal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of the Company do not have appraisal rights under Texas law or under the governing documents of the Company with respect to the matters to be voted upon at the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HOA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ANNUAL MEETING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Some banks, brokers and other nominee record holders may be participating in the practice of “householding” proxy statements and annual reports. This means that only one copy of our proxy statement and annual report may have been sent to multiple stockholders in your household unless we received contrary instructions from one or more stockholders. We will promptly deliver a separate copy of either document to you if you contact us at the following address or telephone number: Legacy Housing Corporation, 1600 Airport Freeway, Suite 100, Bedford, Texas 76022, tel.: (817) 799-4900. If you want to receive separate copies of the proxy statement or annual report in the future, or if you are receiving multiple copies and would like to receive only one copy per household, you should contact your bank, broker or other nominee record holder, or you may contact us at the above address.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1EO"/>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Formation provides that the number of directors is fixed by Board resolution. Our Board consists of four directors, who are listed below: </w:t>
      </w:r>
    </w:p>
    <w:tbl>
      <w:tblPr>
        <w:tblW w:w="8812" w:type="dxa"/>
        <w:jc w:val="left"/>
        <w:tblInd w:w="1393" w:type="dxa"/>
        <w:tblLayout w:type="fixed"/>
        <w:tblCellMar>
          <w:top w:w="0" w:type="dxa"/>
          <w:left w:w="0" w:type="dxa"/>
          <w:bottom w:w="43" w:type="dxa"/>
          <w:right w:w="0" w:type="dxa"/>
        </w:tblCellMar>
      </w:tblPr>
      <w:tblGrid>
        <w:gridCol w:w="1632"/>
        <w:gridCol w:w="109"/>
        <w:gridCol w:w="109"/>
        <w:gridCol w:w="535"/>
        <w:gridCol w:w="109"/>
        <w:gridCol w:w="109"/>
        <w:gridCol w:w="4941"/>
        <w:gridCol w:w="109"/>
        <w:gridCol w:w="109"/>
        <w:gridCol w:w="895"/>
        <w:gridCol w:w="155"/>
      </w:tblGrid>
      <w:tr>
        <w:trPr/>
        <w:tc>
          <w:tcPr>
            <w:tcW w:w="163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35"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941" w:type="dxa"/>
            <w:tcBorders>
              <w:bottom w:val="single" w:sz="2" w:space="0" w:color="000000"/>
            </w:tcBorders>
            <w:vAlign w:val="center"/>
          </w:tcPr>
          <w:p>
            <w:pPr>
              <w:pStyle w:val="TableContents"/>
              <w:bidi w:val="0"/>
              <w:spacing w:before="0" w:after="0"/>
              <w:jc w:val="center"/>
              <w:rPr>
                <w:spacing w:val="-3"/>
              </w:rPr>
            </w:pPr>
            <w:r>
              <w:rPr>
                <w:spacing w:val="-3"/>
              </w:rPr>
              <w:t xml:space="preserve">Principal Occupation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000000"/>
            </w:tcBorders>
            <w:vAlign w:val="center"/>
          </w:tcPr>
          <w:p>
            <w:pPr>
              <w:pStyle w:val="TableContents"/>
              <w:bidi w:val="0"/>
              <w:spacing w:before="0" w:after="0"/>
              <w:jc w:val="center"/>
              <w:rPr>
                <w:spacing w:val="-3"/>
              </w:rPr>
            </w:pPr>
            <w:r>
              <w:rPr>
                <w:spacing w:val="-3"/>
              </w:rPr>
              <w:t xml:space="preserve">Director </w:t>
              <w:br/>
              <w:t xml:space="preserve">Since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2" w:type="dxa"/>
            <w:tcBorders/>
            <w:tcMar>
              <w:bottom w:w="0" w:type="dxa"/>
            </w:tcMar>
            <w:vAlign w:val="center"/>
          </w:tcPr>
          <w:p>
            <w:pPr>
              <w:pStyle w:val="TableContents"/>
              <w:bidi w:val="0"/>
              <w:spacing w:before="0" w:after="283"/>
              <w:jc w:val="left"/>
              <w:rPr>
                <w:spacing w:val="4"/>
              </w:rPr>
            </w:pPr>
            <w:r>
              <w:rPr>
                <w:spacing w:val="4"/>
              </w:rPr>
              <w:t xml:space="preserve">Kenneth E. Shipley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5" w:type="dxa"/>
            <w:tcBorders/>
            <w:tcMar>
              <w:bottom w:w="0" w:type="dxa"/>
            </w:tcMar>
            <w:vAlign w:val="center"/>
          </w:tcPr>
          <w:p>
            <w:pPr>
              <w:pStyle w:val="TableContents"/>
              <w:bidi w:val="0"/>
              <w:spacing w:before="0" w:after="0"/>
              <w:jc w:val="center"/>
              <w:rPr>
                <w:spacing w:val="4"/>
              </w:rPr>
            </w:pPr>
            <w:r>
              <w:rPr>
                <w:spacing w:val="4"/>
              </w:rPr>
              <w:t xml:space="preserve">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1" w:type="dxa"/>
            <w:tcBorders/>
            <w:tcMar>
              <w:bottom w:w="0" w:type="dxa"/>
            </w:tcMar>
            <w:vAlign w:val="center"/>
          </w:tcPr>
          <w:p>
            <w:pPr>
              <w:pStyle w:val="TableContents"/>
              <w:bidi w:val="0"/>
              <w:spacing w:before="0" w:after="283"/>
              <w:jc w:val="left"/>
              <w:rPr>
                <w:spacing w:val="4"/>
              </w:rPr>
            </w:pPr>
            <w:r>
              <w:rPr>
                <w:spacing w:val="4"/>
              </w:rPr>
              <w:t xml:space="preserve">Co-Founder, Chairman of the Board and Chief Executive Officer of Legacy Housing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4"/>
              </w:rPr>
            </w:pPr>
            <w:r>
              <w:rPr>
                <w:spacing w:val="4"/>
              </w:rPr>
              <w:t xml:space="preserve">2018 </w:t>
            </w:r>
          </w:p>
        </w:tc>
        <w:tc>
          <w:tcPr>
            <w:tcW w:w="155" w:type="dxa"/>
            <w:tcBorders/>
            <w:tcMar>
              <w:bottom w:w="0" w:type="dxa"/>
            </w:tcMar>
            <w:vAlign w:val="center"/>
          </w:tcPr>
          <w:p>
            <w:pPr>
              <w:pStyle w:val="TableContents"/>
              <w:bidi w:val="0"/>
              <w:spacing w:before="0" w:after="283"/>
              <w:jc w:val="left"/>
              <w:rPr/>
            </w:pPr>
            <w:r>
              <w:rPr/>
              <w:t>​</w:t>
            </w:r>
          </w:p>
        </w:tc>
      </w:tr>
      <w:tr>
        <w:trPr/>
        <w:tc>
          <w:tcPr>
            <w:tcW w:w="1632" w:type="dxa"/>
            <w:tcBorders/>
            <w:tcMar>
              <w:bottom w:w="0" w:type="dxa"/>
            </w:tcMar>
            <w:vAlign w:val="center"/>
          </w:tcPr>
          <w:p>
            <w:pPr>
              <w:pStyle w:val="TableContents"/>
              <w:bidi w:val="0"/>
              <w:spacing w:before="0" w:after="283"/>
              <w:jc w:val="left"/>
              <w:rPr/>
            </w:pPr>
            <w:r>
              <w:rPr>
                <w:spacing w:val="4"/>
              </w:rPr>
              <w:t>Brian J. Ferguson</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5" w:type="dxa"/>
            <w:tcBorders/>
            <w:tcMar>
              <w:bottom w:w="0" w:type="dxa"/>
            </w:tcMar>
            <w:vAlign w:val="center"/>
          </w:tcPr>
          <w:p>
            <w:pPr>
              <w:pStyle w:val="TableContents"/>
              <w:bidi w:val="0"/>
              <w:spacing w:before="0" w:after="0"/>
              <w:jc w:val="center"/>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1" w:type="dxa"/>
            <w:tcBorders/>
            <w:tcMar>
              <w:bottom w:w="0" w:type="dxa"/>
            </w:tcMar>
            <w:vAlign w:val="center"/>
          </w:tcPr>
          <w:p>
            <w:pPr>
              <w:pStyle w:val="TableContents"/>
              <w:bidi w:val="0"/>
              <w:spacing w:before="0" w:after="283"/>
              <w:jc w:val="left"/>
              <w:rPr>
                <w:spacing w:val="4"/>
              </w:rPr>
            </w:pPr>
            <w:r>
              <w:rPr>
                <w:spacing w:val="4"/>
              </w:rPr>
              <w:t xml:space="preserve">Attorney and Certified Public Accountant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4"/>
              </w:rPr>
            </w:pPr>
            <w:r>
              <w:rPr>
                <w:spacing w:val="4"/>
              </w:rPr>
              <w:t xml:space="preserve">2023 </w:t>
            </w:r>
          </w:p>
        </w:tc>
        <w:tc>
          <w:tcPr>
            <w:tcW w:w="155" w:type="dxa"/>
            <w:tcBorders/>
            <w:tcMar>
              <w:bottom w:w="0" w:type="dxa"/>
            </w:tcMar>
            <w:vAlign w:val="center"/>
          </w:tcPr>
          <w:p>
            <w:pPr>
              <w:pStyle w:val="TableContents"/>
              <w:bidi w:val="0"/>
              <w:spacing w:before="0" w:after="283"/>
              <w:jc w:val="left"/>
              <w:rPr/>
            </w:pPr>
            <w:r>
              <w:rPr/>
              <w:t>​</w:t>
            </w:r>
          </w:p>
        </w:tc>
      </w:tr>
      <w:tr>
        <w:trPr/>
        <w:tc>
          <w:tcPr>
            <w:tcW w:w="1632" w:type="dxa"/>
            <w:tcBorders/>
            <w:tcMar>
              <w:bottom w:w="0" w:type="dxa"/>
            </w:tcMar>
            <w:vAlign w:val="center"/>
          </w:tcPr>
          <w:p>
            <w:pPr>
              <w:pStyle w:val="TableContents"/>
              <w:bidi w:val="0"/>
              <w:spacing w:before="0" w:after="283"/>
              <w:jc w:val="left"/>
              <w:rPr/>
            </w:pPr>
            <w:r>
              <w:rPr>
                <w:spacing w:val="4"/>
              </w:rPr>
              <w:t>Skyler M. Howton</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5" w:type="dxa"/>
            <w:tcBorders/>
            <w:tcMar>
              <w:bottom w:w="0" w:type="dxa"/>
            </w:tcMar>
            <w:vAlign w:val="center"/>
          </w:tcPr>
          <w:p>
            <w:pPr>
              <w:pStyle w:val="TableContents"/>
              <w:bidi w:val="0"/>
              <w:spacing w:before="0" w:after="0"/>
              <w:jc w:val="center"/>
              <w:rPr>
                <w:spacing w:val="4"/>
              </w:rPr>
            </w:pPr>
            <w:r>
              <w:rPr>
                <w:spacing w:val="4"/>
              </w:rPr>
              <w:t xml:space="preserve">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1" w:type="dxa"/>
            <w:tcBorders/>
            <w:tcMar>
              <w:bottom w:w="0" w:type="dxa"/>
            </w:tcMar>
            <w:vAlign w:val="center"/>
          </w:tcPr>
          <w:p>
            <w:pPr>
              <w:pStyle w:val="TableContents"/>
              <w:bidi w:val="0"/>
              <w:spacing w:before="0" w:after="283"/>
              <w:jc w:val="left"/>
              <w:rPr>
                <w:spacing w:val="4"/>
              </w:rPr>
            </w:pPr>
            <w:r>
              <w:rPr>
                <w:spacing w:val="4"/>
              </w:rPr>
              <w:t xml:space="preserve">Attorney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55" w:type="dxa"/>
            <w:tcBorders/>
            <w:tcMar>
              <w:bottom w:w="0" w:type="dxa"/>
            </w:tcMar>
            <w:vAlign w:val="center"/>
          </w:tcPr>
          <w:p>
            <w:pPr>
              <w:pStyle w:val="TableContents"/>
              <w:bidi w:val="0"/>
              <w:spacing w:before="0" w:after="283"/>
              <w:jc w:val="left"/>
              <w:rPr/>
            </w:pPr>
            <w:r>
              <w:rPr/>
              <w:t>​</w:t>
            </w:r>
          </w:p>
        </w:tc>
      </w:tr>
      <w:tr>
        <w:trPr/>
        <w:tc>
          <w:tcPr>
            <w:tcW w:w="1632" w:type="dxa"/>
            <w:tcBorders/>
            <w:tcMar>
              <w:bottom w:w="0" w:type="dxa"/>
            </w:tcMar>
            <w:vAlign w:val="center"/>
          </w:tcPr>
          <w:p>
            <w:pPr>
              <w:pStyle w:val="TableContents"/>
              <w:bidi w:val="0"/>
              <w:spacing w:before="0" w:after="283"/>
              <w:jc w:val="left"/>
              <w:rPr/>
            </w:pPr>
            <w:r>
              <w:rPr>
                <w:spacing w:val="4"/>
              </w:rPr>
              <w:t>Jeffrey K. Stouder</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5" w:type="dxa"/>
            <w:tcBorders/>
            <w:tcMar>
              <w:bottom w:w="0" w:type="dxa"/>
            </w:tcMar>
            <w:vAlign w:val="center"/>
          </w:tcPr>
          <w:p>
            <w:pPr>
              <w:pStyle w:val="TableContents"/>
              <w:bidi w:val="0"/>
              <w:spacing w:before="0" w:after="0"/>
              <w:jc w:val="center"/>
              <w:rPr>
                <w:spacing w:val="4"/>
              </w:rPr>
            </w:pPr>
            <w:r>
              <w:rPr>
                <w:spacing w:val="4"/>
              </w:rPr>
              <w:t xml:space="preserve">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1" w:type="dxa"/>
            <w:tcBorders/>
            <w:tcMar>
              <w:bottom w:w="0" w:type="dxa"/>
            </w:tcMar>
            <w:vAlign w:val="center"/>
          </w:tcPr>
          <w:p>
            <w:pPr>
              <w:pStyle w:val="TableContents"/>
              <w:bidi w:val="0"/>
              <w:spacing w:before="0" w:after="283"/>
              <w:jc w:val="left"/>
              <w:rPr>
                <w:spacing w:val="4"/>
              </w:rPr>
            </w:pPr>
            <w:r>
              <w:rPr>
                <w:spacing w:val="4"/>
              </w:rPr>
              <w:t xml:space="preserve">Chief Accounting Officer at Tungsten Automation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pPr>
            <w:r>
              <w:rPr>
                <w:spacing w:val="4"/>
              </w:rPr>
              <w:t>2020</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Audit Committee, Compensation Committee and Nominating and Corporate Governance Committee. </w:t>
      </w:r>
      <w:r>
        <mc:AlternateContent>
          <mc:Choice Requires="wps">
            <w:drawing>
              <wp:anchor behindDoc="0" distT="9906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2"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Audit Committee and the Compensation Committee. </w:t>
      </w:r>
      <w:r>
        <mc:AlternateContent>
          <mc:Choice Requires="wps">
            <w:drawing>
              <wp:anchor behindDoc="0" distT="4826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3"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you indicate otherwise, shares represented by executed proxies will be voted “FOR” the election as directors of the persons listed above. As of the date of this proxy statement, the Company has no reason to believe that any nominee will be unable to serve or for good cause will not serve as a director. However, if for any reason a nominee becomes unable to serve or for good cause will not serve if elected, the Nominating and Corporate Governance Committee may recommend, and the Board may propose a substitute nominee at the Annual Meeting and the proxies identified in the proxy card will vote to approve the election of the substitute nominee. If substitute nominees are proposed, we will, in full compliance with all applicable state and federal laws and regulations, file an amended proxy statement and proxy card that, as applicable, (i) identifies the substitute nominee(s), (ii) discloses that such nominees have consented to being named in the revised proxy statement and to serve if elected and (iii) includes the disclosure required by Item 7 of Schedule 14A with respect to such nominees.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Qualifications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acting through our Nominating and Corporate Governance Committee, is responsible for nominating directors that have the experience, qualifications, skills, and attributes necessary to guide the Company and effectively serve on the Board. To that end, we have highlighted specific experience, qualifications and skills that we believe qualify each individual to serve as a director of Legacy.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Biographies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description of our directors’ business experience: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Kenneth E. Shipley</w:t>
      </w:r>
      <w:r>
        <w:rPr>
          <w:rFonts w:ascii="Times New Roman;Times;serif" w:hAnsi="Times New Roman;Times;serif"/>
          <w:b w:val="false"/>
          <w:i w:val="false"/>
          <w:caps w:val="false"/>
          <w:smallCaps w:val="false"/>
          <w:color w:val="000000"/>
          <w:spacing w:val="4"/>
          <w:sz w:val="20"/>
        </w:rPr>
        <w:t xml:space="preserve"> co-founded our company in 2005, served as our Co-Chief Executive Officer from January 2018 to February 2019, our President and Chief Executive Officer from February 2019 to June 2022, our Executive Vice President from June 2022 to October 2025, and our Chairman of the Board from December 2024 to October 2025, and is currently serving as our Chief Executive Officer since October 2025. He has been a member of our Board since January 2018. Prior to that, Mr. Shipley served as a partner of the company’s predecessor, Legacy Housing, Ltd. Mr. Shipley has more than 32 years of experience in the manufactured home industry. Since 1981, he has also owned and operated Bell Mobile Homes in Lubbock, Texas, a manufactured home retailer.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Shipley is our co-founder and one of our largest stockholders. His extensive experience as a Board member and our Chief Executive Officer and in-depth knowledge of the manufactured housing industry make him well qualified to serve on our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Brian J. Ferguson</w:t>
      </w:r>
      <w:r>
        <w:rPr>
          <w:rFonts w:ascii="Times New Roman;Times;serif" w:hAnsi="Times New Roman;Times;serif"/>
          <w:b w:val="false"/>
          <w:i w:val="false"/>
          <w:caps w:val="false"/>
          <w:smallCaps w:val="false"/>
          <w:color w:val="000000"/>
          <w:spacing w:val="4"/>
          <w:sz w:val="20"/>
        </w:rPr>
        <w:t xml:space="preserve"> was elected to our Board in December 2023. He has practiced law as a Texas attorney since 2005 and was certified as public accountant in 2006. He currently owns and manages a portfolio of oil and gas interests concentrated in West Texas and real estate holdings in the Rio Grande Valley. In addition, Mr. Ferguson has consulted on audit, compliance and regulatory issues for publicly traded companies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investment advisors since 2005. He is a 2002 graduate of the University of Texas Undergraduate School of Business and Graduate School of Business. He graduated from the University of Texas School of Law in 2005. He was commissioned as an officer in the United States Air Force, where he continues to serve in the Reserve component.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Ferguson’s experience on audit, compliance and regulatory matters makes him well qualified to serve on our Board.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Skyler M. Howton</w:t>
      </w:r>
      <w:r>
        <w:rPr>
          <w:rFonts w:ascii="Times New Roman;Times;serif" w:hAnsi="Times New Roman;Times;serif"/>
          <w:b w:val="false"/>
          <w:i w:val="false"/>
          <w:caps w:val="false"/>
          <w:smallCaps w:val="false"/>
          <w:color w:val="000000"/>
          <w:spacing w:val="4"/>
          <w:sz w:val="20"/>
        </w:rPr>
        <w:t xml:space="preserve"> was elected to our Board in November 2024. She has practiced law as a Dallas-based attorney since 2013, and she currently serves as the Mass Torts Practice Group Leader at the Rogge Dunn Group, PC, where she handles product liability claims against major corporations nationwide. Ms. Howton has also represented small, large and Fortune 50 companies over her more than ten years’ experience at AM Law 100 firms. Ms. Howton is a 2009 graduate of Pepperdine University and a 2012 graduate of Baylor Law School, where she served as Articles Editor of the </w:t>
      </w:r>
      <w:r>
        <w:rPr>
          <w:rFonts w:ascii="Times New Roman;Times;serif" w:hAnsi="Times New Roman;Times;serif"/>
          <w:b w:val="false"/>
          <w:i/>
          <w:caps w:val="false"/>
          <w:smallCaps w:val="false"/>
          <w:color w:val="000000"/>
          <w:spacing w:val="4"/>
          <w:sz w:val="20"/>
        </w:rPr>
        <w:t>Baylor Law Review</w:t>
      </w:r>
      <w:r>
        <w:rPr>
          <w:rFonts w:ascii="Times New Roman;Times;serif" w:hAnsi="Times New Roman;Times;serif"/>
          <w:b w:val="false"/>
          <w:i w:val="false"/>
          <w:caps w:val="false"/>
          <w:smallCaps w:val="false"/>
          <w:color w:val="000000"/>
          <w:spacing w:val="4"/>
          <w:sz w:val="20"/>
        </w:rPr>
        <w:t xml:space="preserve">. In 2022, Ms. Howton returned to Baylor Law School to obtain an LLM in Litigation Management. Ms. Howton is active in the Dallas community. Ms. Howton served as a Dallas CASA for more than five years. Ms. Howton currently serves as a committee chair for Attorneys Serving the Community, a position she has held for ten years, and as a Vice President on the Board of Directors for the Dallas Women Lawyers Association.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Howton’s experience on compliance, regulatory and corporate governance issues makes her well qualified to serve on our Board.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Jeffrey K. Stouder</w:t>
      </w:r>
      <w:r>
        <w:rPr>
          <w:rFonts w:ascii="Times New Roman;Times;serif" w:hAnsi="Times New Roman;Times;serif"/>
          <w:b w:val="false"/>
          <w:i w:val="false"/>
          <w:caps w:val="false"/>
          <w:smallCaps w:val="false"/>
          <w:color w:val="000000"/>
          <w:spacing w:val="4"/>
          <w:sz w:val="20"/>
        </w:rPr>
        <w:t xml:space="preserve"> was elected to our Board in December 2020. Mr. Stouder is the Chief Accounting Officer at Tungsten Automation, a global leader in intelligent workflow automation, since September 2025. Mr. Stouder’s career spans over 30 years, leading global accounting and finance organizations across software, manufacturing and IT hardware industries. Prior to Tungsten Automation, Mr. Stouder served as Vice President and Global Controller at E2open, LLC from August 2019 to September 2025. Mr. Stouder has also previously held leadership roles at Global Resale, NBG Home and Dell Technologies. Mr. Stouder began his career at Arthur Andersen LLP in the Dallas office, where he worked in the audit practice as staff, senior, and audit manager from 1994 to 2000. Mr. Stouder received his B.B.A. and M.S. Accounting degrees from Texas Tech University and is a certified public accountant.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Stouder’s 30 years of experience in accounting, finance, audit, corporate governance, mergers and investor relations makes him well qualified to serve on our Board.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family relationships among any of the executive officers or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Requirement and Treatment of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Provided that a quorum is present at the Annual Meeting, a majority of the shares of stock present virtually or by proxy at the Annual Meeting and entitled to vote on this proposal is required for the election of directors. To elect a nominee, the shares voted “FOR” such nominee must exceed the number of shares voted “AGAINST” and “ABSTAIN” for such nominee. An abstention will have the same effect as a vote “AGAINST” a nominee. </w:t>
      </w:r>
      <w:r>
        <w:rPr>
          <w:rFonts w:ascii="Times New Roman;Times;serif" w:hAnsi="Times New Roman;Times;serif"/>
          <w:b/>
          <w:i w:val="false"/>
          <w:caps w:val="false"/>
          <w:smallCaps w:val="false"/>
          <w:color w:val="000000"/>
          <w:spacing w:val="-4"/>
          <w:sz w:val="20"/>
        </w:rPr>
        <w:t>If you do not instruct your broker how to vote with respect to this proposal, your broker may not vote your shares with respect to the election of directors.</w:t>
      </w:r>
      <w:r>
        <w:rPr>
          <w:rFonts w:ascii="Times New Roman;Times;serif" w:hAnsi="Times New Roman;Times;serif"/>
          <w:b w:val="false"/>
          <w:i w:val="false"/>
          <w:caps w:val="false"/>
          <w:smallCaps w:val="false"/>
          <w:color w:val="000000"/>
          <w:spacing w:val="4"/>
          <w:sz w:val="20"/>
        </w:rPr>
        <w:t xml:space="preserve"> Any shares not voted will be treated as broker non-votes, and broker non-votes will have no effect on the results of the Election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a vote “FOR” the election of each of the nominees listed above. Proxies will be voted “FOR” the election of each of the nominees unless otherwise specified.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2R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2: RATIFICATION OF THE INDEPENDENT REGISTERED PUBLIC </w:t>
        <w:br/>
        <w:t>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the Board has appointed Frazier &amp; Deeter, LLC (“Frazier &amp; Deeter”) as our independent registered public accounting firm for the year ending December 31, 2026, and the Board has directed that management submit this selection for ratification by the stockholders at the Annual Meeting. Frazier &amp; Deeter served as our independent registered public accountants for the years ended December 31, 2025 and 2024, and has audited our financial statements since 2023. The Audit Committee periodically considers whether there should be a rotation of our independent registered public accountants. The members of the Audit Committee believe that the continued retention of Frazier &amp; Deeter as our independent registered public accountants is in the best interests of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ratification of the appointment of Frazier &amp; Deeter as our independent registered public accounting firm is not required. The Board is submitting the selection of Frazier &amp; Deeter to the stockholders for ratification because we believe it is a matter of good corporate governance practice. If our stockholders fail to ratify the appointment, the Audit Committee will reconsider whether to retain Frazier &amp; Deeter but still may retain them. Even if the appointment is ratified, the Audit Committee, in its discretion, may direct the selection of a different independent registered public accounting firm at any time during the year if the Audit Committee determines that such a change would be in our best interests and that of our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Frazier &amp; Deeter are expected to attend the Annual Meeting, will have an opportunity to make a statement if they desire and will be available to respond to appropriate questions from stockholders. Fees for professional services provided by our independent auditors in each of the last two fiscal years, in each of the following categories, are as follows: </w:t>
      </w:r>
    </w:p>
    <w:tbl>
      <w:tblPr>
        <w:tblW w:w="5624" w:type="dxa"/>
        <w:jc w:val="left"/>
        <w:tblInd w:w="1393" w:type="dxa"/>
        <w:tblLayout w:type="fixed"/>
        <w:tblCellMar>
          <w:top w:w="0" w:type="dxa"/>
          <w:left w:w="0" w:type="dxa"/>
          <w:bottom w:w="28" w:type="dxa"/>
          <w:right w:w="0" w:type="dxa"/>
        </w:tblCellMar>
      </w:tblPr>
      <w:tblGrid>
        <w:gridCol w:w="2086"/>
        <w:gridCol w:w="109"/>
        <w:gridCol w:w="109"/>
        <w:gridCol w:w="120"/>
        <w:gridCol w:w="250"/>
        <w:gridCol w:w="982"/>
        <w:gridCol w:w="122"/>
        <w:gridCol w:w="109"/>
        <w:gridCol w:w="109"/>
        <w:gridCol w:w="120"/>
        <w:gridCol w:w="250"/>
        <w:gridCol w:w="982"/>
        <w:gridCol w:w="122"/>
        <w:gridCol w:w="154"/>
      </w:tblGrid>
      <w:tr>
        <w:trPr/>
        <w:tc>
          <w:tcPr>
            <w:tcW w:w="20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Year Ended </w:t>
              <w:br/>
              <w:t xml:space="preserve">December 31, </w:t>
              <w:b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Year Ended </w:t>
              <w:br/>
              <w:t xml:space="preserve">December 31, </w:t>
              <w:b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86"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982" w:type="dxa"/>
            <w:tcBorders/>
            <w:shd w:fill="CCEEFF" w:val="clear"/>
            <w:tcMar>
              <w:bottom w:w="0" w:type="dxa"/>
            </w:tcMar>
            <w:vAlign w:val="center"/>
          </w:tcPr>
          <w:p>
            <w:pPr>
              <w:pStyle w:val="TableContents"/>
              <w:bidi w:val="0"/>
              <w:spacing w:before="0" w:after="283"/>
              <w:jc w:val="right"/>
              <w:rPr/>
            </w:pPr>
            <w:r>
              <w:rPr/>
              <w:t>658,000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982" w:type="dxa"/>
            <w:tcBorders/>
            <w:shd w:fill="CCEEFF" w:val="clear"/>
            <w:tcMar>
              <w:bottom w:w="0" w:type="dxa"/>
            </w:tcMar>
            <w:vAlign w:val="center"/>
          </w:tcPr>
          <w:p>
            <w:pPr>
              <w:pStyle w:val="TableContents"/>
              <w:bidi w:val="0"/>
              <w:spacing w:before="0" w:after="283"/>
              <w:jc w:val="right"/>
              <w:rPr/>
            </w:pPr>
            <w:r>
              <w:rPr/>
              <w:t>590,000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86" w:type="dxa"/>
            <w:tcBorders/>
            <w:tcMar>
              <w:bottom w:w="0" w:type="dxa"/>
            </w:tcMar>
            <w:vAlign w:val="center"/>
          </w:tcPr>
          <w:p>
            <w:pPr>
              <w:pStyle w:val="TableContents"/>
              <w:bidi w:val="0"/>
              <w:spacing w:before="0" w:after="0"/>
              <w:jc w:val="left"/>
              <w:rPr/>
            </w:pPr>
            <w:r>
              <w:rPr>
                <w:spacing w:val="4"/>
              </w:rPr>
              <w:t>Audit-related fees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982" w:type="dxa"/>
            <w:tcBorders/>
            <w:tcMar>
              <w:bottom w:w="0" w:type="dxa"/>
            </w:tcMar>
            <w:vAlign w:val="center"/>
          </w:tcPr>
          <w:p>
            <w:pPr>
              <w:pStyle w:val="TableContents"/>
              <w:bidi w:val="0"/>
              <w:spacing w:before="0" w:after="283"/>
              <w:jc w:val="right"/>
              <w:rPr/>
            </w:pPr>
            <w:r>
              <w:rPr/>
              <w:t>100,000</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98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86" w:type="dxa"/>
            <w:tcBorders/>
            <w:shd w:fill="CCEEFF" w:val="clear"/>
            <w:tcMar>
              <w:bottom w:w="0" w:type="dxa"/>
            </w:tcMar>
            <w:vAlign w:val="center"/>
          </w:tcPr>
          <w:p>
            <w:pPr>
              <w:pStyle w:val="TableContents"/>
              <w:bidi w:val="0"/>
              <w:spacing w:before="0" w:after="0"/>
              <w:jc w:val="left"/>
              <w:rPr/>
            </w:pPr>
            <w:r>
              <w:rPr>
                <w:spacing w:val="4"/>
              </w:rPr>
              <w:t>Tax fees</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98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98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86" w:type="dxa"/>
            <w:tcBorders>
              <w:bottom w:val="single" w:sz="2" w:space="0" w:color="FFFFFF"/>
            </w:tcBorders>
            <w:tcMar>
              <w:bottom w:w="50" w:type="dxa"/>
            </w:tcMar>
            <w:vAlign w:val="center"/>
          </w:tcPr>
          <w:p>
            <w:pPr>
              <w:pStyle w:val="TableContents"/>
              <w:bidi w:val="0"/>
              <w:spacing w:lineRule="atLeast" w:line="142" w:before="0" w:after="0"/>
              <w:jc w:val="left"/>
              <w:rPr/>
            </w:pPr>
            <w:r>
              <w:rPr>
                <w:spacing w:val="4"/>
              </w:rPr>
              <w:t>All other fees</w:t>
            </w:r>
            <w:r>
              <w:rPr>
                <w:spacing w:val="3"/>
                <w:sz w:val="13"/>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982" w:type="dxa"/>
            <w:tcBorders>
              <w:bottom w:val="single" w:sz="2" w:space="0" w:color="000000"/>
            </w:tcBorders>
            <w:tcMar>
              <w:bottom w:w="50" w:type="dxa"/>
            </w:tcMar>
            <w:vAlign w:val="center"/>
          </w:tcPr>
          <w:p>
            <w:pPr>
              <w:pStyle w:val="TableContents"/>
              <w:bidi w:val="0"/>
              <w:spacing w:before="0" w:after="283"/>
              <w:jc w:val="right"/>
              <w:rPr/>
            </w:pPr>
            <w:r>
              <w:rPr/>
              <w:t>—</w:t>
            </w:r>
          </w:p>
        </w:tc>
        <w:tc>
          <w:tcPr>
            <w:tcW w:w="1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982" w:type="dxa"/>
            <w:tcBorders>
              <w:bottom w:val="single" w:sz="2" w:space="0" w:color="000000"/>
            </w:tcBorders>
            <w:tcMar>
              <w:bottom w:w="50" w:type="dxa"/>
            </w:tcMar>
            <w:vAlign w:val="center"/>
          </w:tcPr>
          <w:p>
            <w:pPr>
              <w:pStyle w:val="TableContents"/>
              <w:bidi w:val="0"/>
              <w:spacing w:before="0" w:after="283"/>
              <w:jc w:val="right"/>
              <w:rPr/>
            </w:pPr>
            <w:r>
              <w:rPr/>
              <w:t>—</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86"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82" w:type="dxa"/>
            <w:tcBorders>
              <w:bottom w:val="double" w:sz="8" w:space="0" w:color="000000"/>
            </w:tcBorders>
            <w:shd w:fill="CCEEFF" w:val="clear"/>
            <w:tcMar>
              <w:bottom w:w="50" w:type="dxa"/>
            </w:tcMar>
            <w:vAlign w:val="center"/>
          </w:tcPr>
          <w:p>
            <w:pPr>
              <w:pStyle w:val="TableContents"/>
              <w:bidi w:val="0"/>
              <w:spacing w:before="0" w:after="283"/>
              <w:jc w:val="right"/>
              <w:rPr/>
            </w:pPr>
            <w:r>
              <w:rPr/>
              <w:t>758,000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82" w:type="dxa"/>
            <w:tcBorders>
              <w:bottom w:val="double" w:sz="8" w:space="0" w:color="000000"/>
            </w:tcBorders>
            <w:shd w:fill="CCEEFF" w:val="clear"/>
            <w:tcMar>
              <w:bottom w:w="50" w:type="dxa"/>
            </w:tcMar>
            <w:vAlign w:val="center"/>
          </w:tcPr>
          <w:p>
            <w:pPr>
              <w:pStyle w:val="TableContents"/>
              <w:bidi w:val="0"/>
              <w:spacing w:before="0" w:after="283"/>
              <w:jc w:val="right"/>
              <w:rPr/>
            </w:pPr>
            <w:r>
              <w:rPr/>
              <w:t>590,000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fees consist of fees billed for professional services rendered for the audit of our consolidated annual financial statements including fees related to compliance with the Sarbanes-Oxley Act of 2002, review of our quarterly consolidated financial statements included in our Quarterly Reports on Form 10-Q and services that are normally provided in connection with statutory and regulatory filings or engagements, consultations in connection with acquisitions and issuances of auditor consents and comfort letters in connection with SEC registration statements. </w:t>
      </w:r>
      <w:r>
        <mc:AlternateContent>
          <mc:Choice Requires="wps">
            <w:drawing>
              <wp:anchor behindDoc="0" distT="10033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4"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Audit-related fees consist of fees billed for assurance and related services that are reasonably related to the performance of the audit or review of our consolidated financial statements and are not reported under “Audit Fees.” </w:t>
      </w:r>
      <w:r>
        <mc:AlternateContent>
          <mc:Choice Requires="wps">
            <w:drawing>
              <wp:anchor behindDoc="0" distT="4953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5"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fees consist of fees billed for professional services rendered for tax compliance, tax advice and tax planning (domestic and international). These services include assistance regarding federal, state and international tax compliance, acquisitions and international tax planning. </w:t>
      </w:r>
      <w:r>
        <mc:AlternateContent>
          <mc:Choice Requires="wps">
            <w:drawing>
              <wp:anchor behindDoc="0" distT="4953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6"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fees consist of fees for products and services other than the services reported above. </w:t>
      </w:r>
      <w:r>
        <mc:AlternateContent>
          <mc:Choice Requires="wps">
            <w:drawing>
              <wp:anchor behindDoc="0" distT="4953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27"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Pre-Approval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audit and non-audit services provided by our independent registered public accounting firm must be pre-approved by the Audit Committee. Unless the specific service has been previously pre-approved with respect to that year, the Audit Committee must approve the permitted service before the independent registered public accounting firm is engaged to perform it. The Audit Committee uses the following procedures in pre-approving all audit and non-audit services provided by our independent registered public accounting firm. 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before the first meeting of the Audit Committee each year, the Audit Committee is presented with a detailed listing of the individual audit and non-audit services and fees (separately describing audit-related services, tax services and other services) expected to be provided by our independent registered public accounting firm during the year. Quarterly, the Audit Committee is presented with an update of any new audit and non-audit services to be provided. The Audit Committee reviews the quarterly update and approves the services outlined therein if such services are acceptable to the Audit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Requirement and Treatment of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a quorum is present at the Annual Meeting, a majority of the shares of stock present virtually or by proxy at the Annual Meeting and entitled to vote on this proposal is required to ratify Frazier &amp; Deeter, LLC as our independent registered public accounting firm. To ratify Frazier &amp; Deeter, LLC as our independent registered public accounting firm, the shares voted “FOR” this proposal must exceed the number of shares voted “AGAINST” and “ABSTAIN.” An abstention will have the same effect as a vote “AGAINST.” If you are a beneficial owner, your broker, bank or other nominee may vote your shares on this proposal without receiving voting instructions from you. If a broker does not exercise this authority, broker non-votes will have no effect on the outcome of Proposal 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a vote “FOR” the ratification of the appointment of our independent registered public accounting firm. Proxies will be voted “FOR” ratification unless otherwise specified.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OG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and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and affairs are managed under the direction of our Board of Directors. The number of directors is determined by our Board of Directors, Certificate of Formation and Bylaws. Since July 2026, our Board of Directors has consisted of four members.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Kenneth E. Shipley currently serves as our Chairman of the Board and Chief Executive Officer. In those roles and as one of our largest stockholders, Mr. Shipley leads the Board and guides our company. Mr. Shipley brings extensive manufactured housing industry knowledge to our company and day-to-day operational leadership of our company. His service as Chairman and Chief Executive Officer creates a critical link between management and the Board. We do not have a lead independent director. We believe that our leadership structure is appropriate given the size and structure of the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currently has three standing committees — an Audit Committee, a Compensation Committee and a Nominating and Corporate Governance Committee. The committees are chaired and composed entirely of directors who are independent under Nasdaq and SEC rules. Given the role and scope of authority of these committees, and that a majority of the Board is composed of independent directors, the Board believes that its leadership structure is appropriate.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our ultimate decision-making body, except with respect to those matters reserved to the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Ethics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adopted a Code of Business Conduct and Ethics that applies to all our officers, directors and employees and an additional Code of Ethics that applies to the CEO and Senior Financial Officers. Both are available on our investor relations website at </w:t>
      </w:r>
      <w:r>
        <w:rPr>
          <w:rFonts w:ascii="Times New Roman;Times;serif" w:hAnsi="Times New Roman;Times;serif"/>
          <w:b w:val="false"/>
          <w:i/>
          <w:caps w:val="false"/>
          <w:smallCaps w:val="false"/>
          <w:color w:val="000000"/>
          <w:spacing w:val="4"/>
          <w:sz w:val="20"/>
        </w:rPr>
        <w:t>investors.legacyhousingcorp.com</w:t>
      </w:r>
      <w:r>
        <w:rPr>
          <w:rFonts w:ascii="Times New Roman;Times;serif" w:hAnsi="Times New Roman;Times;serif"/>
          <w:b w:val="false"/>
          <w:i w:val="false"/>
          <w:caps w:val="false"/>
          <w:smallCaps w:val="false"/>
          <w:color w:val="000000"/>
          <w:spacing w:val="4"/>
          <w:sz w:val="20"/>
        </w:rPr>
        <w:t xml:space="preserve"> under Corporate Governance — Documents &amp; Charters.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its oversight functions, the Board is responsible for oversight of risk management at the Company. Responsibility for oversight of risk management is delegated by the Board to the Audit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trades on The Nasdaq Global Select Market. Under Nasdaq rules, independent directors must comprise a majority of the listed company’s board of directors. In addition, Nasdaq rules require that, subject to specified exceptions, each member of a listed company’s audit, compensation and nominating and governance committees must be independent. Under Nasdaq rules, a director will only qualify as an “independent director” if, such director is not an executive officer or employee of the company, and in the opinion of that company’s board of directors, that person does not have a relationship that would interfere with the exercise of independent judgment in carrying out the responsibilities of a director.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Brian J. Ferguson, Skyler M. Howton and Jeffrey K. Stouder, representing a majority of our directors, were independent under the listing standards of Nasdaq and the requirements of the SEC and do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have any relationships that would interfere with the exercise of independent judgment in carrying out the responsibilities of a director.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and Committee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met five times in 2025. All directors attended these meetings either in person or by telephone conference call.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oversees the accounting and financial reporting processes of the Company and the audits of the Company’s financial statements. The Audit Committee is responsible for assisting the Board in its oversight of: (i) the integrity of the consolidated financial statements of the Company, (ii) the Company’s compliance with legal and regulatory requirements, (iii) the independent auditor’s qualifications and independence, and (iv) the performance of the Company’s internal audit function.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Audit Committee met four times in 2025. The members of our Audit Committee currently are Jeffrey K. Stouder (Chair), Brian J. Ferguson and Skyler M. Howton. A copy of our Audit Committee Charter is available on our investor relations website at </w:t>
      </w:r>
      <w:r>
        <w:rPr>
          <w:rFonts w:ascii="Times New Roman;Times;serif" w:hAnsi="Times New Roman;Times;serif"/>
          <w:b w:val="false"/>
          <w:i/>
          <w:caps w:val="false"/>
          <w:smallCaps w:val="false"/>
          <w:color w:val="000000"/>
          <w:spacing w:val="4"/>
          <w:sz w:val="20"/>
        </w:rPr>
        <w:t>investors.legacyhousingcorp.com</w:t>
      </w:r>
      <w:r>
        <w:rPr>
          <w:rFonts w:ascii="Times New Roman;Times;serif" w:hAnsi="Times New Roman;Times;serif"/>
          <w:b w:val="false"/>
          <w:i w:val="false"/>
          <w:caps w:val="false"/>
          <w:smallCaps w:val="false"/>
          <w:color w:val="000000"/>
          <w:spacing w:val="4"/>
          <w:sz w:val="20"/>
        </w:rPr>
        <w:t xml:space="preserve"> under Corporate Governance — Documents &amp; Charters.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audit committee members meet the requirements for financial literacy under the current requirements of the Sarbanes Oxley Act, Nasdaq and SEC rules and regulations. In addition, the Board has determined that Mr. Stouder qualifies as an audit committee financial expert within the meaning of SEC regulations. We have made this determination based on information received by our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tasked with reviewing the compensation provided to the Company’s executive officers and directors. The Compensation Committee met one time in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current members of our Compensation Committee are Skyler M. Howton (Chair), Brian J. Ferguson and Jeffrey K. Stouder. A copy of our Compensation Committee Charter is available on our investor relations website at </w:t>
      </w:r>
      <w:r>
        <w:rPr>
          <w:rFonts w:ascii="Times New Roman;Times;serif" w:hAnsi="Times New Roman;Times;serif"/>
          <w:b w:val="false"/>
          <w:i/>
          <w:caps w:val="false"/>
          <w:smallCaps w:val="false"/>
          <w:color w:val="000000"/>
          <w:spacing w:val="4"/>
          <w:sz w:val="20"/>
        </w:rPr>
        <w:t>investors.legacyhousingcorp.com</w:t>
      </w:r>
      <w:r>
        <w:rPr>
          <w:rFonts w:ascii="Times New Roman;Times;serif" w:hAnsi="Times New Roman;Times;serif"/>
          <w:b w:val="false"/>
          <w:i w:val="false"/>
          <w:caps w:val="false"/>
          <w:smallCaps w:val="false"/>
          <w:color w:val="000000"/>
          <w:spacing w:val="4"/>
          <w:sz w:val="20"/>
        </w:rPr>
        <w:t xml:space="preserve"> under Corporate Governance — Documents &amp; Charters.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current composition of our Compensation Committee meets the requirements for independence under any applicable provisions of the Sarbanes Oxley Act, Nasdaq and SEC rules and regulations.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is tasked with recommending director nominee(s) to the Board and considering any recommendations made by stockholders provided that the name of such nominees is accompanied by relevant biographical information and submitted in accordance with the procedures set forth above under “How and when may I submit a stockholder proposal, including a stockholder nomination for director, for the 2027 Annual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not adopted a written formal policy with regard to the consideration of diversity in identifying director nominees, but the Nominating and Corporate Governance Committee strives to nominate directors with a variety of complementary skills so that, as a group, the Board will possess the appropriate talent, skills and expertise to oversee the Company’s business. In addition to considering a candidate’s background and accomplishments, candidates are reviewed in the context of the current composition of the Board and the evolving needs of our business and the interests of our stockholders. The Company’s policy is to have at least a majority of directors qualify as “independent” under the listing requirements of Nasdaq.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vacancy on the Board, the Nominating and Corporate Governance Committee intends to identify and evaluate candidates by making requests of Board members and others for recommendations, meeting from time to time to evaluate biographical information and background material relating to potential candidates, and having members of the Nominating and Corporate Governance Committee and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interview selected candidates. Assuming that appropriate biographical and background material is provided for candidates recommended by stockholders on a timely basis, and that any such nomination accompanied by a written consent of the candidate to being named as a nominee and to serve as a director if elected, the Nominating and Corporate Governance Committee will evaluate director candidates recommended by stockholders by following substantially the same process, and applying substantially the same criteria, as it follows for director candidates submitted by Board members.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current members of the Nominating and Corporate Governance Committee are Brian J. Ferguson (Chair) and Skyler M. Howton. A copy of our Nominating and Corporate Governance Committee Charter is available on our investor relations website at </w:t>
      </w:r>
      <w:r>
        <w:rPr>
          <w:rFonts w:ascii="Times New Roman;Times;serif" w:hAnsi="Times New Roman;Times;serif"/>
          <w:b w:val="false"/>
          <w:i/>
          <w:caps w:val="false"/>
          <w:smallCaps w:val="false"/>
          <w:color w:val="000000"/>
          <w:spacing w:val="4"/>
          <w:sz w:val="20"/>
        </w:rPr>
        <w:t>investors.legacyhousingcorp.com</w:t>
      </w:r>
      <w:r>
        <w:rPr>
          <w:rFonts w:ascii="Times New Roman;Times;serif" w:hAnsi="Times New Roman;Times;serif"/>
          <w:b w:val="false"/>
          <w:i w:val="false"/>
          <w:caps w:val="false"/>
          <w:smallCaps w:val="false"/>
          <w:color w:val="000000"/>
          <w:spacing w:val="4"/>
          <w:sz w:val="20"/>
        </w:rPr>
        <w:t xml:space="preserve"> under Corporate Governance — Documents &amp; Charters. The Nominating and Corporate Governance Committee met one time in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Attendance at Annual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encourages director attendance at our annual meetings of stockholders. All our directors attended the Company’s 2025 annual meeting. This year, our directors will participate in our virtual meeting via remote communication.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Director and Officer Liability and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Formation limits the liability of our directors to the maximum extent permitted by Texas law. Texas law provides that directors of a corporation will not be personally liable for monetary damages for breach of their fiduciary duties as directors, except liability for: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their duty of loyalty to the corporation or its shareholders;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8"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or omissions not in good faith or which involve intentional misconduct or a knowing violation of law;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9"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unlawful payments of dividends or unlawful stock repurchases or redemptions; or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0"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derived an improper personal benefit.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1"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Formation and our Bylaws provide that we are required to indemnify our directors and officers, in each case to the fullest extent permitted by Texas law. Any repeal of, or modification to, our Certificate of Formation and our Bylaws may not adversely affect any right or protection of a director or officer for or with respect to any acts or omissions of such director or officer occurring prior to such amendment or repeal. Our Bylaws also provide that we will advance expenses incurred by a director or officer in advance of the final disposition of any action or proceeding and permit us to secure insurance on behalf of any officer, director, employee or other agent for any liability arising out of his or her actions in connection with their services to us, regardless of whether our Bylaws permit such indemnification.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separate indemnification agreements with our directors and executive officers, in addition to the indemnification provided for in our Bylaws. These agreements, among other things, provide that we will indemnify our directors and executive officers for certain expenses (including attorneys’ fees), judgments, fines, penalties and settlement amounts incurred by a director or executive officer in any action or proceeding arising out of such person’s services as one of our directors or executive officers, or any other company or enterprise to which the person provides services at our request. We believe that these provisions and agreements are necessary to attract and retain qualified persons as directors and executive officers.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 of liability and indemnification provisions that are contained in our Certificate of Formation and our Bylaws may discourage stockholders from bringing a lawsuit against our directors for breach of their fiduciary duty. They may also reduce the likelihood of derivative litigation against our directors and officers, even though an action, if successful, might benefit us and other shareholders. Further, a stockholder’s investment may be adversely affected to the extent that we pay the costs of settlement and damage awards against directors and officers as required by these indemnification provisions. There is no pending litigation or proceeding involving one of our directors or executive officers as to which indemnification is required or permitted, and we are not aware of any threatened litigation or proceeding that may result in a claim for indemnification.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October 2025 Amendments to Our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29, 2025, in connection with certain recent changes to the Texas Business Organizations Code (“TBOC”), our Board of Directors approved and adopted a series of amendments (the “Amendments”) to our Bylaws, effective as of such date, to add new sections to: </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an ownership threshold requiring any shareholder or group of shareholders to hold shares of common stock sufficient to meet an ownership threshold of at least 3% of our company’s issued and outstanding shares in order to institute or maintain a derivative proceeding; </w:t>
      </w:r>
      <w:r>
        <mc:AlternateContent>
          <mc:Choice Requires="wps">
            <w:drawing>
              <wp:anchor behindDoc="0" distT="8001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2"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clarify that the exclusive forum for any “internal entity claim” as defined in the TBOC will be the United States District Court for the Northern District of Texas or, if the United States District Court for the Northern District of Texas lacks jurisdiction for such action, the Texas Business Court (or, if the Texas Business Court is not then accepting filings or determines that it lacks jurisdiction for such action, a Texas state district court in Tarrant County, Texas); and </w:t>
      </w:r>
      <w:r>
        <mc:AlternateContent>
          <mc:Choice Requires="wps">
            <w:drawing>
              <wp:anchor behindDoc="0" distT="8001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3"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a jury trial waiver for “internal entity claims” as defined in the TBOC. </w:t>
      </w:r>
      <w:r>
        <mc:AlternateContent>
          <mc:Choice Requires="wps">
            <w:drawing>
              <wp:anchor behindDoc="0" distT="8001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4"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Policy for Stockholder Communications with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Mail can be addressed to Legacy Housing Corporation, Attn.: Chief Financial Officer, 1600 Airport Freeway, Suite 100, Bedford, Texas 76022. All mail will be opened and screened for security purposes. Mail addressed to a particular director will be forwarded or delivered to that director. Mail addressed to “Outside Directors” or “Non-Management Directors” will be forwarded or delivered to each of the non-employee directors. Mail addressed to the “Board of Directors” will be forwarded or delivered to each of our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Officer and Director Hedging and Trading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 Under our insider trading policy, the Company’s personnel may not engage in trading our shares while in possession of material non-public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members of our Compensation Committee is an executive officer or employee of the Company. None of our executive officers serves as a member of the board or compensation committee of any entity that has one or more executive officers serving on our Board or Compensation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compensation arrangements, including employment, termination of employment and change in control arrangements, discussed in the section titled “Executive Compensation,” the following is a description of each transaction since January 1, 2025 and each currently proposed transaction in which: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or are to be a participant; </w:t>
      </w:r>
      <w:r>
        <mc:AlternateContent>
          <mc:Choice Requires="wps">
            <w:drawing>
              <wp:anchor behindDoc="0" distT="7874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5"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involved exceeds $120,000; and </w:t>
      </w:r>
      <w:r>
        <mc:AlternateContent>
          <mc:Choice Requires="wps">
            <w:drawing>
              <wp:anchor behindDoc="0" distT="7874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6"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related person had or will have a direct or indirect material interest. </w:t>
      </w:r>
      <w:r>
        <mc:AlternateContent>
          <mc:Choice Requires="wps">
            <w:drawing>
              <wp:anchor behindDoc="0" distT="7874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7"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Bell Mobile Homes (“Bell”), a retailer owned by Kenneth E. Shipley, purchases manufactured homes from the Company. Accounts receivable balances due from Bell were $613,000 as of December 31, 2025. Accounts payable balances due to Bell were $103,000 as of December 31, 2025. Home sales to Bell were approximately $4,754,000 for the year ended December 31,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Shipley Bros., Ltd. and Crazy Red’s Mobile Homes (together, “Shipley Bros.”), retailers owned by Mr. Shipley and his brothers, purchase manufactured homes from the Company. Accounts receivable balances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from Shipley Bros. were $140,000 as of December 31, 2025. Accounts payable balances due to Shipley Bros. were $36,000 as of December 31, 2025. Home sales to Shipley Bros. were $2,148,000 for the year ended December 31,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transactions described above, there have been no transactions between the Company and a related person that would be reportable under SEC rules or regulations.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Procedures for 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 policy approved by the Board, all related party transactions must be disclosed to the Board, and the Board’s discretion, in reviewing such, is plenary.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ACR"/>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Audit Committee assists the Board in overseeing and monitoring the integrity of the Company’s financial reporting process, compliance with legal and regulatory requirements related to financial reporting, and the quality of internal and external audit processes. The Audit Committee’s roles and responsibilities are set forth in a written charter, which is available on our investor relations website at </w:t>
      </w:r>
      <w:r>
        <w:rPr>
          <w:rFonts w:ascii="Times New Roman;Times;serif" w:hAnsi="Times New Roman;Times;serif"/>
          <w:b w:val="false"/>
          <w:i/>
          <w:caps w:val="false"/>
          <w:smallCaps w:val="false"/>
          <w:color w:val="000000"/>
          <w:spacing w:val="4"/>
          <w:sz w:val="20"/>
        </w:rPr>
        <w:t>investors.legacyhousingcorp.com</w:t>
      </w:r>
      <w:r>
        <w:rPr>
          <w:rFonts w:ascii="Times New Roman;Times;serif" w:hAnsi="Times New Roman;Times;serif"/>
          <w:b w:val="false"/>
          <w:i w:val="false"/>
          <w:caps w:val="false"/>
          <w:smallCaps w:val="false"/>
          <w:color w:val="000000"/>
          <w:spacing w:val="4"/>
          <w:sz w:val="20"/>
        </w:rPr>
        <w:t xml:space="preserve"> under Corporate Governance — Documents &amp; Charters.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of the Company is responsible for the consolidated financial statements and reporting process, including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controls over financial reporting that has materially affected, or is reasonably likely to materially affect, internal controls over financial reporting. The independent registered public accounting firm is responsible for expressing an opinion on the conformity of these consolidated financial statements with accounting principles generally accepted in the United States, as well as expressing an opinion on the effectiveness of internal control over financial reporting.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audit of the Company’s financial statements for the year ended December 31, 2025, the Audit Committee met with representatives from Frazier &amp; Deeter, LLC, the Company’s independent registered public accounting firm, and the Company’s internal auditors. The Audit Committee reviewed and discussed with Frazier &amp; Deeter, LLC and the Company’s internal auditors, the Company’s financial management and financial structure, as well as the matters relating to the audit required by the Public Company Accounting Oversight Board Auditing Standard.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and Frazier &amp; Deeter, LLC also discussed Frazier &amp; Deeter, LLC’s independence. In March 2026, the Audit Committee received from Frazier &amp; Deeter, LLC the written disclosures and the letter regarding Frazier &amp; Deeter, LLC’s independence required by Public Company Accounting Oversight Board Rule 3526.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audit for the year ended December 31, 2025, material weaknesses were identified in our internal control over financial reporting, as disclosed in our Annual Report on Form 10-K for the year ended December 31, 2025. The following material weaknesses were identified: (i) control activities were not sufficiently designed, implemented, monitored or tested, and had a lack of documentation, review and approval of certain control activities, including adequate segregation of duties, (ii) management did not have sufficient qualified accounting personnel to support the preparation of financial statements that comply with U.S. GAAP and SEC reporting requirements, and (iii) information technology general controls were not sufficiently designed, implemented or maintained over in-scope business processes and financial reporting systems.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reviewed and discussed with management the Company audited financial statements contained in the Company’s Annual Report on Form 10-K for the year ended December 31, 2025 filed with the SEC, as well as management’s assessment of internal controls over financial reporting. During 2026, management has continued the evaluation of the Company’s system of internal control over financial reporting in response to the requirements set forth in Section 404(a) of the Sarbanes-Oxley Act and related regulations.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reviews and discussions noted above, the Audit Committee recommended to the Board that the audited consolidated financial statements and related footnotes be included in Legacy’s Annual Report on Form 10-K for the year ended December 31, 2025.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w:t>
      </w:r>
    </w:p>
    <w:p>
      <w:pPr>
        <w:pStyle w:val="TextBody"/>
        <w:bidi w:val="0"/>
        <w:spacing w:lineRule="atLeast" w:line="240" w:before="30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JEFFREY K. STOUDER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Jeffrey K. Stouder (Chair) </w:t>
        <w:br/>
        <w:t xml:space="preserve">Brian J. Ferguson </w:t>
        <w:br/>
        <w:t>Skyler M. Howton</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EOW"/>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and accompanying footnotes set forth certain information with respect to the beneficial ownership of our common stock as of September 8, 2026, referred to in the table below as the “Beneficial Ownership Date,” by: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 is known to be the beneficial owner of 5% or more of the outstanding shares of our common stock;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8"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current directors and director nominees and each of our named executive officers individually; and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9"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our current directors, director nominees and executive officers as a group.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0"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In computing the number of shares beneficially owned by a person and the percentage ownership of that person, shares of common stock subject to stock options or warrants held by that person that are currently exercisable or exercisable within 60 days of the Beneficial Ownership Date and shares of restricted stock subject to vesting until the occurrence of certain events are deemed outstanding, but are not deemed outstanding for computing the percentage ownership of any other person. Percentage of beneficial ownership is based on a total of 23,783,038 shares of common stock outstanding as of the Beneficial Ownership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Legacy Housing Corporation, 1600 Airport Freeway, Suite 100, Bedford, Texas 76022. </w:t>
      </w:r>
    </w:p>
    <w:tbl>
      <w:tblPr>
        <w:tblW w:w="8812" w:type="dxa"/>
        <w:jc w:val="left"/>
        <w:tblInd w:w="1393" w:type="dxa"/>
        <w:tblLayout w:type="fixed"/>
        <w:tblCellMar>
          <w:top w:w="0" w:type="dxa"/>
          <w:left w:w="0" w:type="dxa"/>
          <w:bottom w:w="28" w:type="dxa"/>
          <w:right w:w="0" w:type="dxa"/>
        </w:tblCellMar>
      </w:tblPr>
      <w:tblGrid>
        <w:gridCol w:w="5422"/>
        <w:gridCol w:w="109"/>
        <w:gridCol w:w="109"/>
        <w:gridCol w:w="125"/>
        <w:gridCol w:w="125"/>
        <w:gridCol w:w="1274"/>
        <w:gridCol w:w="125"/>
        <w:gridCol w:w="109"/>
        <w:gridCol w:w="109"/>
        <w:gridCol w:w="143"/>
        <w:gridCol w:w="143"/>
        <w:gridCol w:w="714"/>
        <w:gridCol w:w="145"/>
        <w:gridCol w:w="160"/>
      </w:tblGrid>
      <w:tr>
        <w:trPr/>
        <w:tc>
          <w:tcPr>
            <w:tcW w:w="54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12"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Shares of Common Stock </w:t>
              <w:br/>
              <w:t xml:space="preserve">Beneficially Owned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422"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of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Percentage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283"/>
              <w:jc w:val="left"/>
              <w:rPr/>
            </w:pPr>
            <w:r>
              <w:rPr>
                <w:spacing w:val="-4"/>
              </w:rPr>
              <w:t>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67"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414"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pPr>
            <w:r>
              <w:rPr>
                <w:spacing w:val="4"/>
              </w:rPr>
              <w:t>William Shipley</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74" w:type="dxa"/>
            <w:tcBorders/>
            <w:tcMar>
              <w:bottom w:w="0" w:type="dxa"/>
            </w:tcMar>
            <w:vAlign w:val="center"/>
          </w:tcPr>
          <w:p>
            <w:pPr>
              <w:pStyle w:val="TableContents"/>
              <w:bidi w:val="0"/>
              <w:spacing w:before="0" w:after="283"/>
              <w:jc w:val="right"/>
              <w:rPr/>
            </w:pPr>
            <w:r>
              <w:rPr/>
              <w:t xml:space="preserve">2,865,953 </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12.0%</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jc w:val="left"/>
              <w:rPr/>
            </w:pPr>
            <w:r>
              <w:rPr>
                <w:spacing w:val="4"/>
              </w:rPr>
              <w:t>Douglas Shipley</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74" w:type="dxa"/>
            <w:tcBorders/>
            <w:shd w:fill="CCEEFF" w:val="clear"/>
            <w:tcMar>
              <w:bottom w:w="0" w:type="dxa"/>
            </w:tcMar>
            <w:vAlign w:val="center"/>
          </w:tcPr>
          <w:p>
            <w:pPr>
              <w:pStyle w:val="TableContents"/>
              <w:bidi w:val="0"/>
              <w:spacing w:before="0" w:after="283"/>
              <w:jc w:val="right"/>
              <w:rPr/>
            </w:pPr>
            <w:r>
              <w:rPr/>
              <w:t xml:space="preserve">2,885,978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714" w:type="dxa"/>
            <w:tcBorders/>
            <w:shd w:fill="CCEEFF" w:val="clear"/>
            <w:tcMar>
              <w:bottom w:w="0" w:type="dxa"/>
            </w:tcMar>
            <w:vAlign w:val="center"/>
          </w:tcPr>
          <w:p>
            <w:pPr>
              <w:pStyle w:val="TableContents"/>
              <w:bidi w:val="0"/>
              <w:spacing w:before="0" w:after="283"/>
              <w:jc w:val="right"/>
              <w:rPr/>
            </w:pPr>
            <w:r>
              <w:rPr/>
              <w:t>12.1%</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pPr>
            <w:r>
              <w:rPr>
                <w:spacing w:val="4"/>
              </w:rPr>
              <w:t>American Endowment Foundation</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74" w:type="dxa"/>
            <w:tcBorders/>
            <w:tcMar>
              <w:bottom w:w="0" w:type="dxa"/>
            </w:tcMar>
            <w:vAlign w:val="center"/>
          </w:tcPr>
          <w:p>
            <w:pPr>
              <w:pStyle w:val="TableContents"/>
              <w:bidi w:val="0"/>
              <w:spacing w:before="0" w:after="283"/>
              <w:jc w:val="right"/>
              <w:rPr/>
            </w:pPr>
            <w:r>
              <w:rPr/>
              <w:t>2,161,000</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 xml:space="preserve">9.1% </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74"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714"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z w:val="15"/>
              </w:rPr>
            </w:pPr>
            <w:r>
              <w:rPr>
                <w:spacing w:val="4"/>
                <w:sz w:val="20"/>
              </w:rPr>
              <w:t>Kenneth E. Shipley</w:t>
            </w:r>
            <w:r>
              <w:rPr>
                <w:spacing w:val="3"/>
                <w:sz w:val="13"/>
              </w:rPr>
              <w:t>(4)</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74" w:type="dxa"/>
            <w:tcBorders/>
            <w:tcMar>
              <w:bottom w:w="0" w:type="dxa"/>
            </w:tcMar>
            <w:vAlign w:val="center"/>
          </w:tcPr>
          <w:p>
            <w:pPr>
              <w:pStyle w:val="TableContents"/>
              <w:bidi w:val="0"/>
              <w:spacing w:before="0" w:after="283"/>
              <w:jc w:val="right"/>
              <w:rPr/>
            </w:pPr>
            <w:r>
              <w:rPr/>
              <w:t>2,993,610</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12.6%</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jc w:val="left"/>
              <w:rPr>
                <w:spacing w:val="4"/>
              </w:rPr>
            </w:pPr>
            <w:r>
              <w:rPr>
                <w:spacing w:val="4"/>
              </w:rPr>
              <w:t xml:space="preserve">Jon A. Langbert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74" w:type="dxa"/>
            <w:tcBorders/>
            <w:shd w:fill="CCEEFF" w:val="clear"/>
            <w:tcMar>
              <w:bottom w:w="0" w:type="dxa"/>
            </w:tcMar>
            <w:vAlign w:val="center"/>
          </w:tcPr>
          <w:p>
            <w:pPr>
              <w:pStyle w:val="TableContents"/>
              <w:bidi w:val="0"/>
              <w:spacing w:before="0" w:after="283"/>
              <w:jc w:val="right"/>
              <w:rPr/>
            </w:pPr>
            <w:r>
              <w:rPr/>
              <w:t>800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714"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z w:val="15"/>
              </w:rPr>
            </w:pPr>
            <w:r>
              <w:rPr>
                <w:spacing w:val="4"/>
                <w:sz w:val="20"/>
              </w:rPr>
              <w:t>Curtis D. Hodgson</w:t>
            </w:r>
            <w:r>
              <w:rPr>
                <w:spacing w:val="3"/>
                <w:sz w:val="13"/>
              </w:rPr>
              <w:t>(5)</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74" w:type="dxa"/>
            <w:tcBorders/>
            <w:tcMar>
              <w:bottom w:w="0" w:type="dxa"/>
            </w:tcMar>
            <w:vAlign w:val="center"/>
          </w:tcPr>
          <w:p>
            <w:pPr>
              <w:pStyle w:val="TableContents"/>
              <w:bidi w:val="0"/>
              <w:spacing w:before="0" w:after="283"/>
              <w:jc w:val="right"/>
              <w:rPr/>
            </w:pPr>
            <w:r>
              <w:rPr/>
              <w:t>4,163,310</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17.5%</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jc w:val="left"/>
              <w:rPr>
                <w:spacing w:val="4"/>
              </w:rPr>
            </w:pPr>
            <w:r>
              <w:rPr>
                <w:spacing w:val="4"/>
              </w:rPr>
              <w:t xml:space="preserve">R. Duncan Bates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74" w:type="dxa"/>
            <w:tcBorders/>
            <w:shd w:fill="CCEEFF" w:val="clear"/>
            <w:tcMar>
              <w:bottom w:w="0" w:type="dxa"/>
            </w:tcMar>
            <w:vAlign w:val="center"/>
          </w:tcPr>
          <w:p>
            <w:pPr>
              <w:pStyle w:val="TableContents"/>
              <w:bidi w:val="0"/>
              <w:spacing w:before="0" w:after="283"/>
              <w:jc w:val="right"/>
              <w:rPr/>
            </w:pPr>
            <w:r>
              <w:rPr/>
              <w:t>33,267</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714"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pacing w:val="4"/>
              </w:rPr>
            </w:pPr>
            <w:r>
              <w:rPr>
                <w:spacing w:val="4"/>
              </w:rPr>
              <w:t xml:space="preserve">Jeffrey M. Fiedelman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74"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jc w:val="left"/>
              <w:rPr>
                <w:spacing w:val="4"/>
              </w:rPr>
            </w:pPr>
            <w:r>
              <w:rPr>
                <w:spacing w:val="4"/>
              </w:rPr>
              <w:t xml:space="preserve">Ronald C. Arrington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74"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714"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pacing w:val="4"/>
              </w:rPr>
            </w:pPr>
            <w:r>
              <w:rPr>
                <w:spacing w:val="4"/>
              </w:rPr>
              <w:t xml:space="preserve">Brian J. Ferguson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74" w:type="dxa"/>
            <w:tcBorders/>
            <w:tcMar>
              <w:bottom w:w="0" w:type="dxa"/>
            </w:tcMar>
            <w:vAlign w:val="center"/>
          </w:tcPr>
          <w:p>
            <w:pPr>
              <w:pStyle w:val="TableContents"/>
              <w:bidi w:val="0"/>
              <w:spacing w:before="0" w:after="283"/>
              <w:jc w:val="right"/>
              <w:rPr/>
            </w:pPr>
            <w:r>
              <w:rPr/>
              <w:t>869</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jc w:val="left"/>
              <w:rPr>
                <w:spacing w:val="4"/>
              </w:rPr>
            </w:pPr>
            <w:r>
              <w:rPr>
                <w:spacing w:val="4"/>
              </w:rPr>
              <w:t xml:space="preserve">Skyler M. Howton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74" w:type="dxa"/>
            <w:tcBorders/>
            <w:shd w:fill="CCEEFF" w:val="clear"/>
            <w:tcMar>
              <w:bottom w:w="0" w:type="dxa"/>
            </w:tcMar>
            <w:vAlign w:val="center"/>
          </w:tcPr>
          <w:p>
            <w:pPr>
              <w:pStyle w:val="TableContents"/>
              <w:bidi w:val="0"/>
              <w:spacing w:before="0" w:after="283"/>
              <w:jc w:val="right"/>
              <w:rPr/>
            </w:pPr>
            <w:r>
              <w:rPr/>
              <w:t>869</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714"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pacing w:val="4"/>
              </w:rPr>
            </w:pPr>
            <w:r>
              <w:rPr>
                <w:spacing w:val="4"/>
              </w:rPr>
              <w:t xml:space="preserve">Jeffrey K. Stouder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74" w:type="dxa"/>
            <w:tcBorders/>
            <w:tcMar>
              <w:bottom w:w="0" w:type="dxa"/>
            </w:tcMar>
            <w:vAlign w:val="center"/>
          </w:tcPr>
          <w:p>
            <w:pPr>
              <w:pStyle w:val="TableContents"/>
              <w:bidi w:val="0"/>
              <w:spacing w:before="0" w:after="283"/>
              <w:jc w:val="right"/>
              <w:rPr/>
            </w:pPr>
            <w:r>
              <w:rPr/>
              <w:t>12,902</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 xml:space="preserve">* </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ind w:left="200" w:right="0" w:hanging="200"/>
              <w:jc w:val="left"/>
              <w:rPr/>
            </w:pPr>
            <w:r>
              <w:rPr>
                <w:b/>
                <w:spacing w:val="-4"/>
              </w:rPr>
              <w:t>All current directors, director nominees and executive officers as a group (5 persons)</w:t>
            </w:r>
            <w:r>
              <w:rPr>
                <w:bCs/>
                <w:spacing w:val="-3"/>
                <w:szCs w:val="13"/>
              </w:rPr>
              <w:t>﻿</w:t>
            </w:r>
            <w:r>
              <w:rPr>
                <w:b/>
                <w:spacing w:val="-3"/>
                <w:sz w:val="13"/>
              </w:rPr>
              <w:t>(6)</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74" w:type="dxa"/>
            <w:tcBorders/>
            <w:shd w:fill="CCEEFF" w:val="clear"/>
            <w:tcMar>
              <w:bottom w:w="0" w:type="dxa"/>
            </w:tcMar>
            <w:vAlign w:val="center"/>
          </w:tcPr>
          <w:p>
            <w:pPr>
              <w:pStyle w:val="TableContents"/>
              <w:bidi w:val="0"/>
              <w:spacing w:before="0" w:after="283"/>
              <w:jc w:val="right"/>
              <w:rPr/>
            </w:pPr>
            <w:r>
              <w:rPr/>
              <w:t>3,009,050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714" w:type="dxa"/>
            <w:tcBorders/>
            <w:shd w:fill="CCEEFF" w:val="clear"/>
            <w:tcMar>
              <w:bottom w:w="0" w:type="dxa"/>
            </w:tcMar>
            <w:vAlign w:val="center"/>
          </w:tcPr>
          <w:p>
            <w:pPr>
              <w:pStyle w:val="TableContents"/>
              <w:bidi w:val="0"/>
              <w:spacing w:before="0" w:after="283"/>
              <w:jc w:val="right"/>
              <w:rPr/>
            </w:pPr>
            <w:r>
              <w:rPr/>
              <w:t>12.7%</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of outstanding shares of common stock.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1"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2,865,953 shares of common stock beneficially owned by William Shipley. The foregoing information is based solely upon a Form 4 filed by Mr. Shipley on February 20, 2024. William Shipley is Kenneth E. Shipley’s brother. Kenneth E. Shipley disclaims any beneficial interest in the shares beneficially owned by William Shipley. </w:t>
      </w:r>
      <w:r>
        <mc:AlternateContent>
          <mc:Choice Requires="wps">
            <w:drawing>
              <wp:anchor behindDoc="0" distT="508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2"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1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2,885,978 shares of common stock beneficially owned by Douglas Shipley. The foregoing information is based solely upon a Form 4/A filed by Mr. Shipley on February 21, 2024. Douglas Shipley is Kenneth E. Shipley’s brother. Kenneth E. Shipley disclaims any beneficial interest in the shares beneficially owned by Douglas Shipley.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254000" cy="350520"/>
                <wp:effectExtent l="0" t="0" r="0" b="0"/>
                <wp:wrapSquare wrapText="right"/>
                <wp:docPr id="43"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2,161,000 shares of common stock beneficially owned by American Endowment Foundation (“AEF”), over which AEF has shared voting power of 2,161,000 shares and shared dispositive power over 2,161,000 shares. The principal business address of AEF is 5700 Darrow Road, Suite 118, Hudson, Ohio 44236. The foregoing information is based solely upon a Schedule 13G filed by AEF on February 12, 2025. </w:t>
      </w:r>
      <w:r>
        <mc:AlternateContent>
          <mc:Choice Requires="wps">
            <w:drawing>
              <wp:anchor behindDoc="0" distT="5080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4"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100,000 shares of common stock owned by Shipley Bros., Ltd., an entity controlled by Mr. Shipley. Each of Kenneth E. Shipley’s brothers, William Shipley and Douglas Shipley, owns 2,865,953 and 2,885,978 shares of common stock, respectively, as to which Kenneth E. Shipley disclaims any beneficial interest. </w:t>
      </w:r>
      <w:r>
        <mc:AlternateContent>
          <mc:Choice Requires="wps">
            <w:drawing>
              <wp:anchor behindDoc="0" distT="508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5"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 1,000,000 shares of common stock owned by Hodgson Ventures, a Texas limited partnership, of which Mr. Hodgson is the general partner, (b) 2,669,056 shares of common stock owned by the Hodgson 2015 Grandchild’s Trust, of which Mr. Hodgson shares voting and investment power with respect to such shares, and (c) 100,000 shares of common stock owned by Cusach, Inc., which Mr. Hodgson controls. Mr. Hodgson retired from the Company in July 2026. </w:t>
      </w:r>
      <w:r>
        <mc:AlternateContent>
          <mc:Choice Requires="wps">
            <w:drawing>
              <wp:anchor behindDoc="0" distT="5080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46"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Messrs. Shipley, Langbert, Ferguson and Stouder and Ms. Howton. Messrs. Hodgson, Bates, Fiedelman and Arrington are included in the table as named executive officers but are not included in the group, as none is a current director or executive officer. </w:t>
      </w:r>
      <w:r>
        <mc:AlternateContent>
          <mc:Choice Requires="wps">
            <w:drawing>
              <wp:anchor behindDoc="0" distT="508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47"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Exchange Act requires that our directors and executive officers, and persons who own more than 10% of our common stock, file with the SEC initial statements of beneficial ownership of common stock and statements of changes in beneficial ownership of common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best of our knowledge based solely on a review of Forms 3, 4 and 5 (and any amendments thereof) received by us during or with respect to the year ended December 31, 2025, the following persons failed to file, on a timely basis, the identified reports required by Section 16(a) of the Exchange Act during fiscal year ended December 31, 2025: </w:t>
      </w:r>
    </w:p>
    <w:tbl>
      <w:tblPr>
        <w:tblW w:w="7822" w:type="dxa"/>
        <w:jc w:val="left"/>
        <w:tblInd w:w="1393" w:type="dxa"/>
        <w:tblLayout w:type="fixed"/>
        <w:tblCellMar>
          <w:top w:w="0" w:type="dxa"/>
          <w:left w:w="0" w:type="dxa"/>
          <w:bottom w:w="43" w:type="dxa"/>
          <w:right w:w="0" w:type="dxa"/>
        </w:tblCellMar>
      </w:tblPr>
      <w:tblGrid>
        <w:gridCol w:w="2942"/>
        <w:gridCol w:w="109"/>
        <w:gridCol w:w="109"/>
        <w:gridCol w:w="265"/>
        <w:gridCol w:w="265"/>
        <w:gridCol w:w="551"/>
        <w:gridCol w:w="270"/>
        <w:gridCol w:w="109"/>
        <w:gridCol w:w="109"/>
        <w:gridCol w:w="280"/>
        <w:gridCol w:w="280"/>
        <w:gridCol w:w="583"/>
        <w:gridCol w:w="284"/>
        <w:gridCol w:w="109"/>
        <w:gridCol w:w="109"/>
        <w:gridCol w:w="209"/>
        <w:gridCol w:w="209"/>
        <w:gridCol w:w="665"/>
        <w:gridCol w:w="211"/>
        <w:gridCol w:w="154"/>
      </w:tblGrid>
      <w:tr>
        <w:trPr/>
        <w:tc>
          <w:tcPr>
            <w:tcW w:w="2942"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Late Reports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Transactions </w:t>
              <w:br/>
              <w:t xml:space="preserve">Not Reported </w:t>
              <w:br/>
              <w:t xml:space="preserve">in a Timely </w:t>
              <w:br/>
              <w:t xml:space="preserve">Manner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Reports Not </w:t>
              <w:br/>
              <w:t xml:space="preserve">Filed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42" w:type="dxa"/>
            <w:tcBorders/>
            <w:shd w:fill="CCEEFF" w:val="clear"/>
            <w:tcMar>
              <w:bottom w:w="0" w:type="dxa"/>
            </w:tcMar>
            <w:vAlign w:val="center"/>
          </w:tcPr>
          <w:p>
            <w:pPr>
              <w:pStyle w:val="TableContents"/>
              <w:bidi w:val="0"/>
              <w:spacing w:before="0" w:after="0"/>
              <w:jc w:val="left"/>
              <w:rPr>
                <w:spacing w:val="4"/>
              </w:rPr>
            </w:pPr>
            <w:r>
              <w:rPr>
                <w:spacing w:val="4"/>
              </w:rPr>
              <w:t xml:space="preserve">Jon A. Langbert, CFO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551" w:type="dxa"/>
            <w:tcBorders/>
            <w:shd w:fill="CCEEFF" w:val="clear"/>
            <w:tcMar>
              <w:bottom w:w="0" w:type="dxa"/>
            </w:tcMar>
            <w:vAlign w:val="center"/>
          </w:tcPr>
          <w:p>
            <w:pPr>
              <w:pStyle w:val="TableContents"/>
              <w:bidi w:val="0"/>
              <w:spacing w:before="0" w:after="283"/>
              <w:jc w:val="right"/>
              <w:rPr/>
            </w:pPr>
            <w:r>
              <w:rPr/>
              <w:t>2</w:t>
            </w:r>
          </w:p>
        </w:tc>
        <w:tc>
          <w:tcPr>
            <w:tcW w:w="2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80" w:type="dxa"/>
            <w:tcBorders/>
            <w:shd w:fill="CCEEFF" w:val="clear"/>
            <w:tcMar>
              <w:bottom w:w="0" w:type="dxa"/>
            </w:tcMar>
            <w:vAlign w:val="center"/>
          </w:tcPr>
          <w:p>
            <w:pPr>
              <w:pStyle w:val="TableContents"/>
              <w:bidi w:val="0"/>
              <w:spacing w:before="0" w:after="283"/>
              <w:jc w:val="left"/>
              <w:rPr/>
            </w:pPr>
            <w:r>
              <w:rPr/>
              <w:t>​</w:t>
            </w:r>
          </w:p>
        </w:tc>
        <w:tc>
          <w:tcPr>
            <w:tcW w:w="28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1</w:t>
            </w:r>
          </w:p>
        </w:tc>
        <w:tc>
          <w:tcPr>
            <w:tcW w:w="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42" w:type="dxa"/>
            <w:tcBorders/>
            <w:tcMar>
              <w:bottom w:w="0" w:type="dxa"/>
            </w:tcMar>
            <w:vAlign w:val="center"/>
          </w:tcPr>
          <w:p>
            <w:pPr>
              <w:pStyle w:val="TableContents"/>
              <w:bidi w:val="0"/>
              <w:spacing w:before="0" w:after="0"/>
              <w:jc w:val="left"/>
              <w:rPr>
                <w:spacing w:val="4"/>
              </w:rPr>
            </w:pPr>
            <w:r>
              <w:rPr>
                <w:spacing w:val="4"/>
              </w:rPr>
              <w:t xml:space="preserve">Brian J. Ferguson,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1</w:t>
            </w:r>
          </w:p>
        </w:tc>
        <w:tc>
          <w:tcPr>
            <w:tcW w:w="2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 w:type="dxa"/>
            <w:tcBorders/>
            <w:tcMar>
              <w:bottom w:w="0" w:type="dxa"/>
            </w:tcMar>
            <w:vAlign w:val="center"/>
          </w:tcPr>
          <w:p>
            <w:pPr>
              <w:pStyle w:val="TableContents"/>
              <w:bidi w:val="0"/>
              <w:spacing w:before="0" w:after="283"/>
              <w:jc w:val="left"/>
              <w:rPr/>
            </w:pPr>
            <w:r>
              <w:rPr/>
              <w:t>​</w:t>
            </w:r>
          </w:p>
        </w:tc>
        <w:tc>
          <w:tcPr>
            <w:tcW w:w="28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1</w:t>
            </w:r>
          </w:p>
        </w:tc>
        <w:tc>
          <w:tcPr>
            <w:tcW w:w="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42" w:type="dxa"/>
            <w:tcBorders/>
            <w:shd w:fill="CCEEFF" w:val="clear"/>
            <w:tcMar>
              <w:bottom w:w="0" w:type="dxa"/>
            </w:tcMar>
            <w:vAlign w:val="center"/>
          </w:tcPr>
          <w:p>
            <w:pPr>
              <w:pStyle w:val="TableContents"/>
              <w:bidi w:val="0"/>
              <w:spacing w:before="0" w:after="0"/>
              <w:jc w:val="left"/>
              <w:rPr>
                <w:spacing w:val="4"/>
              </w:rPr>
            </w:pPr>
            <w:r>
              <w:rPr>
                <w:spacing w:val="4"/>
              </w:rPr>
              <w:t xml:space="preserve">Skyler M. Howton, 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551" w:type="dxa"/>
            <w:tcBorders/>
            <w:shd w:fill="CCEEFF" w:val="clear"/>
            <w:tcMar>
              <w:bottom w:w="0" w:type="dxa"/>
            </w:tcMar>
            <w:vAlign w:val="center"/>
          </w:tcPr>
          <w:p>
            <w:pPr>
              <w:pStyle w:val="TableContents"/>
              <w:bidi w:val="0"/>
              <w:spacing w:before="0" w:after="283"/>
              <w:jc w:val="right"/>
              <w:rPr/>
            </w:pPr>
            <w:r>
              <w:rPr/>
              <w:t>1</w:t>
            </w:r>
          </w:p>
        </w:tc>
        <w:tc>
          <w:tcPr>
            <w:tcW w:w="2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80" w:type="dxa"/>
            <w:tcBorders/>
            <w:shd w:fill="CCEEFF" w:val="clear"/>
            <w:tcMar>
              <w:bottom w:w="0" w:type="dxa"/>
            </w:tcMar>
            <w:vAlign w:val="center"/>
          </w:tcPr>
          <w:p>
            <w:pPr>
              <w:pStyle w:val="TableContents"/>
              <w:bidi w:val="0"/>
              <w:spacing w:before="0" w:after="283"/>
              <w:jc w:val="left"/>
              <w:rPr/>
            </w:pPr>
            <w:r>
              <w:rPr/>
              <w:t>​</w:t>
            </w:r>
          </w:p>
        </w:tc>
        <w:tc>
          <w:tcPr>
            <w:tcW w:w="28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1</w:t>
            </w:r>
          </w:p>
        </w:tc>
        <w:tc>
          <w:tcPr>
            <w:tcW w:w="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42" w:type="dxa"/>
            <w:tcBorders/>
            <w:tcMar>
              <w:bottom w:w="0" w:type="dxa"/>
            </w:tcMar>
            <w:vAlign w:val="center"/>
          </w:tcPr>
          <w:p>
            <w:pPr>
              <w:pStyle w:val="TableContents"/>
              <w:bidi w:val="0"/>
              <w:spacing w:before="0" w:after="0"/>
              <w:jc w:val="left"/>
              <w:rPr>
                <w:spacing w:val="4"/>
              </w:rPr>
            </w:pPr>
            <w:r>
              <w:rPr>
                <w:spacing w:val="4"/>
              </w:rPr>
              <w:t xml:space="preserve">Jeffrey K. Stouder,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1</w:t>
            </w:r>
          </w:p>
        </w:tc>
        <w:tc>
          <w:tcPr>
            <w:tcW w:w="2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 w:type="dxa"/>
            <w:tcBorders/>
            <w:tcMar>
              <w:bottom w:w="0" w:type="dxa"/>
            </w:tcMar>
            <w:vAlign w:val="center"/>
          </w:tcPr>
          <w:p>
            <w:pPr>
              <w:pStyle w:val="TableContents"/>
              <w:bidi w:val="0"/>
              <w:spacing w:before="0" w:after="283"/>
              <w:jc w:val="left"/>
              <w:rPr/>
            </w:pPr>
            <w:r>
              <w:rPr/>
              <w:t>​</w:t>
            </w:r>
          </w:p>
        </w:tc>
        <w:tc>
          <w:tcPr>
            <w:tcW w:w="28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1</w:t>
            </w:r>
          </w:p>
        </w:tc>
        <w:tc>
          <w:tcPr>
            <w:tcW w:w="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MAN"/>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Officers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executive officers are: </w:t>
      </w:r>
    </w:p>
    <w:tbl>
      <w:tblPr>
        <w:tblW w:w="8812" w:type="dxa"/>
        <w:jc w:val="left"/>
        <w:tblInd w:w="1393" w:type="dxa"/>
        <w:tblLayout w:type="fixed"/>
        <w:tblCellMar>
          <w:top w:w="0" w:type="dxa"/>
          <w:left w:w="0" w:type="dxa"/>
          <w:bottom w:w="50" w:type="dxa"/>
          <w:right w:w="0" w:type="dxa"/>
        </w:tblCellMar>
      </w:tblPr>
      <w:tblGrid>
        <w:gridCol w:w="2058"/>
        <w:gridCol w:w="109"/>
        <w:gridCol w:w="109"/>
        <w:gridCol w:w="563"/>
        <w:gridCol w:w="109"/>
        <w:gridCol w:w="109"/>
        <w:gridCol w:w="5599"/>
        <w:gridCol w:w="156"/>
      </w:tblGrid>
      <w:tr>
        <w:trPr/>
        <w:tc>
          <w:tcPr>
            <w:tcW w:w="205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3"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599" w:type="dxa"/>
            <w:tcBorders>
              <w:bottom w:val="single" w:sz="2" w:space="0" w:color="000000"/>
            </w:tcBorders>
            <w:vAlign w:val="center"/>
          </w:tcPr>
          <w:p>
            <w:pPr>
              <w:pStyle w:val="TableContents"/>
              <w:bidi w:val="0"/>
              <w:spacing w:before="0" w:after="0"/>
              <w:jc w:val="center"/>
              <w:rPr>
                <w:spacing w:val="-3"/>
              </w:rPr>
            </w:pPr>
            <w:r>
              <w:rPr>
                <w:spacing w:val="-3"/>
              </w:rPr>
              <w:t xml:space="preserve">Position with the Company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58" w:type="dxa"/>
            <w:tcBorders/>
            <w:tcMar>
              <w:bottom w:w="0" w:type="dxa"/>
            </w:tcMar>
            <w:vAlign w:val="center"/>
          </w:tcPr>
          <w:p>
            <w:pPr>
              <w:pStyle w:val="TableContents"/>
              <w:bidi w:val="0"/>
              <w:spacing w:before="0" w:after="283"/>
              <w:jc w:val="left"/>
              <w:rPr>
                <w:spacing w:val="4"/>
              </w:rPr>
            </w:pPr>
            <w:r>
              <w:rPr>
                <w:spacing w:val="4"/>
              </w:rPr>
              <w:t xml:space="preserve">Kenneth E. Shipley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 w:type="dxa"/>
            <w:tcBorders/>
            <w:tcMar>
              <w:bottom w:w="0" w:type="dxa"/>
            </w:tcMar>
            <w:vAlign w:val="center"/>
          </w:tcPr>
          <w:p>
            <w:pPr>
              <w:pStyle w:val="TableContents"/>
              <w:bidi w:val="0"/>
              <w:spacing w:before="0" w:after="0"/>
              <w:jc w:val="center"/>
              <w:rPr>
                <w:spacing w:val="4"/>
              </w:rPr>
            </w:pPr>
            <w:r>
              <w:rPr>
                <w:spacing w:val="4"/>
              </w:rPr>
              <w:t xml:space="preserve">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9" w:type="dxa"/>
            <w:tcBorders/>
            <w:tcMar>
              <w:bottom w:w="0" w:type="dxa"/>
            </w:tcMar>
            <w:vAlign w:val="center"/>
          </w:tcPr>
          <w:p>
            <w:pPr>
              <w:pStyle w:val="TableContents"/>
              <w:bidi w:val="0"/>
              <w:spacing w:before="0" w:after="283"/>
              <w:jc w:val="left"/>
              <w:rPr>
                <w:spacing w:val="4"/>
              </w:rPr>
            </w:pPr>
            <w:r>
              <w:rPr>
                <w:spacing w:val="4"/>
              </w:rPr>
              <w:t xml:space="preserve">Co-Founder, Board member and Chief Executive Officer </w:t>
            </w:r>
          </w:p>
        </w:tc>
        <w:tc>
          <w:tcPr>
            <w:tcW w:w="156" w:type="dxa"/>
            <w:tcBorders/>
            <w:tcMar>
              <w:bottom w:w="0" w:type="dxa"/>
            </w:tcMar>
            <w:vAlign w:val="center"/>
          </w:tcPr>
          <w:p>
            <w:pPr>
              <w:pStyle w:val="TableContents"/>
              <w:bidi w:val="0"/>
              <w:spacing w:before="0" w:after="283"/>
              <w:jc w:val="left"/>
              <w:rPr/>
            </w:pPr>
            <w:r>
              <w:rPr/>
              <w:t>​</w:t>
            </w:r>
          </w:p>
        </w:tc>
      </w:tr>
      <w:tr>
        <w:trPr/>
        <w:tc>
          <w:tcPr>
            <w:tcW w:w="2058" w:type="dxa"/>
            <w:tcBorders/>
            <w:tcMar>
              <w:bottom w:w="0" w:type="dxa"/>
            </w:tcMar>
            <w:vAlign w:val="center"/>
          </w:tcPr>
          <w:p>
            <w:pPr>
              <w:pStyle w:val="TableContents"/>
              <w:bidi w:val="0"/>
              <w:spacing w:before="0" w:after="283"/>
              <w:jc w:val="left"/>
              <w:rPr>
                <w:spacing w:val="4"/>
              </w:rPr>
            </w:pPr>
            <w:r>
              <w:rPr>
                <w:spacing w:val="4"/>
              </w:rPr>
              <w:t xml:space="preserve">Jon A. Langbert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3" w:type="dxa"/>
            <w:tcBorders/>
            <w:tcMar>
              <w:bottom w:w="0" w:type="dxa"/>
            </w:tcMar>
            <w:vAlign w:val="center"/>
          </w:tcPr>
          <w:p>
            <w:pPr>
              <w:pStyle w:val="TableContents"/>
              <w:bidi w:val="0"/>
              <w:spacing w:before="0" w:after="0"/>
              <w:jc w:val="center"/>
              <w:rPr>
                <w:spacing w:val="4"/>
              </w:rPr>
            </w:pPr>
            <w:r>
              <w:rPr>
                <w:spacing w:val="4"/>
              </w:rPr>
              <w:t xml:space="preserve">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9" w:type="dxa"/>
            <w:tcBorders/>
            <w:tcMar>
              <w:bottom w:w="0" w:type="dxa"/>
            </w:tcMar>
            <w:vAlign w:val="center"/>
          </w:tcPr>
          <w:p>
            <w:pPr>
              <w:pStyle w:val="TableContents"/>
              <w:bidi w:val="0"/>
              <w:spacing w:before="0" w:after="283"/>
              <w:jc w:val="left"/>
              <w:rPr/>
            </w:pPr>
            <w:r>
              <w:rPr>
                <w:spacing w:val="4"/>
              </w:rPr>
              <w:t>Chief Financial Officer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“Proposal 1 — Election of Directors” above for biographical information concerning Mr. Shipley.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Jon A. Langbert</w:t>
      </w:r>
      <w:r>
        <w:rPr>
          <w:rFonts w:ascii="Times New Roman;Times;serif" w:hAnsi="Times New Roman;Times;serif"/>
          <w:b w:val="false"/>
          <w:i w:val="false"/>
          <w:caps w:val="false"/>
          <w:smallCaps w:val="false"/>
          <w:color w:val="000000"/>
          <w:spacing w:val="4"/>
          <w:sz w:val="20"/>
        </w:rPr>
        <w:t xml:space="preserve"> has served as our Chief Financial Officer since December 2025. Before joining our company, Mr. Langbert provided advisory services to and invested in early-stage companies. Mr. Langbert served as the President of Plush Suites, which developed an all-suite, upscale extended-stay hotel product, from June 2016 to March 2023, and was the owner of Langbert Financial, a privately held factoring company with additional interests in franchise ownership and development, from November 2002 to May 2016. Mr. Langbert also founded Alight, a venture capital-backed internet retailer, in 1999, and Consolidated Route, a large route operator of gaming equipment, in 1995. Mr. Langbert began his career in finance and accounting with Electronic Data Systems (now HP Enterprise Services), at which time he earned a Certified Management Accountant certification. Mr. Langbert obtained a BBA degree in Finance with Honors from The University of Texas at Austin and an MBA from Harvard Business School.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EXC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Executive Summary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which includes our independent directors, oversees an executive compensation program that is intended to align the interests of our executive officers with those of our stockholders, link compensation paid with performance achieved, and attract, retain and motivate our key executives.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(“NEOs”) are shown in the Summary Compensation Table below and include (i) all persons serving as our principal executive officer during the year ended December 31, 2025, (ii) our two other most highly compensated executive officers who were serving as executive officers as of December 31, 2025, other than our principal executive officer, and (iii) two additional individuals for whom disclosure would have been required but for the fact that such individuals were not serving as executive officers as of December 31, 2025.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compensation of our executive officers consists of a base salary and a discretionary bonus. The purpose of the base salary is to provide a fixed amount of cash compensation that is not variable and is generally competitive with market practices. The purpose of the bonus is to provide a variable cash incentive based on performance. In addition, our former chief executive officer and former chief financial officer each received stock option grants upon hire (as disclosed in our Form 8-K filings). In 2025, the annual compensation of our two co-founders, Mr. Hodgson and Mr. Shipley, was nominal as their significant equity positions in our company drives their total compensation. We do not have a formal compensation plan.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Risk Considerations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considered whether our executive compensation program creates risks that are reasonably likely to have a material adverse effect on the Company and concluded that it does not. In reaching its conclusion, the Committee considered the Company’s strategic goals and operational practices and evaluated the design of its compensation programs to assess whether these programs foster a business environment that might drive inappropriate decision-making or behavior. The majority of our management’s cash compensation typically consists primarily of base salary, which we believe mitigates inappropriate or excessive risk-taking that could harm stockholder value. To the extent that executives receive equity incentive awards, historically such awards have been long-term awards that were intended to align executives’ interests with those of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none of our NEOs had written employment agreements. Messrs. Hodgson and Shipley, in consultation with our independent directors, have each agreed to receive a salary as our Executive Chairman and Chief Executive Officer, respectively, at a rate of $50,000 per year. Mr. Shipley works full-time for our company and there is no set term for his employment. Mr. Hodgson retired from his position as Executive Chairman, effective July 21, 2026. Mr. Langbert became our Chief Financial Officer in December 2025. He works full-time for our company and there is no set term for his employment. He currently receives a monthly salary of $10,000.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NEOs participate in the same employee benefit plans that are made available to the Company’s employees generally. We do not provide a defined benefit pension plan for our NEOs or other employees. Our currently employed NEOs are eligible to participate in our 401(k) plan on the same terms as are generally provided to our full-time employees. The Company provides matching contributions in respect of a portion of the participant’s elective deferrals under the 401(k) plan. We do not provide any nonqualified deferred compensation plans for our NEOs.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adopted an executive compensation clawback policy in December 2023, that provides for the recoupment from certain executives of incentive compensation in the event of an accounting restatement or the occurrence of other clawback events described in the policy. The policy is designed to deter and prevent detrimental conduct and to protect our investors from financial misconduct.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shows the compensation paid to or earned by our NEOs for the years ended December 31, 2025 and December 31, 2024 and the positions such NEOs held during the year ended December 31, 2025. </w:t>
      </w:r>
    </w:p>
    <w:tbl>
      <w:tblPr>
        <w:tblW w:w="10547" w:type="dxa"/>
        <w:jc w:val="left"/>
        <w:tblInd w:w="1393" w:type="dxa"/>
        <w:tblLayout w:type="fixed"/>
        <w:tblCellMar>
          <w:top w:w="0" w:type="dxa"/>
          <w:left w:w="0" w:type="dxa"/>
          <w:bottom w:w="43" w:type="dxa"/>
          <w:right w:w="0" w:type="dxa"/>
        </w:tblCellMar>
      </w:tblPr>
      <w:tblGrid>
        <w:gridCol w:w="943"/>
        <w:gridCol w:w="109"/>
        <w:gridCol w:w="109"/>
        <w:gridCol w:w="109"/>
        <w:gridCol w:w="109"/>
        <w:gridCol w:w="586"/>
        <w:gridCol w:w="109"/>
        <w:gridCol w:w="109"/>
        <w:gridCol w:w="109"/>
        <w:gridCol w:w="109"/>
        <w:gridCol w:w="109"/>
        <w:gridCol w:w="886"/>
        <w:gridCol w:w="109"/>
        <w:gridCol w:w="109"/>
        <w:gridCol w:w="109"/>
        <w:gridCol w:w="109"/>
        <w:gridCol w:w="109"/>
        <w:gridCol w:w="766"/>
        <w:gridCol w:w="109"/>
        <w:gridCol w:w="109"/>
        <w:gridCol w:w="109"/>
        <w:gridCol w:w="136"/>
        <w:gridCol w:w="136"/>
        <w:gridCol w:w="432"/>
        <w:gridCol w:w="137"/>
        <w:gridCol w:w="109"/>
        <w:gridCol w:w="109"/>
        <w:gridCol w:w="109"/>
        <w:gridCol w:w="109"/>
        <w:gridCol w:w="886"/>
        <w:gridCol w:w="109"/>
        <w:gridCol w:w="109"/>
        <w:gridCol w:w="109"/>
        <w:gridCol w:w="232"/>
        <w:gridCol w:w="232"/>
        <w:gridCol w:w="739"/>
        <w:gridCol w:w="235"/>
        <w:gridCol w:w="109"/>
        <w:gridCol w:w="109"/>
        <w:gridCol w:w="109"/>
        <w:gridCol w:w="109"/>
        <w:gridCol w:w="886"/>
        <w:gridCol w:w="109"/>
        <w:gridCol w:w="154"/>
      </w:tblGrid>
      <w:tr>
        <w:trPr/>
        <w:tc>
          <w:tcPr>
            <w:tcW w:w="943" w:type="dxa"/>
            <w:tcBorders>
              <w:bottom w:val="single" w:sz="2" w:space="0" w:color="000000"/>
            </w:tcBorders>
            <w:vAlign w:val="center"/>
          </w:tcPr>
          <w:p>
            <w:pPr>
              <w:pStyle w:val="TableContents"/>
              <w:bidi w:val="0"/>
              <w:spacing w:before="0" w:after="0"/>
              <w:jc w:val="left"/>
              <w:rPr>
                <w:spacing w:val="-3"/>
              </w:rPr>
            </w:pPr>
            <w:r>
              <w:rPr>
                <w:spacing w:val="-3"/>
              </w:rPr>
              <w:t xml:space="preserve">Name and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Bonus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Stock </w:t>
              <w:br/>
              <w:t xml:space="preserve">Awards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 Other </w:t>
              <w:br/>
              <w:t xml:space="preserve">Compensation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43"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 xml:space="preserve">Curtis D. Hodgson </w:t>
              <w:br/>
              <w:t>Executive Chairman of the Board</w:t>
            </w:r>
            <w:r>
              <w:rPr>
                <w:spacing w:val="3"/>
                <w:szCs w:val="13"/>
              </w:rPr>
              <w:t>﻿</w:t>
            </w:r>
            <w:r>
              <w:rPr>
                <w:spacing w:val="3"/>
                <w:sz w:val="13"/>
              </w:rPr>
              <w:t>(2)</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lineRule="atLeast" w:line="240" w:before="0" w:after="283"/>
              <w:jc w:val="right"/>
              <w:rPr/>
            </w:pPr>
            <w:r>
              <w:rPr/>
              <w:t>​</w:t>
            </w:r>
          </w:p>
        </w:tc>
        <w:tc>
          <w:tcPr>
            <w:tcW w:w="432" w:type="dxa"/>
            <w:tcBorders/>
            <w:shd w:fill="CCEEFF" w:val="clear"/>
            <w:tcMar>
              <w:bottom w:w="0" w:type="dxa"/>
            </w:tcMar>
            <w:vAlign w:val="center"/>
          </w:tcPr>
          <w:p>
            <w:pPr>
              <w:pStyle w:val="TableContents"/>
              <w:bidi w:val="0"/>
              <w:spacing w:lineRule="atLeast" w:line="240"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lineRule="atLeast" w:line="240" w:before="0" w:after="283"/>
              <w:jc w:val="right"/>
              <w:rPr/>
            </w:pPr>
            <w:r>
              <w:rPr/>
              <w:t>​</w:t>
            </w:r>
          </w:p>
        </w:tc>
        <w:tc>
          <w:tcPr>
            <w:tcW w:w="739" w:type="dxa"/>
            <w:tcBorders/>
            <w:shd w:fill="CCEEFF" w:val="clear"/>
            <w:tcMar>
              <w:bottom w:w="0" w:type="dxa"/>
            </w:tcMar>
            <w:vAlign w:val="center"/>
          </w:tcPr>
          <w:p>
            <w:pPr>
              <w:pStyle w:val="TableContents"/>
              <w:bidi w:val="0"/>
              <w:spacing w:lineRule="atLeast" w:line="240"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4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119,423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119,423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43"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 xml:space="preserve">Kenneth E. Shipley </w:t>
              <w:br/>
              <w:t>Chief Executive Officer and Director</w:t>
            </w:r>
            <w:r>
              <w:rPr>
                <w:spacing w:val="3"/>
                <w:szCs w:val="13"/>
              </w:rPr>
              <w:t>﻿</w:t>
            </w:r>
            <w:r>
              <w:rPr>
                <w:spacing w:val="3"/>
                <w:sz w:val="13"/>
              </w:rPr>
              <w:t>(3)</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lineRule="atLeast" w:line="240" w:before="0" w:after="283"/>
              <w:jc w:val="right"/>
              <w:rPr/>
            </w:pPr>
            <w:r>
              <w:rPr/>
              <w:t>​</w:t>
            </w:r>
          </w:p>
        </w:tc>
        <w:tc>
          <w:tcPr>
            <w:tcW w:w="432" w:type="dxa"/>
            <w:tcBorders/>
            <w:tcMar>
              <w:bottom w:w="0" w:type="dxa"/>
            </w:tcMar>
            <w:vAlign w:val="center"/>
          </w:tcPr>
          <w:p>
            <w:pPr>
              <w:pStyle w:val="TableContents"/>
              <w:bidi w:val="0"/>
              <w:spacing w:lineRule="atLeast" w:line="240"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lineRule="atLeast" w:line="240" w:before="0" w:after="283"/>
              <w:jc w:val="right"/>
              <w:rPr/>
            </w:pPr>
            <w:r>
              <w:rPr/>
              <w:t>​</w:t>
            </w:r>
          </w:p>
        </w:tc>
        <w:tc>
          <w:tcPr>
            <w:tcW w:w="739" w:type="dxa"/>
            <w:tcBorders/>
            <w:tcMar>
              <w:bottom w:w="0" w:type="dxa"/>
            </w:tcMar>
            <w:vAlign w:val="center"/>
          </w:tcPr>
          <w:p>
            <w:pPr>
              <w:pStyle w:val="TableContents"/>
              <w:bidi w:val="0"/>
              <w:spacing w:lineRule="atLeast" w:line="240"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4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43"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 xml:space="preserve">R. Duncan Bates </w:t>
              <w:br/>
              <w:t xml:space="preserve">Former President and </w:t>
              <w:br/>
              <w:t>Chief Executive Officer</w:t>
            </w:r>
            <w:r>
              <w:rPr>
                <w:spacing w:val="3"/>
                <w:szCs w:val="13"/>
              </w:rPr>
              <w:t>﻿</w:t>
            </w:r>
            <w:r>
              <w:rPr>
                <w:spacing w:val="3"/>
                <w:sz w:val="13"/>
              </w:rPr>
              <w:t>(4)</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284,699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lineRule="atLeast" w:line="240" w:before="0" w:after="283"/>
              <w:jc w:val="right"/>
              <w:rPr/>
            </w:pPr>
            <w:r>
              <w:rPr/>
              <w:t>​</w:t>
            </w:r>
          </w:p>
        </w:tc>
        <w:tc>
          <w:tcPr>
            <w:tcW w:w="432" w:type="dxa"/>
            <w:tcBorders/>
            <w:shd w:fill="CCEEFF" w:val="clear"/>
            <w:tcMar>
              <w:bottom w:w="0" w:type="dxa"/>
            </w:tcMar>
            <w:vAlign w:val="center"/>
          </w:tcPr>
          <w:p>
            <w:pPr>
              <w:pStyle w:val="TableContents"/>
              <w:bidi w:val="0"/>
              <w:spacing w:lineRule="atLeast" w:line="240"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lineRule="atLeast" w:line="240" w:before="0" w:after="283"/>
              <w:jc w:val="right"/>
              <w:rPr/>
            </w:pPr>
            <w:r>
              <w:rPr/>
              <w:t>​</w:t>
            </w:r>
          </w:p>
        </w:tc>
        <w:tc>
          <w:tcPr>
            <w:tcW w:w="739" w:type="dxa"/>
            <w:tcBorders/>
            <w:shd w:fill="CCEEFF" w:val="clear"/>
            <w:tcMar>
              <w:bottom w:w="0" w:type="dxa"/>
            </w:tcMar>
            <w:vAlign w:val="center"/>
          </w:tcPr>
          <w:p>
            <w:pPr>
              <w:pStyle w:val="TableContents"/>
              <w:bidi w:val="0"/>
              <w:spacing w:lineRule="atLeast" w:line="240"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354,699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4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43"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 xml:space="preserve">Jon A. Langbert </w:t>
              <w:br/>
              <w:t>Chief Financial Officer</w:t>
            </w:r>
            <w:r>
              <w:rPr>
                <w:spacing w:val="3"/>
                <w:szCs w:val="13"/>
              </w:rPr>
              <w:t>﻿</w:t>
            </w:r>
            <w:r>
              <w:rPr>
                <w:spacing w:val="3"/>
                <w:sz w:val="13"/>
              </w:rPr>
              <w:t>(5)</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lineRule="atLeast" w:line="240" w:before="0" w:after="283"/>
              <w:jc w:val="right"/>
              <w:rPr/>
            </w:pPr>
            <w:r>
              <w:rPr/>
              <w:t>​</w:t>
            </w:r>
          </w:p>
        </w:tc>
        <w:tc>
          <w:tcPr>
            <w:tcW w:w="432" w:type="dxa"/>
            <w:tcBorders/>
            <w:tcMar>
              <w:bottom w:w="0" w:type="dxa"/>
            </w:tcMar>
            <w:vAlign w:val="center"/>
          </w:tcPr>
          <w:p>
            <w:pPr>
              <w:pStyle w:val="TableContents"/>
              <w:bidi w:val="0"/>
              <w:spacing w:lineRule="atLeast" w:line="240"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184,106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lineRule="atLeast" w:line="240" w:before="0" w:after="283"/>
              <w:jc w:val="right"/>
              <w:rPr/>
            </w:pPr>
            <w:r>
              <w:rPr/>
              <w:t>​</w:t>
            </w:r>
          </w:p>
        </w:tc>
        <w:tc>
          <w:tcPr>
            <w:tcW w:w="739" w:type="dxa"/>
            <w:tcBorders/>
            <w:tcMar>
              <w:bottom w:w="0" w:type="dxa"/>
            </w:tcMar>
            <w:vAlign w:val="center"/>
          </w:tcPr>
          <w:p>
            <w:pPr>
              <w:pStyle w:val="TableContents"/>
              <w:bidi w:val="0"/>
              <w:spacing w:lineRule="atLeast" w:line="240"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184,106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4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43"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 xml:space="preserve">Jeffrey M. Fiedelman </w:t>
              <w:br/>
              <w:t>Former Chief Financial Officer</w:t>
            </w:r>
            <w:r>
              <w:rPr>
                <w:spacing w:val="3"/>
                <w:szCs w:val="13"/>
              </w:rPr>
              <w:t>﻿</w:t>
            </w:r>
            <w:r>
              <w:rPr>
                <w:spacing w:val="3"/>
                <w:sz w:val="13"/>
              </w:rPr>
              <w:t>(6)</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255,264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lineRule="atLeast" w:line="240" w:before="0" w:after="283"/>
              <w:jc w:val="right"/>
              <w:rPr/>
            </w:pPr>
            <w:r>
              <w:rPr/>
              <w:t>​</w:t>
            </w:r>
          </w:p>
        </w:tc>
        <w:tc>
          <w:tcPr>
            <w:tcW w:w="432" w:type="dxa"/>
            <w:tcBorders/>
            <w:shd w:fill="CCEEFF" w:val="clear"/>
            <w:tcMar>
              <w:bottom w:w="0" w:type="dxa"/>
            </w:tcMar>
            <w:vAlign w:val="center"/>
          </w:tcPr>
          <w:p>
            <w:pPr>
              <w:pStyle w:val="TableContents"/>
              <w:bidi w:val="0"/>
              <w:spacing w:lineRule="atLeast" w:line="240"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lineRule="atLeast" w:line="240" w:before="0" w:after="283"/>
              <w:jc w:val="right"/>
              <w:rPr/>
            </w:pPr>
            <w:r>
              <w:rPr/>
              <w:t>​</w:t>
            </w:r>
          </w:p>
        </w:tc>
        <w:tc>
          <w:tcPr>
            <w:tcW w:w="739" w:type="dxa"/>
            <w:tcBorders/>
            <w:shd w:fill="CCEEFF" w:val="clear"/>
            <w:tcMar>
              <w:bottom w:w="0" w:type="dxa"/>
            </w:tcMar>
            <w:vAlign w:val="center"/>
          </w:tcPr>
          <w:p>
            <w:pPr>
              <w:pStyle w:val="TableContents"/>
              <w:bidi w:val="0"/>
              <w:spacing w:lineRule="atLeast" w:line="240"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255,264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4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276,058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303,558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43"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 xml:space="preserve">Ronald C. Arrington </w:t>
              <w:br/>
              <w:t>Former Interim Chief Financial Officer</w:t>
            </w:r>
            <w:r>
              <w:rPr>
                <w:spacing w:val="3"/>
                <w:szCs w:val="13"/>
              </w:rPr>
              <w:t>﻿</w:t>
            </w:r>
            <w:r>
              <w:rPr>
                <w:spacing w:val="3"/>
                <w:sz w:val="13"/>
              </w:rPr>
              <w:t>(7)</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124,904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lineRule="atLeast" w:line="240" w:before="0" w:after="283"/>
              <w:jc w:val="right"/>
              <w:rPr/>
            </w:pPr>
            <w:r>
              <w:rPr/>
              <w:t>​</w:t>
            </w:r>
          </w:p>
        </w:tc>
        <w:tc>
          <w:tcPr>
            <w:tcW w:w="432" w:type="dxa"/>
            <w:tcBorders/>
            <w:tcMar>
              <w:bottom w:w="0" w:type="dxa"/>
            </w:tcMar>
            <w:vAlign w:val="center"/>
          </w:tcPr>
          <w:p>
            <w:pPr>
              <w:pStyle w:val="TableContents"/>
              <w:bidi w:val="0"/>
              <w:spacing w:lineRule="atLeast" w:line="240"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lineRule="atLeast" w:line="240" w:before="0" w:after="283"/>
              <w:jc w:val="right"/>
              <w:rPr/>
            </w:pPr>
            <w:r>
              <w:rPr/>
              <w:t>​</w:t>
            </w:r>
          </w:p>
        </w:tc>
        <w:tc>
          <w:tcPr>
            <w:tcW w:w="739" w:type="dxa"/>
            <w:tcBorders/>
            <w:tcMar>
              <w:bottom w:w="0" w:type="dxa"/>
            </w:tcMar>
            <w:vAlign w:val="center"/>
          </w:tcPr>
          <w:p>
            <w:pPr>
              <w:pStyle w:val="TableContents"/>
              <w:bidi w:val="0"/>
              <w:spacing w:lineRule="atLeast" w:line="240"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124,904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4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option awards granted in 2025 pursuant to our Plan (as defined below). The aggregate grant date fair value of such awards was calculated in accordance with FASB ASC Topic 718. These amounts do not represent actual amounts paid or to be realized. Amounts shown are not necessarily indicative of values to be achieved, which may be more or less than the amounts shown as awards are subject to time-based vesting. The assumptions used in calculating these amounts are discussed in Note 2 of the Notes to Financial Statements included in our Annual Report on Form 10-K for the year ended December 31, 2025. </w:t>
      </w:r>
      <w:r>
        <mc:AlternateContent>
          <mc:Choice Requires="wps">
            <w:drawing>
              <wp:anchor behindDoc="0" distT="1016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48"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Hodgson became Executive Chairman of the Board in October 2025. He retired from the Company in July 2026. </w:t>
      </w:r>
      <w:r>
        <mc:AlternateContent>
          <mc:Choice Requires="wps">
            <w:drawing>
              <wp:anchor behindDoc="0" distT="508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49"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Shipley became our Chief Executive Officer in October 2025. He was previously Chairman and Executive Vice President. </w:t>
      </w:r>
      <w:r>
        <mc:AlternateContent>
          <mc:Choice Requires="wps">
            <w:drawing>
              <wp:anchor behindDoc="0" distT="508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0"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Bates resigned as our Chief Executive Officer in October 2025. </w:t>
      </w:r>
      <w:r>
        <mc:AlternateContent>
          <mc:Choice Requires="wps">
            <w:drawing>
              <wp:anchor behindDoc="0" distT="508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1"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Langbert became our Chief Financial Officer in December 2025. </w:t>
      </w:r>
      <w:r>
        <mc:AlternateContent>
          <mc:Choice Requires="wps">
            <w:drawing>
              <wp:anchor behindDoc="0" distT="508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2"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Fiedelman resigned as our Chief Financial Officer in October 2025. </w:t>
      </w:r>
      <w:r>
        <mc:AlternateContent>
          <mc:Choice Requires="wps">
            <w:drawing>
              <wp:anchor behindDoc="0" distT="508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3"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Arrington served as our Interim Chief Financial Officer from October 2025 to December 2025. </w:t>
      </w:r>
      <w:r>
        <mc:AlternateContent>
          <mc:Choice Requires="wps">
            <w:drawing>
              <wp:anchor behindDoc="0" distT="508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4"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lists outstanding equity awards held by our NEOs as of December 31, 2025. </w:t>
      </w:r>
    </w:p>
    <w:tbl>
      <w:tblPr>
        <w:tblW w:w="13726" w:type="dxa"/>
        <w:jc w:val="left"/>
        <w:tblInd w:w="543" w:type="dxa"/>
        <w:tblLayout w:type="fixed"/>
        <w:tblCellMar>
          <w:top w:w="0" w:type="dxa"/>
          <w:left w:w="0" w:type="dxa"/>
          <w:bottom w:w="28" w:type="dxa"/>
          <w:right w:w="0" w:type="dxa"/>
        </w:tblCellMar>
      </w:tblPr>
      <w:tblGrid>
        <w:gridCol w:w="1188"/>
        <w:gridCol w:w="109"/>
        <w:gridCol w:w="109"/>
        <w:gridCol w:w="109"/>
        <w:gridCol w:w="109"/>
        <w:gridCol w:w="406"/>
        <w:gridCol w:w="109"/>
        <w:gridCol w:w="109"/>
        <w:gridCol w:w="109"/>
        <w:gridCol w:w="113"/>
        <w:gridCol w:w="113"/>
        <w:gridCol w:w="921"/>
        <w:gridCol w:w="114"/>
        <w:gridCol w:w="109"/>
        <w:gridCol w:w="109"/>
        <w:gridCol w:w="141"/>
        <w:gridCol w:w="141"/>
        <w:gridCol w:w="995"/>
        <w:gridCol w:w="143"/>
        <w:gridCol w:w="109"/>
        <w:gridCol w:w="109"/>
        <w:gridCol w:w="194"/>
        <w:gridCol w:w="194"/>
        <w:gridCol w:w="617"/>
        <w:gridCol w:w="196"/>
        <w:gridCol w:w="109"/>
        <w:gridCol w:w="109"/>
        <w:gridCol w:w="109"/>
        <w:gridCol w:w="109"/>
        <w:gridCol w:w="646"/>
        <w:gridCol w:w="109"/>
        <w:gridCol w:w="109"/>
        <w:gridCol w:w="109"/>
        <w:gridCol w:w="109"/>
        <w:gridCol w:w="109"/>
        <w:gridCol w:w="742"/>
        <w:gridCol w:w="109"/>
        <w:gridCol w:w="109"/>
        <w:gridCol w:w="109"/>
        <w:gridCol w:w="141"/>
        <w:gridCol w:w="141"/>
        <w:gridCol w:w="447"/>
        <w:gridCol w:w="142"/>
        <w:gridCol w:w="109"/>
        <w:gridCol w:w="109"/>
        <w:gridCol w:w="124"/>
        <w:gridCol w:w="124"/>
        <w:gridCol w:w="393"/>
        <w:gridCol w:w="125"/>
        <w:gridCol w:w="109"/>
        <w:gridCol w:w="109"/>
        <w:gridCol w:w="154"/>
        <w:gridCol w:w="154"/>
        <w:gridCol w:w="490"/>
        <w:gridCol w:w="157"/>
        <w:gridCol w:w="109"/>
        <w:gridCol w:w="109"/>
        <w:gridCol w:w="154"/>
        <w:gridCol w:w="154"/>
        <w:gridCol w:w="490"/>
        <w:gridCol w:w="157"/>
        <w:gridCol w:w="154"/>
      </w:tblGrid>
      <w:tr>
        <w:trPr/>
        <w:tc>
          <w:tcPr>
            <w:tcW w:w="1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96"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0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awards: </w:t>
              <w:br/>
              <w:t xml:space="preserve">Number of </w:t>
              <w:br/>
              <w:t xml:space="preserve">securities </w:t>
              <w:br/>
              <w:t xml:space="preserve">underlying </w:t>
              <w:br/>
              <w:t xml:space="preserve">unexercised </w:t>
              <w:br/>
              <w:t xml:space="preserve">unearned </w:t>
              <w:br/>
              <w:t xml:space="preserve">options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or </w:t>
              <w:br/>
              <w:t xml:space="preserve">Units of </w:t>
              <w:br/>
              <w:t xml:space="preserve">Stock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6"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Market </w:t>
              <w:br/>
              <w:t xml:space="preserve">Value of </w:t>
              <w:br/>
              <w:t xml:space="preserve">Shares </w:t>
              <w:br/>
              <w:t xml:space="preserve">or Units of </w:t>
              <w:br/>
              <w:t xml:space="preserve">Stock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awards: </w:t>
              <w:br/>
              <w:t xml:space="preserve">number of </w:t>
              <w:br/>
              <w:t xml:space="preserve">unearned </w:t>
              <w:br/>
              <w:t xml:space="preserve">shares, units </w:t>
              <w:br/>
              <w:t xml:space="preserve">or other </w:t>
              <w:br/>
              <w:t xml:space="preserve">rights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awards: </w:t>
              <w:br/>
              <w:t xml:space="preserve">market or </w:t>
              <w:br/>
              <w:t xml:space="preserve">payout </w:t>
              <w:br/>
              <w:t xml:space="preserve">value of </w:t>
              <w:br/>
              <w:t xml:space="preserve">unearned </w:t>
              <w:br/>
              <w:t xml:space="preserve">shares, units </w:t>
              <w:br/>
              <w:t xml:space="preserve">or other </w:t>
              <w:br/>
              <w:t xml:space="preserve">rights that </w:t>
              <w:br/>
              <w:t xml:space="preserve">have not </w:t>
              <w:br/>
              <w:t xml:space="preserve">vested </w:t>
              <w:b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8" w:type="dxa"/>
            <w:vMerge w:val="restart"/>
            <w:tcBorders/>
            <w:shd w:fill="CCEEFF" w:val="clear"/>
            <w:tcMar>
              <w:bottom w:w="0" w:type="dxa"/>
            </w:tcMar>
            <w:vAlign w:val="center"/>
          </w:tcPr>
          <w:p>
            <w:pPr>
              <w:pStyle w:val="TableContents"/>
              <w:bidi w:val="0"/>
              <w:spacing w:lineRule="atLeast" w:line="240" w:before="0" w:after="0"/>
              <w:jc w:val="left"/>
              <w:rPr/>
            </w:pPr>
            <w:r>
              <w:rPr>
                <w:spacing w:val="4"/>
              </w:rPr>
              <w:t>R. Duncan Bates</w:t>
            </w:r>
            <w:r>
              <w:rPr>
                <w:spacing w:val="3"/>
                <w:sz w:val="13"/>
              </w:rPr>
              <w:t>(1)</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406" w:type="dxa"/>
            <w:tcBorders/>
            <w:shd w:fill="CCEEFF" w:val="clear"/>
            <w:tcMar>
              <w:bottom w:w="0" w:type="dxa"/>
            </w:tcMar>
            <w:vAlign w:val="center"/>
          </w:tcPr>
          <w:p>
            <w:pPr>
              <w:pStyle w:val="TableContents"/>
              <w:bidi w:val="0"/>
              <w:spacing w:lineRule="atLeast" w:line="240" w:before="0" w:after="283"/>
              <w:jc w:val="right"/>
              <w:rPr/>
            </w:pPr>
            <w:r>
              <w:rPr/>
              <w:t>6/7/22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lineRule="atLeast" w:line="240" w:before="0" w:after="283"/>
              <w:jc w:val="right"/>
              <w:rPr/>
            </w:pPr>
            <w:r>
              <w:rPr/>
              <w:t>​</w:t>
            </w:r>
          </w:p>
        </w:tc>
        <w:tc>
          <w:tcPr>
            <w:tcW w:w="921" w:type="dxa"/>
            <w:tcBorders/>
            <w:shd w:fill="CCEEFF" w:val="clear"/>
            <w:tcMar>
              <w:bottom w:w="0" w:type="dxa"/>
            </w:tcMar>
            <w:vAlign w:val="center"/>
          </w:tcPr>
          <w:p>
            <w:pPr>
              <w:pStyle w:val="TableContents"/>
              <w:bidi w:val="0"/>
              <w:spacing w:lineRule="atLeast" w:line="240" w:before="0" w:after="283"/>
              <w:jc w:val="right"/>
              <w:rPr/>
            </w:pPr>
            <w:r>
              <w:rPr/>
              <w:t>6,246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lineRule="atLeast" w:line="240" w:before="0" w:after="283"/>
              <w:jc w:val="right"/>
              <w:rPr/>
            </w:pPr>
            <w:r>
              <w:rPr/>
              <w:t>​</w:t>
            </w:r>
          </w:p>
        </w:tc>
        <w:tc>
          <w:tcPr>
            <w:tcW w:w="995" w:type="dxa"/>
            <w:tcBorders/>
            <w:shd w:fill="CCEEFF" w:val="clear"/>
            <w:tcMar>
              <w:bottom w:w="0" w:type="dxa"/>
            </w:tcMar>
            <w:vAlign w:val="center"/>
          </w:tcPr>
          <w:p>
            <w:pPr>
              <w:pStyle w:val="TableContents"/>
              <w:bidi w:val="0"/>
              <w:spacing w:lineRule="atLeast" w:line="240"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lineRule="atLeast" w:line="240" w:before="0" w:after="283"/>
              <w:jc w:val="right"/>
              <w:rPr/>
            </w:pPr>
            <w:r>
              <w:rPr/>
              <w:t>​</w:t>
            </w:r>
          </w:p>
        </w:tc>
        <w:tc>
          <w:tcPr>
            <w:tcW w:w="617" w:type="dxa"/>
            <w:tcBorders/>
            <w:shd w:fill="CCEEFF" w:val="clear"/>
            <w:tcMar>
              <w:bottom w:w="0" w:type="dxa"/>
            </w:tcMar>
            <w:vAlign w:val="center"/>
          </w:tcPr>
          <w:p>
            <w:pPr>
              <w:pStyle w:val="TableContents"/>
              <w:bidi w:val="0"/>
              <w:spacing w:lineRule="atLeast" w:line="240"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46" w:type="dxa"/>
            <w:tcBorders/>
            <w:shd w:fill="CCEEFF" w:val="clear"/>
            <w:tcMar>
              <w:bottom w:w="0" w:type="dxa"/>
            </w:tcMar>
            <w:vAlign w:val="center"/>
          </w:tcPr>
          <w:p>
            <w:pPr>
              <w:pStyle w:val="TableContents"/>
              <w:bidi w:val="0"/>
              <w:spacing w:lineRule="atLeast" w:line="240" w:before="0" w:after="283"/>
              <w:jc w:val="right"/>
              <w:rPr/>
            </w:pPr>
            <w:r>
              <w:rPr/>
              <w:t>16.01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42" w:type="dxa"/>
            <w:tcBorders/>
            <w:shd w:fill="CCEEFF" w:val="clear"/>
            <w:tcMar>
              <w:bottom w:w="0" w:type="dxa"/>
            </w:tcMar>
            <w:vAlign w:val="center"/>
          </w:tcPr>
          <w:p>
            <w:pPr>
              <w:pStyle w:val="TableContents"/>
              <w:bidi w:val="0"/>
              <w:spacing w:lineRule="atLeast" w:line="240" w:before="0" w:after="283"/>
              <w:jc w:val="right"/>
              <w:rPr/>
            </w:pPr>
            <w:r>
              <w:rPr/>
              <w:t>1/8/26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lineRule="atLeast" w:line="240" w:before="0" w:after="283"/>
              <w:jc w:val="right"/>
              <w:rPr/>
            </w:pPr>
            <w:r>
              <w:rPr/>
              <w:t>​</w:t>
            </w:r>
          </w:p>
        </w:tc>
        <w:tc>
          <w:tcPr>
            <w:tcW w:w="447" w:type="dxa"/>
            <w:tcBorders/>
            <w:shd w:fill="CCEEFF" w:val="clear"/>
            <w:tcMar>
              <w:bottom w:w="0" w:type="dxa"/>
            </w:tcMar>
            <w:vAlign w:val="center"/>
          </w:tcPr>
          <w:p>
            <w:pPr>
              <w:pStyle w:val="TableContents"/>
              <w:bidi w:val="0"/>
              <w:spacing w:lineRule="atLeast" w:line="240"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lineRule="atLeast" w:line="240" w:before="0" w:after="283"/>
              <w:jc w:val="right"/>
              <w:rPr/>
            </w:pPr>
            <w:r>
              <w:rPr/>
              <w:t>​</w:t>
            </w:r>
          </w:p>
        </w:tc>
        <w:tc>
          <w:tcPr>
            <w:tcW w:w="393" w:type="dxa"/>
            <w:tcBorders/>
            <w:shd w:fill="CCEEFF" w:val="clear"/>
            <w:tcMar>
              <w:bottom w:w="0" w:type="dxa"/>
            </w:tcMar>
            <w:vAlign w:val="center"/>
          </w:tcPr>
          <w:p>
            <w:pPr>
              <w:pStyle w:val="TableContents"/>
              <w:bidi w:val="0"/>
              <w:spacing w:lineRule="atLeast" w:line="240"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lineRule="atLeast" w:line="240" w:before="0" w:after="283"/>
              <w:jc w:val="right"/>
              <w:rPr/>
            </w:pPr>
            <w:r>
              <w:rPr/>
              <w:t>​</w:t>
            </w:r>
          </w:p>
        </w:tc>
        <w:tc>
          <w:tcPr>
            <w:tcW w:w="490" w:type="dxa"/>
            <w:tcBorders/>
            <w:shd w:fill="CCEEFF" w:val="clear"/>
            <w:tcMar>
              <w:bottom w:w="0" w:type="dxa"/>
            </w:tcMar>
            <w:vAlign w:val="center"/>
          </w:tcPr>
          <w:p>
            <w:pPr>
              <w:pStyle w:val="TableContents"/>
              <w:bidi w:val="0"/>
              <w:spacing w:lineRule="atLeast" w:line="240"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lineRule="atLeast" w:line="240" w:before="0" w:after="283"/>
              <w:jc w:val="right"/>
              <w:rPr/>
            </w:pPr>
            <w:r>
              <w:rPr/>
              <w:t>​</w:t>
            </w:r>
          </w:p>
        </w:tc>
        <w:tc>
          <w:tcPr>
            <w:tcW w:w="490" w:type="dxa"/>
            <w:tcBorders/>
            <w:shd w:fill="CCEEFF" w:val="clear"/>
            <w:tcMar>
              <w:bottom w:w="0" w:type="dxa"/>
            </w:tcMar>
            <w:vAlign w:val="center"/>
          </w:tcPr>
          <w:p>
            <w:pPr>
              <w:pStyle w:val="TableContents"/>
              <w:bidi w:val="0"/>
              <w:spacing w:lineRule="atLeast" w:line="240"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6/7/22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90,000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1/8/26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44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6/7/22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180,000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1/8/26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44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44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8" w:type="dxa"/>
            <w:tcBorders/>
            <w:tcMar>
              <w:bottom w:w="0" w:type="dxa"/>
            </w:tcMar>
            <w:vAlign w:val="center"/>
          </w:tcPr>
          <w:p>
            <w:pPr>
              <w:pStyle w:val="TableContents"/>
              <w:bidi w:val="0"/>
              <w:spacing w:before="0" w:after="0"/>
              <w:jc w:val="left"/>
              <w:rPr/>
            </w:pPr>
            <w:r>
              <w:rPr>
                <w:spacing w:val="4"/>
              </w:rPr>
              <w:t>Jeffrey M. Fiedelman</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12/1/23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8,598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5"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17"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1/8/26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44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490"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490"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44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8" w:type="dxa"/>
            <w:tcBorders/>
            <w:tcMar>
              <w:bottom w:w="0" w:type="dxa"/>
            </w:tcMar>
            <w:vAlign w:val="center"/>
          </w:tcPr>
          <w:p>
            <w:pPr>
              <w:pStyle w:val="TableContents"/>
              <w:bidi w:val="0"/>
              <w:spacing w:before="0" w:after="0"/>
              <w:jc w:val="left"/>
              <w:rPr/>
            </w:pPr>
            <w:r>
              <w:rPr>
                <w:spacing w:val="4"/>
              </w:rPr>
              <w:t>Jon A. Langbert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12/19/25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5" w:type="dxa"/>
            <w:tcBorders/>
            <w:tcMar>
              <w:bottom w:w="0" w:type="dxa"/>
            </w:tcMar>
            <w:vAlign w:val="center"/>
          </w:tcPr>
          <w:p>
            <w:pPr>
              <w:pStyle w:val="TableContents"/>
              <w:bidi w:val="0"/>
              <w:spacing w:before="0" w:after="283"/>
              <w:jc w:val="right"/>
              <w:rPr/>
            </w:pPr>
            <w:r>
              <w:rPr/>
              <w:t>25,189</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17"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12/19/35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44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490"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490"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Bates and Mr. Fiedelman resigned in October 2025. Their vested and exercisable stock options remained exercisable for 90 days following their resignations, after which any unexercised options expire. All unvested equity awards were forfeited upon resignation. </w:t>
      </w:r>
      <w:r>
        <mc:AlternateContent>
          <mc:Choice Requires="wps">
            <w:drawing>
              <wp:anchor behindDoc="0" distT="83820" distB="0" distL="0" distR="0" simplePos="0" locked="0" layoutInCell="1" allowOverlap="1" relativeHeight="63">
                <wp:simplePos x="0" y="0"/>
                <wp:positionH relativeFrom="column">
                  <wp:align>left</wp:align>
                </wp:positionH>
                <wp:positionV relativeFrom="line">
                  <wp:align>top</wp:align>
                </wp:positionV>
                <wp:extent cx="254000" cy="293370"/>
                <wp:effectExtent l="0" t="0" r="0" b="0"/>
                <wp:wrapSquare wrapText="right"/>
                <wp:docPr id="55" name="Frame48"/>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both"/>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Langbert received the award upon joining the Company as Chief Financial Officer in December 2025. </w:t>
      </w:r>
      <w:r>
        <mc:AlternateContent>
          <mc:Choice Requires="wps">
            <w:drawing>
              <wp:anchor behindDoc="0" distT="33020" distB="0" distL="0" distR="0" simplePos="0" locked="0" layoutInCell="1" allowOverlap="1" relativeHeight="64">
                <wp:simplePos x="0" y="0"/>
                <wp:positionH relativeFrom="column">
                  <wp:align>left</wp:align>
                </wp:positionH>
                <wp:positionV relativeFrom="line">
                  <wp:align>top</wp:align>
                </wp:positionV>
                <wp:extent cx="254000" cy="304800"/>
                <wp:effectExtent l="0" t="0" r="0" b="0"/>
                <wp:wrapSquare wrapText="right"/>
                <wp:docPr id="56" name="Frame4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7"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Options Exercised and Stock Vested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2025 there were no options exercised and stock vested by the NEOs.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Pension Benefits and Nonqualified Deferred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provide any pension benefits, nonqualified defined contribution or other deferred compensation plans for our NEOs.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none of our NEOs had written employment agreements. As such there are no potential payments due upon a termination or change of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Practices Related to the Grant of Certain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grant a variety of equity awards, including: </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Options: Incentive stock options and non-qualified stock options with exercise prices at or above fair market value on the grant date. </w:t>
      </w:r>
      <w:r>
        <mc:AlternateContent>
          <mc:Choice Requires="wps">
            <w:drawing>
              <wp:anchor behindDoc="0" distT="6985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7"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 w:val="false"/>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 w:val="false"/>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Units (“RSUs”): Units representing the right to receive shares of common stock upon vesting. </w:t>
      </w:r>
      <w:r>
        <mc:AlternateContent>
          <mc:Choice Requires="wps">
            <w:drawing>
              <wp:anchor behindDoc="0" distT="6985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8"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 w:val="false"/>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 w:val="false"/>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Performance-Based Awards: Equity awards that vest based on achievement of specified performance goals. </w:t>
      </w:r>
      <w:r>
        <mc:AlternateContent>
          <mc:Choice Requires="wps">
            <w:drawing>
              <wp:anchor behindDoc="0" distT="6985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9"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 w:val="false"/>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 w:val="false"/>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do not have a formal policy with respect to the timing of our equity award grants, the Compensation Committee has generally granted equity awards pursuant to the terms of the applicable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incentive plan and associated award agreements. Generally, grants to executive officers and employees occur on a set schedule, such as at the annual meeting of the Board or Compensation Committee, upon commencement of employment or in other special circumstances. Neither the Board nor the Compensation Committee takes material nonpublic information into account when determining the timing or terms of equity awards, including with respect to options, nor do we time the disclosure of material nonpublic information for the purpose of affecting the value of executive compensation. The exercise price for stock options is set at or above the fair market value of our Common Stock on the date of grant, as determined by the closing price on our principal stock exchange.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reviews and proposes equity awards for executive officers and directors, considering individual performance, competitive market practices, and alignment with company goals. Said proposals are then forwarded to the Board for approval. For non-executive employees, Qualified Stock Option awards are typically administered by the Chief Executive Officer, consistent with established guidelines.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awards generally vest over a multi-year period, typically five years, subject to continued service. Certain awards may vest based on performance criteria. Unvested awards are forfeited upon termination of employment or service, except as otherwise provided in award agreements or severance arrangements. The Board or Compensation Committee may adjust awards as necessary to reflect corporate events such as stock splits, recapitalizations, or mergers. The Company generally prohibits repricing of stock options without stockholder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alignment with corporate governance best practices, equity awards are subject to clawback or recoupment in the event of material financial restatements or violations of company policies, as determined by the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completed fiscal year, we did not make any stock option awards to our NEOs during the period beginning on the four-business day before the filing of any Form 10-K, 10-Q or 8-K and ending one business day after the filing of such report that contained material nonpublic information (as defined in Item 402(x) of Regulation S-K). Accordingly, no tabular disclosure under Item 402(x)(2)(ii) of Regulation S-K is required.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Section 953(a) of the Dodd-Frank Wall Street Reform and Consumer Protection Act and Item 402(v) of Regulation S-K, we are providing the following information about the relationship between executive compensation actually paid and certain measures of financial performance of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provides information regarding Compensation Actually Paid (“CAP”) to our Principal Executive Officer (“PEO”) and non-PEO NEOs during the last three fiscal years. The 2025 amounts in the following tables reflect corrections to the compensation actually paid figures previously reported in our Annual Report on Form 10-K for the year ended December 31, 2025. The corrections relate to the valuation of equity awards forfeited during 2025 and do not affect the Summary Compensation Table or our consolidated financial statements. The tables below also reflect updates to the amount of the 2024 compensation actually paid to Mr. Bates and the total shareholder return figures previously reported in our Annual Report on Form 10-K for the year ended December 31, 2025.</w:t>
      </w:r>
      <w:r>
        <w:rPr>
          <w:rFonts w:ascii="Times New Roman;Times;serif" w:hAnsi="Times New Roman;Times;serif"/>
          <w:b w:val="false"/>
          <w:i w:val="false"/>
          <w:caps w:val="false"/>
          <w:smallCaps w:val="false"/>
          <w:color w:val="000000"/>
          <w:sz w:val="20"/>
        </w:rPr>
        <w:t xml:space="preserve"> </w:t>
      </w:r>
    </w:p>
    <w:tbl>
      <w:tblPr>
        <w:tblW w:w="13487" w:type="dxa"/>
        <w:jc w:val="left"/>
        <w:tblInd w:w="1393" w:type="dxa"/>
        <w:tblLayout w:type="fixed"/>
        <w:tblCellMar>
          <w:top w:w="0" w:type="dxa"/>
          <w:left w:w="0" w:type="dxa"/>
          <w:bottom w:w="43" w:type="dxa"/>
          <w:right w:w="0" w:type="dxa"/>
        </w:tblCellMar>
      </w:tblPr>
      <w:tblGrid>
        <w:gridCol w:w="613"/>
        <w:gridCol w:w="109"/>
        <w:gridCol w:w="109"/>
        <w:gridCol w:w="129"/>
        <w:gridCol w:w="129"/>
        <w:gridCol w:w="1050"/>
        <w:gridCol w:w="130"/>
        <w:gridCol w:w="109"/>
        <w:gridCol w:w="109"/>
        <w:gridCol w:w="109"/>
        <w:gridCol w:w="109"/>
        <w:gridCol w:w="1141"/>
        <w:gridCol w:w="109"/>
        <w:gridCol w:w="109"/>
        <w:gridCol w:w="109"/>
        <w:gridCol w:w="143"/>
        <w:gridCol w:w="143"/>
        <w:gridCol w:w="1007"/>
        <w:gridCol w:w="145"/>
        <w:gridCol w:w="109"/>
        <w:gridCol w:w="109"/>
        <w:gridCol w:w="143"/>
        <w:gridCol w:w="143"/>
        <w:gridCol w:w="1007"/>
        <w:gridCol w:w="145"/>
        <w:gridCol w:w="109"/>
        <w:gridCol w:w="109"/>
        <w:gridCol w:w="129"/>
        <w:gridCol w:w="129"/>
        <w:gridCol w:w="1050"/>
        <w:gridCol w:w="130"/>
        <w:gridCol w:w="109"/>
        <w:gridCol w:w="109"/>
        <w:gridCol w:w="129"/>
        <w:gridCol w:w="129"/>
        <w:gridCol w:w="1050"/>
        <w:gridCol w:w="130"/>
        <w:gridCol w:w="109"/>
        <w:gridCol w:w="109"/>
        <w:gridCol w:w="121"/>
        <w:gridCol w:w="121"/>
        <w:gridCol w:w="852"/>
        <w:gridCol w:w="122"/>
        <w:gridCol w:w="109"/>
        <w:gridCol w:w="109"/>
        <w:gridCol w:w="109"/>
        <w:gridCol w:w="109"/>
        <w:gridCol w:w="772"/>
        <w:gridCol w:w="112"/>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Total for </w:t>
              <w:br/>
              <w:t xml:space="preserve">R. Duncan </w:t>
              <w:br/>
              <w:t xml:space="preserve">Bates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 xml:space="preserve">R. Duncan </w:t>
              <w:br/>
              <w:t xml:space="preserve">Bates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Total for </w:t>
              <w:br/>
              <w:t xml:space="preserve">Kenneth E. </w:t>
              <w:br/>
              <w:t xml:space="preserve">Shipley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 xml:space="preserve">Kenneth E. </w:t>
              <w:br/>
              <w:t xml:space="preserve">Shipley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for </w:t>
              <w:br/>
              <w:t xml:space="preserve">Non-PEO </w:t>
              <w:br/>
              <w:t xml:space="preserve">NEOs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w:t>
              <w:br/>
              <w:t xml:space="preserve">Paid to </w:t>
              <w:br/>
              <w:t xml:space="preserve">Non-PEO </w:t>
              <w:br/>
              <w:t xml:space="preserve">NEOs </w:t>
              <w:br/>
              <w:t>($)</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w:t>
              <w:br/>
              <w:t xml:space="preserve">Initial </w:t>
              <w:br/>
              <w:t xml:space="preserve">Fixed $100 </w:t>
              <w:br/>
              <w:t xml:space="preserve">Investment </w:t>
              <w:br/>
              <w:t xml:space="preserve">Based On: </w:t>
              <w:br/>
              <w:t xml:space="preserve">Cumulative </w:t>
              <w:br/>
              <w:t xml:space="preserve">Total </w:t>
              <w:br/>
              <w:t xml:space="preserve">Shareholder </w:t>
              <w:br/>
              <w:t xml:space="preserve">Return </w:t>
              <w:br/>
              <w:t>($)</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Net Income </w:t>
              <w:br/>
              <w:t xml:space="preserve">(in thousands) </w:t>
              <w:br/>
              <w:t>($)</w:t>
            </w:r>
            <w:r>
              <w:rPr>
                <w:spacing w:val="-2"/>
                <w:sz w:val="10"/>
              </w:rPr>
              <w:t>(6)</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354,699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(4,805,515)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50,000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50,000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153,568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 xml:space="preserve">124,984 </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 xml:space="preserve">102.95 </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41,809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330,000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(1,225,827)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157,660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284,182</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 xml:space="preserve">130.17 </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61,642</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400,000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587,176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219,171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 xml:space="preserve">26,045 </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 xml:space="preserve">133.02 </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54,460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2025, our PEOs were Kenneth E. Shipley and Duncan Bates. During 2023 and 2024, our PEO was Duncan Bates. </w:t>
      </w:r>
      <w:r>
        <mc:AlternateContent>
          <mc:Choice Requires="wps">
            <w:drawing>
              <wp:anchor behindDoc="0" distT="92710" distB="0" distL="0" distR="0" simplePos="0" locked="0" layoutInCell="1" allowOverlap="1" relativeHeight="68">
                <wp:simplePos x="0" y="0"/>
                <wp:positionH relativeFrom="column">
                  <wp:align>left</wp:align>
                </wp:positionH>
                <wp:positionV relativeFrom="line">
                  <wp:align>top</wp:align>
                </wp:positionV>
                <wp:extent cx="254000" cy="293370"/>
                <wp:effectExtent l="0" t="0" r="0" b="0"/>
                <wp:wrapSquare wrapText="right"/>
                <wp:docPr id="60" name="Frame53"/>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before="0" w:after="283"/>
                        <w:jc w:val="both"/>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reported in this column represent the amount of “compensation actually paid” to Messrs. Bates and Shipley as computed in accordance with Item 402(v) of Regulation S-K. The amounts do not reflect the actual amount of compensation earned by or paid to Messrs. Bates and Shipley during the applicable year. In accordance with the requirements of Item 402(v) of Regulation S-K, the adjustments reflected in this table were made to Mr. Bates’ and Mr. Shipley’s total compensation for 2025 to determine the compensation actually paid: </w:t>
      </w:r>
      <w:r>
        <mc:AlternateContent>
          <mc:Choice Requires="wps">
            <w:drawing>
              <wp:anchor behindDoc="0" distT="41910" distB="0" distL="0" distR="0" simplePos="0" locked="0" layoutInCell="1" allowOverlap="1" relativeHeight="69">
                <wp:simplePos x="0" y="0"/>
                <wp:positionH relativeFrom="column">
                  <wp:align>left</wp:align>
                </wp:positionH>
                <wp:positionV relativeFrom="line">
                  <wp:align>top</wp:align>
                </wp:positionV>
                <wp:extent cx="254000" cy="304800"/>
                <wp:effectExtent l="0" t="0" r="0" b="0"/>
                <wp:wrapSquare wrapText="right"/>
                <wp:docPr id="61" name="Frame5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the Summary Compensation Table Total to arrive at CAP for our PEO are shown below. No adjustments were necessary for defined benefit and pension plans or dividends. The assumptions used for determining the fair values shown in this table are consistent with those used to determine the fair values disclosed as of the grant date of such awards. </w:t>
      </w:r>
    </w:p>
    <w:tbl>
      <w:tblPr>
        <w:tblW w:w="12557" w:type="dxa"/>
        <w:jc w:val="left"/>
        <w:tblInd w:w="1393" w:type="dxa"/>
        <w:tblLayout w:type="fixed"/>
        <w:tblCellMar>
          <w:top w:w="0" w:type="dxa"/>
          <w:left w:w="0" w:type="dxa"/>
          <w:bottom w:w="43" w:type="dxa"/>
          <w:right w:w="0" w:type="dxa"/>
        </w:tblCellMar>
      </w:tblPr>
      <w:tblGrid>
        <w:gridCol w:w="955"/>
        <w:gridCol w:w="109"/>
        <w:gridCol w:w="109"/>
        <w:gridCol w:w="129"/>
        <w:gridCol w:w="129"/>
        <w:gridCol w:w="1050"/>
        <w:gridCol w:w="130"/>
        <w:gridCol w:w="109"/>
        <w:gridCol w:w="109"/>
        <w:gridCol w:w="138"/>
        <w:gridCol w:w="138"/>
        <w:gridCol w:w="438"/>
        <w:gridCol w:w="139"/>
        <w:gridCol w:w="109"/>
        <w:gridCol w:w="109"/>
        <w:gridCol w:w="159"/>
        <w:gridCol w:w="159"/>
        <w:gridCol w:w="506"/>
        <w:gridCol w:w="161"/>
        <w:gridCol w:w="109"/>
        <w:gridCol w:w="109"/>
        <w:gridCol w:w="178"/>
        <w:gridCol w:w="178"/>
        <w:gridCol w:w="566"/>
        <w:gridCol w:w="180"/>
        <w:gridCol w:w="109"/>
        <w:gridCol w:w="109"/>
        <w:gridCol w:w="178"/>
        <w:gridCol w:w="178"/>
        <w:gridCol w:w="566"/>
        <w:gridCol w:w="180"/>
        <w:gridCol w:w="109"/>
        <w:gridCol w:w="109"/>
        <w:gridCol w:w="109"/>
        <w:gridCol w:w="109"/>
        <w:gridCol w:w="961"/>
        <w:gridCol w:w="109"/>
        <w:gridCol w:w="109"/>
        <w:gridCol w:w="109"/>
        <w:gridCol w:w="109"/>
        <w:gridCol w:w="109"/>
        <w:gridCol w:w="1141"/>
        <w:gridCol w:w="109"/>
        <w:gridCol w:w="109"/>
        <w:gridCol w:w="109"/>
        <w:gridCol w:w="109"/>
        <w:gridCol w:w="109"/>
        <w:gridCol w:w="1141"/>
        <w:gridCol w:w="109"/>
        <w:gridCol w:w="154"/>
      </w:tblGrid>
      <w:tr>
        <w:trPr/>
        <w:tc>
          <w:tcPr>
            <w:tcW w:w="95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w:t>
              <w:br/>
              <w:t xml:space="preserve">Total for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Less: Grant </w:t>
              <w:br/>
              <w:t xml:space="preserve">Date Fair </w:t>
              <w:br/>
              <w:t xml:space="preserve">Value of </w:t>
              <w:br/>
              <w:t xml:space="preserve">Equity </w:t>
              <w:br/>
              <w:t xml:space="preserve">Awards </w:t>
              <w:br/>
              <w:t xml:space="preserve">Granted </w:t>
              <w:br/>
              <w:t xml:space="preserve">in Fiscal </w:t>
              <w:br/>
              <w:t xml:space="preserve">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Plus: Fair </w:t>
              <w:br/>
              <w:t xml:space="preserve">Value of </w:t>
              <w:br/>
              <w:t xml:space="preserve">Unvested </w:t>
              <w:br/>
              <w:t xml:space="preserve">Equity at </w:t>
              <w:br/>
              <w:t xml:space="preserve">Fiscal </w:t>
              <w:br/>
              <w:t xml:space="preserve">Year End </w:t>
              <w:br/>
              <w:t xml:space="preserve">(Current </w:t>
              <w:br/>
              <w:t xml:space="preserve">Year </w:t>
              <w:br/>
              <w:t xml:space="preserve">Awards)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 xml:space="preserve">Plus: </w:t>
              <w:br/>
              <w:t>Increase /</w:t>
            </w:r>
            <w:r>
              <w:rPr/>
              <w:t>​</w:t>
              <w:br/>
            </w:r>
            <w:r>
              <w:rPr>
                <w:spacing w:val="-3"/>
              </w:rPr>
              <w:t xml:space="preserve">(Decrease) </w:t>
              <w:br/>
              <w:t xml:space="preserve">in Fair Value </w:t>
              <w:br/>
              <w:t xml:space="preserve">of Equity </w:t>
              <w:br/>
              <w:t>Vested</w:t>
              <w:br/>
              <w:t xml:space="preserve">During </w:t>
              <w:br/>
              <w:t>Fiscal Year</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 xml:space="preserve">Plus: </w:t>
              <w:br/>
              <w:t>Increase /</w:t>
            </w:r>
            <w:r>
              <w:rPr/>
              <w:t>​</w:t>
              <w:br/>
            </w:r>
            <w:r>
              <w:rPr>
                <w:spacing w:val="-3"/>
              </w:rPr>
              <w:t xml:space="preserve">(Decrease) </w:t>
              <w:br/>
              <w:t xml:space="preserve">in Fair Value </w:t>
              <w:br/>
              <w:t xml:space="preserve">of Unvested </w:t>
              <w:br/>
              <w:t>Equity</w:t>
              <w:br/>
              <w:t xml:space="preserve">at Fiscal </w:t>
              <w:br/>
              <w:t>Year End</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Plus: </w:t>
              <w:br/>
              <w:t xml:space="preserve">Increase / </w:t>
              <w:br/>
              <w:t xml:space="preserve">(Decrease) </w:t>
              <w:br/>
              <w:t xml:space="preserve">in Fair Value </w:t>
              <w:br/>
              <w:t xml:space="preserve">of Equity </w:t>
              <w:br/>
              <w:t xml:space="preserve">Vested </w:t>
              <w:br/>
              <w:t xml:space="preserve">During </w:t>
              <w:br/>
              <w:t xml:space="preserve">Fiscal Year </w:t>
              <w:br/>
              <w:t xml:space="preserve">(Prior Year </w:t>
              <w:br/>
              <w:t xml:space="preserve">Awards)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Less: </w:t>
              <w:br/>
              <w:t xml:space="preserve">Fair Value </w:t>
              <w:br/>
              <w:t xml:space="preserve">of Equity </w:t>
              <w:br/>
              <w:t xml:space="preserve">Awards </w:t>
              <w:br/>
              <w:t xml:space="preserve">at Prior </w:t>
              <w:br/>
              <w:t xml:space="preserve">Year-End </w:t>
              <w:br/>
              <w:t xml:space="preserve">Forfeited in </w:t>
              <w:br/>
              <w:t xml:space="preserve">Current </w:t>
              <w:br/>
              <w:t xml:space="preserve">Fiscal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Paid </w:t>
              <w:br/>
              <w:t xml:space="preserve">to PEO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55" w:type="dxa"/>
            <w:tcBorders/>
            <w:shd w:fill="CCEEFF" w:val="clear"/>
            <w:tcMar>
              <w:bottom w:w="0" w:type="dxa"/>
            </w:tcMar>
            <w:vAlign w:val="center"/>
          </w:tcPr>
          <w:p>
            <w:pPr>
              <w:pStyle w:val="TableContents"/>
              <w:bidi w:val="0"/>
              <w:spacing w:before="0" w:after="0"/>
              <w:jc w:val="left"/>
              <w:rPr>
                <w:spacing w:val="4"/>
              </w:rPr>
            </w:pPr>
            <w:r>
              <w:rPr>
                <w:spacing w:val="4"/>
              </w:rPr>
              <w:t xml:space="preserve">R. Duncan Bates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354,699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438"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506"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 xml:space="preserve">— </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(480,959)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(4,679,255)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(4,805,515)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55" w:type="dxa"/>
            <w:tcBorders/>
            <w:tcMar>
              <w:bottom w:w="0" w:type="dxa"/>
            </w:tcMar>
            <w:vAlign w:val="center"/>
          </w:tcPr>
          <w:p>
            <w:pPr>
              <w:pStyle w:val="TableContents"/>
              <w:bidi w:val="0"/>
              <w:spacing w:before="0" w:after="0"/>
              <w:jc w:val="left"/>
              <w:rPr/>
            </w:pPr>
            <w:r>
              <w:rPr>
                <w:spacing w:val="4"/>
              </w:rPr>
              <w:t>Kenneth E. Shipley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50,000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438"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506" w:type="dxa"/>
            <w:tcBorders/>
            <w:tcMar>
              <w:bottom w:w="0" w:type="dxa"/>
            </w:tcMar>
            <w:vAlign w:val="center"/>
          </w:tcPr>
          <w:p>
            <w:pPr>
              <w:pStyle w:val="TableContents"/>
              <w:bidi w:val="0"/>
              <w:spacing w:before="0" w:after="283"/>
              <w:jc w:val="right"/>
              <w:rPr/>
            </w:pPr>
            <w:r>
              <w:rPr/>
              <w:t>—</w:t>
            </w:r>
          </w:p>
        </w:tc>
        <w:tc>
          <w:tcPr>
            <w:tcW w:w="1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566" w:type="dxa"/>
            <w:tcBorders/>
            <w:tcMar>
              <w:bottom w:w="0" w:type="dxa"/>
            </w:tcMar>
            <w:vAlign w:val="center"/>
          </w:tcPr>
          <w:p>
            <w:pPr>
              <w:pStyle w:val="TableContents"/>
              <w:bidi w:val="0"/>
              <w:spacing w:before="0" w:after="283"/>
              <w:jc w:val="right"/>
              <w:rPr/>
            </w:pPr>
            <w:r>
              <w:rPr/>
              <w:t>—</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2025, our Non-PEO NEOs were Curtis D. Hodgson, Jon A. Langbert, Ronald C. Arrington and Jeffrey M. Fiedelman; during 2024, our Non-PEO NEOs were Curtis D. Hodgson, Kenneth E. Shipley and Jeffrey M. Fiedelman; during 2023, our Non-PEO NEOs were Curtis D. Hodgson, Kenneth E. Shipley, Jeffrey V. Burt, Ronald C. Arrington and Jeffrey M. Fiedelman. </w:t>
      </w:r>
      <w:r>
        <mc:AlternateContent>
          <mc:Choice Requires="wps">
            <w:drawing>
              <wp:anchor behindDoc="0" distT="25400" distB="0" distL="0" distR="0" simplePos="0" locked="0" layoutInCell="1" allowOverlap="1" relativeHeight="70">
                <wp:simplePos x="0" y="0"/>
                <wp:positionH relativeFrom="column">
                  <wp:align>left</wp:align>
                </wp:positionH>
                <wp:positionV relativeFrom="line">
                  <wp:align>top</wp:align>
                </wp:positionV>
                <wp:extent cx="254000" cy="304800"/>
                <wp:effectExtent l="0" t="0" r="0" b="0"/>
                <wp:wrapSquare wrapText="right"/>
                <wp:docPr id="62" name="Frame5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4"/>
                                <w:sz w:val="20"/>
                              </w:rPr>
                              <w:t>(3)</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4"/>
                          <w:sz w:val="20"/>
                        </w:rPr>
                        <w:t>(3)</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reported in this column represent the average amount of “compensation actually paid” to the Non-PEO NEOs as a group as identified in footnote 3 above, as computed in accordance with Item 402(v) of Regulation S-K. The dollar amounts do not reflect the actual average of compensation earned by or paid to these NEOs as a group during the applicable year. In accordance with the requirements of Item 402(v) of Regulation S-K, the following adjustments were made to the average total compensation for these NEOs as a group for 2025 to determine the compensation actually paid: </w:t>
      </w:r>
      <w:r>
        <mc:AlternateContent>
          <mc:Choice Requires="wps">
            <w:drawing>
              <wp:anchor behindDoc="0" distT="41910" distB="0" distL="0" distR="0" simplePos="0" locked="0" layoutInCell="1" allowOverlap="1" relativeHeight="71">
                <wp:simplePos x="0" y="0"/>
                <wp:positionH relativeFrom="column">
                  <wp:align>left</wp:align>
                </wp:positionH>
                <wp:positionV relativeFrom="line">
                  <wp:align>top</wp:align>
                </wp:positionV>
                <wp:extent cx="254000" cy="304800"/>
                <wp:effectExtent l="0" t="0" r="0" b="0"/>
                <wp:wrapSquare wrapText="right"/>
                <wp:docPr id="63" name="Frame5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4"/>
                                <w:sz w:val="20"/>
                              </w:rPr>
                              <w:t>(4)</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4"/>
                          <w:sz w:val="20"/>
                        </w:rPr>
                        <w:t>(4)</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the Summary Compensation Table Total to arrive at CAP for non-PEO NEOs (shown as an average) are presented below. No adjustments were necessary for defined benefit and pension plans or dividends. </w:t>
      </w:r>
    </w:p>
    <w:tbl>
      <w:tblPr>
        <w:tblW w:w="12122" w:type="dxa"/>
        <w:jc w:val="left"/>
        <w:tblInd w:w="1393" w:type="dxa"/>
        <w:tblLayout w:type="fixed"/>
        <w:tblCellMar>
          <w:top w:w="0" w:type="dxa"/>
          <w:left w:w="0" w:type="dxa"/>
          <w:bottom w:w="43" w:type="dxa"/>
          <w:right w:w="0" w:type="dxa"/>
        </w:tblCellMar>
      </w:tblPr>
      <w:tblGrid>
        <w:gridCol w:w="613"/>
        <w:gridCol w:w="109"/>
        <w:gridCol w:w="109"/>
        <w:gridCol w:w="129"/>
        <w:gridCol w:w="129"/>
        <w:gridCol w:w="1050"/>
        <w:gridCol w:w="130"/>
        <w:gridCol w:w="109"/>
        <w:gridCol w:w="109"/>
        <w:gridCol w:w="109"/>
        <w:gridCol w:w="109"/>
        <w:gridCol w:w="841"/>
        <w:gridCol w:w="109"/>
        <w:gridCol w:w="109"/>
        <w:gridCol w:w="109"/>
        <w:gridCol w:w="109"/>
        <w:gridCol w:w="109"/>
        <w:gridCol w:w="766"/>
        <w:gridCol w:w="109"/>
        <w:gridCol w:w="109"/>
        <w:gridCol w:w="109"/>
        <w:gridCol w:w="178"/>
        <w:gridCol w:w="178"/>
        <w:gridCol w:w="566"/>
        <w:gridCol w:w="180"/>
        <w:gridCol w:w="109"/>
        <w:gridCol w:w="109"/>
        <w:gridCol w:w="178"/>
        <w:gridCol w:w="178"/>
        <w:gridCol w:w="566"/>
        <w:gridCol w:w="180"/>
        <w:gridCol w:w="109"/>
        <w:gridCol w:w="109"/>
        <w:gridCol w:w="178"/>
        <w:gridCol w:w="178"/>
        <w:gridCol w:w="566"/>
        <w:gridCol w:w="180"/>
        <w:gridCol w:w="109"/>
        <w:gridCol w:w="109"/>
        <w:gridCol w:w="109"/>
        <w:gridCol w:w="109"/>
        <w:gridCol w:w="841"/>
        <w:gridCol w:w="109"/>
        <w:gridCol w:w="109"/>
        <w:gridCol w:w="109"/>
        <w:gridCol w:w="129"/>
        <w:gridCol w:w="129"/>
        <w:gridCol w:w="1050"/>
        <w:gridCol w:w="130"/>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Summary </w:t>
              <w:br/>
              <w:t xml:space="preserve">Compensation </w:t>
              <w:br/>
              <w:t xml:space="preserve">Total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Less: </w:t>
              <w:br/>
              <w:t xml:space="preserve">Grant Date </w:t>
              <w:br/>
              <w:t xml:space="preserve">Fair Value </w:t>
              <w:br/>
              <w:t xml:space="preserve">of Equity </w:t>
              <w:br/>
              <w:t xml:space="preserve">Awards </w:t>
              <w:br/>
              <w:t xml:space="preserve">Granted in </w:t>
              <w:br/>
              <w:t xml:space="preserve">Fiscal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Plus: Fair </w:t>
              <w:br/>
              <w:t xml:space="preserve">Value of </w:t>
              <w:br/>
              <w:t xml:space="preserve">Unvested </w:t>
              <w:br/>
              <w:t xml:space="preserve">Equity </w:t>
              <w:br/>
              <w:t xml:space="preserve">at Fiscal </w:t>
              <w:br/>
              <w:t xml:space="preserve">Year End </w:t>
              <w:br/>
              <w:t xml:space="preserve">(Current </w:t>
              <w:br/>
              <w:t xml:space="preserve">Year </w:t>
              <w:br/>
              <w:t xml:space="preserve">Awards)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 xml:space="preserve">Plus: </w:t>
              <w:br/>
              <w:t>Increase /</w:t>
            </w:r>
            <w:r>
              <w:rPr/>
              <w:t>​</w:t>
              <w:br/>
            </w:r>
            <w:r>
              <w:rPr>
                <w:spacing w:val="-3"/>
              </w:rPr>
              <w:t>(Decrease) in</w:t>
              <w:br/>
              <w:t xml:space="preserve">Fair Value </w:t>
              <w:br/>
              <w:t xml:space="preserve">of Equity </w:t>
              <w:br/>
              <w:t>Vested</w:t>
              <w:br/>
              <w:t xml:space="preserve">During </w:t>
              <w:br/>
              <w:t xml:space="preserve">Fiscal </w:t>
              <w:br/>
              <w:t xml:space="preserve">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 xml:space="preserve">Plus: </w:t>
              <w:br/>
              <w:t>Increase /</w:t>
            </w:r>
            <w:r>
              <w:rPr/>
              <w:t>​</w:t>
              <w:br/>
            </w:r>
            <w:r>
              <w:rPr>
                <w:spacing w:val="-3"/>
              </w:rPr>
              <w:t xml:space="preserve">(Decrease) in </w:t>
              <w:br/>
              <w:t xml:space="preserve">Fair Value </w:t>
              <w:br/>
              <w:t xml:space="preserve">of Unvested </w:t>
              <w:br/>
              <w:t>Equity</w:t>
              <w:br/>
              <w:t xml:space="preserve">at Fiscal </w:t>
              <w:br/>
              <w:t>Year End</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before="0" w:after="0"/>
              <w:jc w:val="center"/>
              <w:rPr/>
            </w:pPr>
            <w:r>
              <w:rPr>
                <w:spacing w:val="-3"/>
              </w:rPr>
              <w:t xml:space="preserve">Plus: </w:t>
              <w:br/>
              <w:t>Increase /</w:t>
            </w:r>
            <w:r>
              <w:rPr/>
              <w:t>​</w:t>
              <w:br/>
            </w:r>
            <w:r>
              <w:rPr>
                <w:spacing w:val="-3"/>
              </w:rPr>
              <w:t xml:space="preserve">(Decrease) in </w:t>
              <w:br/>
              <w:t>Fair Value of</w:t>
              <w:br/>
              <w:t xml:space="preserve">Equity </w:t>
              <w:br/>
              <w:t>Vested</w:t>
              <w:br/>
              <w:t xml:space="preserve">During </w:t>
              <w:br/>
              <w:t>Fiscal Year</w:t>
              <w:br/>
              <w:t xml:space="preserve">(Prior Year </w:t>
              <w:br/>
              <w:t>Awards)</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Less: </w:t>
              <w:br/>
              <w:t xml:space="preserve">Fair Value </w:t>
              <w:br/>
              <w:t xml:space="preserve">of Equity </w:t>
              <w:br/>
              <w:t xml:space="preserve">Awards </w:t>
              <w:br/>
              <w:t xml:space="preserve">at Prior </w:t>
              <w:br/>
              <w:t xml:space="preserve">Year-End </w:t>
              <w:br/>
              <w:t xml:space="preserve">Forfeited in </w:t>
              <w:br/>
              <w:t xml:space="preserve">Current </w:t>
              <w:br/>
              <w:t xml:space="preserve">Fiscal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Compensation </w:t>
              <w:br/>
              <w:t xml:space="preserve">Actually Paid to </w:t>
              <w:br/>
              <w:t xml:space="preserve">Non-PEO NEOs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153,568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(46,026)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53,148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 xml:space="preserve">— </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566" w:type="dxa"/>
            <w:tcBorders/>
            <w:shd w:fill="CCEEFF" w:val="clear"/>
            <w:tcMar>
              <w:bottom w:w="0" w:type="dxa"/>
            </w:tcMar>
            <w:vAlign w:val="center"/>
          </w:tcPr>
          <w:p>
            <w:pPr>
              <w:pStyle w:val="TableContents"/>
              <w:bidi w:val="0"/>
              <w:spacing w:before="0" w:after="283"/>
              <w:jc w:val="righ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(35,707)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124,984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Cumulative total shareholder return is calculated by dividing the sum of the cumulative amount of dividends for the measurement period, assuming dividend reinvestment, and the difference between the share price at the end and the beginning of the measurement period by the share price at the beginning of the measurement period. For purposes of these amounts, the beginning of the measurement period is December 31, 2022. </w:t>
      </w:r>
      <w:r>
        <mc:AlternateContent>
          <mc:Choice Requires="wps">
            <w:drawing>
              <wp:anchor behindDoc="0" distT="25400" distB="0" distL="0" distR="0" simplePos="0" locked="0" layoutInCell="1" allowOverlap="1" relativeHeight="72">
                <wp:simplePos x="0" y="0"/>
                <wp:positionH relativeFrom="column">
                  <wp:align>left</wp:align>
                </wp:positionH>
                <wp:positionV relativeFrom="line">
                  <wp:align>top</wp:align>
                </wp:positionV>
                <wp:extent cx="254000" cy="304800"/>
                <wp:effectExtent l="0" t="0" r="0" b="0"/>
                <wp:wrapSquare wrapText="right"/>
                <wp:docPr id="64" name="Frame5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4"/>
                                <w:sz w:val="20"/>
                              </w:rPr>
                              <w:t>(5)</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4"/>
                          <w:sz w:val="20"/>
                        </w:rPr>
                        <w:t>(5)</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reported represent the amount of net income reflected in our Company’s audited financial statements for the applicable year.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254000" cy="350520"/>
                <wp:effectExtent l="0" t="0" r="0" b="0"/>
                <wp:wrapSquare wrapText="right"/>
                <wp:docPr id="65"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Relationships Between Certain Data in the Pay Versus Performance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graph below illustrates the relationship between CAP and cumulative total shareholder return. The cumulative total shareholder return assumes $100 was invested for the period starting December 31, 2022 through the end of the listed fiscal year. The graph shows CAP for both PEOs, Kenneth E. Shipley and R. Duncan Bates.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381625" cy="3238500"/>
            <wp:effectExtent l="0" t="0" r="0" b="0"/>
            <wp:docPr id="6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8" descr=""/>
                    <pic:cNvPicPr>
                      <a:picLocks noChangeAspect="1" noChangeArrowheads="1"/>
                    </pic:cNvPicPr>
                  </pic:nvPicPr>
                  <pic:blipFill>
                    <a:blip r:embed="rId9"/>
                    <a:stretch>
                      <a:fillRect/>
                    </a:stretch>
                  </pic:blipFill>
                  <pic:spPr bwMode="auto">
                    <a:xfrm>
                      <a:off x="0" y="0"/>
                      <a:ext cx="5381625" cy="32385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36"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graph below illustrates the relationship between CAP and net income. The graph shows CAP for both PEOs, Kenneth E. Shipley and R. Duncan Bates.</w:t>
      </w:r>
      <w:r>
        <w:rPr>
          <w:rFonts w:ascii="Times New Roman;Times;serif" w:hAnsi="Times New Roman;Times;serif"/>
          <w:b w:val="false"/>
          <w:i w:val="false"/>
          <w:caps w:val="false"/>
          <w:smallCaps w:val="false"/>
          <w:color w:val="000000"/>
          <w:sz w:val="20"/>
        </w:rPr>
        <w:t xml:space="preserve">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486400" cy="3228975"/>
            <wp:effectExtent l="0" t="0" r="0" b="0"/>
            <wp:docPr id="6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9" descr=""/>
                    <pic:cNvPicPr>
                      <a:picLocks noChangeAspect="1" noChangeArrowheads="1"/>
                    </pic:cNvPicPr>
                  </pic:nvPicPr>
                  <pic:blipFill>
                    <a:blip r:embed="rId10"/>
                    <a:stretch>
                      <a:fillRect/>
                    </a:stretch>
                  </pic:blipFill>
                  <pic:spPr bwMode="auto">
                    <a:xfrm>
                      <a:off x="0" y="0"/>
                      <a:ext cx="5486400" cy="32289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structure our executive compensation program to award compensation based on individual and Company performance, to be competitive in the market and to retain our executives.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2018 Incentive Compensation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and the holders of a majority of our outstanding shares of common stock adopted our 2018 Incentive Compensation Plan (the “Plan”) prior to the closing of our IPO. The purpose of our Plan is to assist us in attracting, motivating, retaining and rewarding high-quality executives and other employees, officers, directors, consultants and other persons who provide services to 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Administration.</w:t>
      </w:r>
      <w:r>
        <w:rPr>
          <w:rFonts w:ascii="Times New Roman;Times;serif" w:hAnsi="Times New Roman;Times;serif"/>
          <w:b w:val="false"/>
          <w:i w:val="false"/>
          <w:caps w:val="false"/>
          <w:smallCaps w:val="false"/>
          <w:color w:val="000000"/>
          <w:spacing w:val="4"/>
          <w:sz w:val="20"/>
        </w:rPr>
        <w:t xml:space="preserve">   Our Plan is to be administered by our Compensation Committee, provided, however, that except as otherwise expressly provided in the Plan, the Board may exercise any power or authority granted to the committee under our Plan. Subject to the terms of our Plan, the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and correct defects, supply omissions or reconcile inconsistencies in them, and make all other decisions and determinations as the committee may deem necessary or advisable for the administration of our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Eligibility.</w:t>
      </w:r>
      <w:r>
        <w:rPr>
          <w:rFonts w:ascii="Times New Roman;Times;serif" w:hAnsi="Times New Roman;Times;serif"/>
          <w:b w:val="false"/>
          <w:i w:val="false"/>
          <w:caps w:val="false"/>
          <w:smallCaps w:val="false"/>
          <w:color w:val="000000"/>
          <w:spacing w:val="4"/>
          <w:sz w:val="20"/>
        </w:rPr>
        <w:t xml:space="preserve">   The persons eligible to receive awards under our Plan are the officers, directors, employees, consultants and other persons who provide services to us. An employee on leave of absence may be considered as still in the employ of our company for purposes of eligibility for participation in our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Types of Awards.</w:t>
      </w:r>
      <w:r>
        <w:rPr>
          <w:rFonts w:ascii="Times New Roman;Times;serif" w:hAnsi="Times New Roman;Times;serif"/>
          <w:b w:val="false"/>
          <w:i w:val="false"/>
          <w:caps w:val="false"/>
          <w:smallCaps w:val="false"/>
          <w:color w:val="000000"/>
          <w:spacing w:val="4"/>
          <w:sz w:val="20"/>
        </w:rPr>
        <w:t xml:space="preserve">   Our Plan provides for the issuance of stock options, stock appreciation rights, or SARs, restricted stock, deferred stock, dividend equivalents, bonus stock and awards in lieu of cash compensation, other stock-based awards and performance awards. Performance awards may be based on the achievement of specified business or personal criteria or goals, as determined by the committee.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Shares Available for Awards.</w:t>
      </w:r>
      <w:r>
        <w:rPr>
          <w:rFonts w:ascii="Times New Roman;Times;serif" w:hAnsi="Times New Roman;Times;serif"/>
          <w:b w:val="false"/>
          <w:i w:val="false"/>
          <w:caps w:val="false"/>
          <w:smallCaps w:val="false"/>
          <w:color w:val="000000"/>
          <w:spacing w:val="4"/>
          <w:sz w:val="20"/>
        </w:rPr>
        <w:t xml:space="preserve">   The total number of shares of common stock that may be subject to the granting of awards under our Plan at any time during the term of the Plan will be equal to 2,500,000 shares. This limit will be increased by the number of shares with respect to which awards previously granted under our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 and Stock Appreciation Rights.</w:t>
      </w:r>
      <w:r>
        <w:rPr>
          <w:rFonts w:ascii="Times New Roman;Times;serif" w:hAnsi="Times New Roman;Times;serif"/>
          <w:b w:val="false"/>
          <w:i w:val="false"/>
          <w:caps w:val="false"/>
          <w:smallCaps w:val="false"/>
          <w:color w:val="000000"/>
          <w:spacing w:val="4"/>
          <w:sz w:val="20"/>
        </w:rPr>
        <w:t xml:space="preserve">   The committee is authorized to grant stock options, including both incentive stock options, or 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committee, but in the case of an ISO must not be less than the fair market value of a share of common stock on the date of grant. For purposes of our Plan, the term “fair market value” means the fair market value of common stock, awards or other property as determined by the committee or under procedures established by the committee.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committee, except that no option or stock appreciation right may have a term exceeding ten years.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and Deferred Stock.</w:t>
      </w:r>
      <w:r>
        <w:rPr>
          <w:rFonts w:ascii="Times New Roman;Times;serif" w:hAnsi="Times New Roman;Times;serif"/>
          <w:b w:val="false"/>
          <w:i w:val="false"/>
          <w:caps w:val="false"/>
          <w:smallCaps w:val="false"/>
          <w:color w:val="000000"/>
          <w:spacing w:val="4"/>
          <w:sz w:val="20"/>
        </w:rPr>
        <w:t xml:space="preserve">   The committee is authorized to grant restricted stock and deferred stock. Restricted stock is a grant of shares of common stock which may not be sold or disposed of, and which may be forfeited in the event of certain terminations of employment, prior to the end of a restricted period specified by the committee. A participant granted restricted stock generally has all of the rights of a stockholder of our company, unless otherwise determined by the committee. An award of deferred stock confers upon a participant the right to receive shares of common stock at the end of a specified deferral period, subject to possible forfeiture of the award in the event of certain terminations of employment prior to the end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restricted period. Prior to settlement, an award of deferred stock carries no voting or dividend rights or other rights associated with share ownership, although dividend equivalents may be granted, as discussed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Terms of Awards.</w:t>
      </w:r>
      <w:r>
        <w:rPr>
          <w:rFonts w:ascii="Times New Roman;Times;serif" w:hAnsi="Times New Roman;Times;serif"/>
          <w:b w:val="false"/>
          <w:i w:val="false"/>
          <w:caps w:val="false"/>
          <w:smallCaps w:val="false"/>
          <w:color w:val="000000"/>
          <w:spacing w:val="4"/>
          <w:sz w:val="20"/>
        </w:rPr>
        <w:t xml:space="preserve">   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our Plan.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under our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our Plan, awards under other company plans or other rights to payment from us, and may grant awards in addition to and in tandem with such other awards, rights or other awards.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Acceleration of Vesting; Change in Control.</w:t>
      </w:r>
      <w:r>
        <w:rPr>
          <w:rFonts w:ascii="Times New Roman;Times;serif" w:hAnsi="Times New Roman;Times;serif"/>
          <w:b w:val="false"/>
          <w:i w:val="false"/>
          <w:caps w:val="false"/>
          <w:smallCaps w:val="false"/>
          <w:color w:val="000000"/>
          <w:spacing w:val="4"/>
          <w:sz w:val="20"/>
        </w:rPr>
        <w:t xml:space="preserve">   The committee may, in its discretion, accelerate the exercisability, the lapsing of restrictions or the expiration of deferral or vesting periods of any award, and such accelerated exercisability, lapse, expiration and if so provided in the award agreement or otherwise determined by the committee, vesting will occur automatically in the case of a “change in control” of our company, as defined in our Plan (including the cash settlement of stock appreciation rights which may be exercisable in the event of a change in control). In addition, the committee may provide in an award agreement that the performance goals relating to any performance award will be deemed to have been met upon the occurrence of any “change in control.”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and Termination.</w:t>
      </w:r>
      <w:r>
        <w:rPr>
          <w:rFonts w:ascii="Times New Roman;Times;serif" w:hAnsi="Times New Roman;Times;serif"/>
          <w:b w:val="false"/>
          <w:i w:val="false"/>
          <w:caps w:val="false"/>
          <w:smallCaps w:val="false"/>
          <w:color w:val="000000"/>
          <w:spacing w:val="4"/>
          <w:sz w:val="20"/>
        </w:rPr>
        <w:t xml:space="preserve">   The Board may amend, alter, suspend, discontinue or terminate our Plan 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our Plan which might increase the cost of our Plan or alter the eligibility of persons to receive awards. Stockholder approval will not be deemed to be required under laws or regulations, such as those relating to ISOs, that condition favorable treatment of participants on such approval, although the Board may, in its discretion, seek stockholder approval in any circumstance in which it deems such approval advisable. Our Plan will terminate at the earliest of (a) such time as no shares of common stock remain available for issuance under our Plan, (b) termination of our Plan by the Board, or (c) the tenth anniversary of the effective date of the Plan. Awards outstanding upon expiration of our Plan will remain in effect until they have been exercised or terminated or have expired.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intended that any amounts payable under the Plan will either be exempt from Section 409A of the Code or will comply with Section 409A (including Treasury regulations and other published guidance related thereto) so as not to subject an employee to payment of any other additional tax, penalty or interest imposed under Section 409A of the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who are also officers or employees of the Company do not receive any special or additional remuneration for service on the board. We currently compensate each non-employee director through annual restricted stock grants and by paying annual fees for their participation on the board and on respective board committees. Our directors receive compensation of $10,000 per quarter, as well as an annual award of $10,000 in restricted stock grants that vest as of the next annual meeting or in one year. We also compensate our directors for serving as a committee member and a committee chair. Our Board reviews director compensation annually or when circumstances exist requiring reexamination and adjusts it according to then current market conditions and good business practices. The following table provides information regarding compensation paid to each non-employee director during the year ended December 31,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0968" w:type="dxa"/>
        <w:jc w:val="left"/>
        <w:tblInd w:w="1393" w:type="dxa"/>
        <w:tblLayout w:type="fixed"/>
        <w:tblCellMar>
          <w:top w:w="0" w:type="dxa"/>
          <w:left w:w="0" w:type="dxa"/>
          <w:bottom w:w="43" w:type="dxa"/>
          <w:right w:w="0" w:type="dxa"/>
        </w:tblCellMar>
      </w:tblPr>
      <w:tblGrid>
        <w:gridCol w:w="1034"/>
        <w:gridCol w:w="109"/>
        <w:gridCol w:w="109"/>
        <w:gridCol w:w="109"/>
        <w:gridCol w:w="109"/>
        <w:gridCol w:w="766"/>
        <w:gridCol w:w="109"/>
        <w:gridCol w:w="109"/>
        <w:gridCol w:w="109"/>
        <w:gridCol w:w="109"/>
        <w:gridCol w:w="109"/>
        <w:gridCol w:w="766"/>
        <w:gridCol w:w="109"/>
        <w:gridCol w:w="109"/>
        <w:gridCol w:w="109"/>
        <w:gridCol w:w="136"/>
        <w:gridCol w:w="136"/>
        <w:gridCol w:w="432"/>
        <w:gridCol w:w="137"/>
        <w:gridCol w:w="109"/>
        <w:gridCol w:w="109"/>
        <w:gridCol w:w="223"/>
        <w:gridCol w:w="223"/>
        <w:gridCol w:w="708"/>
        <w:gridCol w:w="224"/>
        <w:gridCol w:w="109"/>
        <w:gridCol w:w="109"/>
        <w:gridCol w:w="223"/>
        <w:gridCol w:w="223"/>
        <w:gridCol w:w="708"/>
        <w:gridCol w:w="224"/>
        <w:gridCol w:w="109"/>
        <w:gridCol w:w="109"/>
        <w:gridCol w:w="223"/>
        <w:gridCol w:w="223"/>
        <w:gridCol w:w="708"/>
        <w:gridCol w:w="224"/>
        <w:gridCol w:w="109"/>
        <w:gridCol w:w="109"/>
        <w:gridCol w:w="109"/>
        <w:gridCol w:w="109"/>
        <w:gridCol w:w="766"/>
        <w:gridCol w:w="109"/>
        <w:gridCol w:w="154"/>
      </w:tblGrid>
      <w:tr>
        <w:trPr/>
        <w:tc>
          <w:tcPr>
            <w:tcW w:w="103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Fees Earned </w:t>
              <w:br/>
              <w:t xml:space="preserve">or Paid in </w:t>
              <w:br/>
              <w:t xml:space="preserve">Cash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Awards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Non-equity </w:t>
              <w:br/>
              <w:t xml:space="preserve">incentive plan </w:t>
              <w:br/>
              <w:t xml:space="preserve">compensation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Nonqualified </w:t>
              <w:br/>
              <w:t xml:space="preserve">deferred </w:t>
              <w:br/>
              <w:t xml:space="preserve">compensation </w:t>
              <w:br/>
              <w:t xml:space="preserve">earnings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 other </w:t>
              <w:br/>
              <w:t xml:space="preserve">compensation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4" w:type="dxa"/>
            <w:tcBorders/>
            <w:shd w:fill="CCEEFF" w:val="clear"/>
            <w:tcMar>
              <w:bottom w:w="0" w:type="dxa"/>
            </w:tcMar>
            <w:vAlign w:val="center"/>
          </w:tcPr>
          <w:p>
            <w:pPr>
              <w:pStyle w:val="TableContents"/>
              <w:bidi w:val="0"/>
              <w:spacing w:before="0" w:after="0"/>
              <w:jc w:val="left"/>
              <w:rPr>
                <w:spacing w:val="4"/>
              </w:rPr>
            </w:pPr>
            <w:r>
              <w:rPr>
                <w:spacing w:val="4"/>
              </w:rPr>
              <w:t xml:space="preserve">Brian J. Ferguson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4" w:type="dxa"/>
            <w:tcBorders/>
            <w:tcMar>
              <w:bottom w:w="0" w:type="dxa"/>
            </w:tcMar>
            <w:vAlign w:val="center"/>
          </w:tcPr>
          <w:p>
            <w:pPr>
              <w:pStyle w:val="TableContents"/>
              <w:bidi w:val="0"/>
              <w:spacing w:before="0" w:after="0"/>
              <w:jc w:val="left"/>
              <w:rPr>
                <w:spacing w:val="4"/>
              </w:rPr>
            </w:pPr>
            <w:r>
              <w:rPr>
                <w:spacing w:val="4"/>
              </w:rPr>
              <w:t xml:space="preserve">Skyler M. Howton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708" w:type="dxa"/>
            <w:tcBorders/>
            <w:tcMar>
              <w:bottom w:w="0" w:type="dxa"/>
            </w:tcMar>
            <w:vAlign w:val="center"/>
          </w:tcPr>
          <w:p>
            <w:pPr>
              <w:pStyle w:val="TableContents"/>
              <w:bidi w:val="0"/>
              <w:spacing w:before="0" w:after="283"/>
              <w:jc w:val="right"/>
              <w:rPr/>
            </w:pPr>
            <w:r>
              <w:rPr/>
              <w:t>—</w:t>
            </w:r>
          </w:p>
        </w:tc>
        <w:tc>
          <w:tcPr>
            <w:tcW w:w="2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708" w:type="dxa"/>
            <w:tcBorders/>
            <w:tcMar>
              <w:bottom w:w="0" w:type="dxa"/>
            </w:tcMar>
            <w:vAlign w:val="center"/>
          </w:tcPr>
          <w:p>
            <w:pPr>
              <w:pStyle w:val="TableContents"/>
              <w:bidi w:val="0"/>
              <w:spacing w:before="0" w:after="283"/>
              <w:jc w:val="right"/>
              <w:rPr/>
            </w:pPr>
            <w:r>
              <w:rPr/>
              <w:t>—</w:t>
            </w:r>
          </w:p>
        </w:tc>
        <w:tc>
          <w:tcPr>
            <w:tcW w:w="2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708" w:type="dxa"/>
            <w:tcBorders/>
            <w:tcMar>
              <w:bottom w:w="0" w:type="dxa"/>
            </w:tcMar>
            <w:vAlign w:val="center"/>
          </w:tcPr>
          <w:p>
            <w:pPr>
              <w:pStyle w:val="TableContents"/>
              <w:bidi w:val="0"/>
              <w:spacing w:before="0" w:after="283"/>
              <w:jc w:val="right"/>
              <w:rPr/>
            </w:pPr>
            <w:r>
              <w:rPr/>
              <w:t>—</w:t>
            </w:r>
          </w:p>
        </w:tc>
        <w:tc>
          <w:tcPr>
            <w:tcW w:w="2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4" w:type="dxa"/>
            <w:tcBorders/>
            <w:shd w:fill="CCEEFF" w:val="clear"/>
            <w:tcMar>
              <w:bottom w:w="0" w:type="dxa"/>
            </w:tcMar>
            <w:vAlign w:val="center"/>
          </w:tcPr>
          <w:p>
            <w:pPr>
              <w:pStyle w:val="TableContents"/>
              <w:bidi w:val="0"/>
              <w:spacing w:before="0" w:after="0"/>
              <w:jc w:val="left"/>
              <w:rPr>
                <w:spacing w:val="4"/>
              </w:rPr>
            </w:pPr>
            <w:r>
              <w:rPr>
                <w:spacing w:val="4"/>
              </w:rPr>
              <w:t xml:space="preserve">Jeffrey K. Stouder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57,000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67,000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 this column reflect the fair value of restricted stock based on the closing price of our common stock on the grant date.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254000" cy="293370"/>
                <wp:effectExtent l="0" t="0" r="0" b="0"/>
                <wp:wrapSquare wrapText="right"/>
                <wp:docPr id="68" name="Frame59"/>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ANRE"/>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our Annual Report on Form 10-K for the year ended December 31, 2025 has been made available to all stockholders of record as of September 8, 2026. Stockholders are referred to the report for financial and other information about us, but such report is not incorporated in this proxy statement and is not a part of the proxy soliciting material.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without charge to any stockholder, as of the record date, copies of our Annual Report, upon written request delivered to Jon A. Langbert, Chief Financial Officer, at the Company’s offices at 1600 Airport Freeway, Suite 100, Bedford, Texas 76022.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80" w:after="283"/>
        <w:ind w:left="5793" w:right="0" w:hanging="0"/>
        <w:jc w:val="left"/>
        <w:rPr>
          <w:caps w:val="false"/>
          <w:smallCaps w:val="false"/>
          <w:color w:val="000000"/>
        </w:rPr>
      </w:pPr>
      <w:r>
        <w:rPr>
          <w:caps w:val="false"/>
          <w:smallCaps w:val="false"/>
          <w:color w:val="000000"/>
        </w:rPr>
        <w:drawing>
          <wp:inline distT="0" distB="0" distL="0" distR="0">
            <wp:extent cx="561975" cy="447675"/>
            <wp:effectExtent l="0" t="0" r="0" b="0"/>
            <wp:docPr id="6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0" descr=""/>
                    <pic:cNvPicPr>
                      <a:picLocks noChangeAspect="1" noChangeArrowheads="1"/>
                    </pic:cNvPicPr>
                  </pic:nvPicPr>
                  <pic:blipFill>
                    <a:blip r:embed="rId11"/>
                    <a:stretch>
                      <a:fillRect/>
                    </a:stretch>
                  </pic:blipFill>
                  <pic:spPr bwMode="auto">
                    <a:xfrm>
                      <a:off x="0" y="0"/>
                      <a:ext cx="561975" cy="447675"/>
                    </a:xfrm>
                    <a:prstGeom prst="rect">
                      <a:avLst/>
                    </a:prstGeom>
                  </pic:spPr>
                </pic:pic>
              </a:graphicData>
            </a:graphic>
          </wp:inline>
        </w:drawing>
      </w:r>
      <w:r>
        <w:rPr>
          <w:caps w:val="false"/>
          <w:smallCaps w:val="false"/>
          <w:color w:val="00000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Kenneth E. Shipley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18, 2026 </w:t>
        <w:br/>
        <w:t>Bedford, Texas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6991350" cy="9467850"/>
            <wp:effectExtent l="0" t="0" r="0" b="0"/>
            <wp:docPr id="7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1" descr=""/>
                    <pic:cNvPicPr>
                      <a:picLocks noChangeAspect="1" noChangeArrowheads="1"/>
                    </pic:cNvPicPr>
                  </pic:nvPicPr>
                  <pic:blipFill>
                    <a:blip r:embed="rId12"/>
                    <a:stretch>
                      <a:fillRect/>
                    </a:stretch>
                  </pic:blipFill>
                  <pic:spPr bwMode="auto">
                    <a:xfrm>
                      <a:off x="0" y="0"/>
                      <a:ext cx="6991350" cy="94678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2026LEGACY HOUSINGCORPORATIONc/o Continental Proxy Services1 State Street, New York NY 10004You May Vote Your Proxy When You View TheMaterial On The Internet. You Will Be AskedTo Follow The Prompts To Vote Your Shares.Legacy Housing Corporation1600 Airport Freeway, Suite 100Bedford, Texas 76022NOTICE OF ANNUAL MEETINGOF STOCKHOLDERSto be held onOctober 28, 2026Stockholders are cordially invited to attend the Annual Meeting and vote via virtual meeting.Dear Stockholder,The 2026 Annual Meeting of Stockholders of Legacy Housing Corporation will be held via a virtual meeting athttps://www.cstproxy.com/legacyhousingcorp/2026, on Wednesday, October 28, 2026, at 11:00 AM (Central time).Proposals to be considered at the Annual Meeting:(1) To consider and act upon a proposal to elect four directors for a term of one year or until their successorsare elected and qualified; and(2) To consider and act upon a proposal to ratify the appointment of Frazier &amp; Deeter, LLC as the Company’sindependent registered public accounting firm for the year ending December 31, 2026.Action will also be taken on any matters that properly come before the annual meeting or any adjournment orpostponement thereof.The Board of Directors recommends a vote “FOR” all nominees under Proposal 1 and “FOR” Proposal 2.Your electronic vote authorizes the named proxies to vote your shares in the samemanner as if you marked, signed, dated, and returned the proxy card.Vote during the Meeting -If you plan to attend the virtual online annual meeting,you will need your 12 digit control number to voteelectronically during the annual meeting. To attend theannual meeting, visit:https://www.cstproxy.com/legacyhousingcorp/2026Vote Your Proxy on the Internet:Go to http://www.cstproxyvote.comHave your notice available when youaccess the above website. Follow theprompts to vote your shares.CONTROL NUMBERThe Proxy Materials are available for review at:https://www.cstproxy.com/legacyhousingcorp/2026</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6991350" cy="9467850"/>
            <wp:effectExtent l="0" t="0" r="0" b="0"/>
            <wp:docPr id="7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2" descr=""/>
                    <pic:cNvPicPr>
                      <a:picLocks noChangeAspect="1" noChangeArrowheads="1"/>
                    </pic:cNvPicPr>
                  </pic:nvPicPr>
                  <pic:blipFill>
                    <a:blip r:embed="rId13"/>
                    <a:stretch>
                      <a:fillRect/>
                    </a:stretch>
                  </pic:blipFill>
                  <pic:spPr bwMode="auto">
                    <a:xfrm>
                      <a:off x="0" y="0"/>
                      <a:ext cx="6991350" cy="94678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2026Legacy Housing Corporation1600 Airport Freeway, Suite 100Bedford, Texas 76022Important Notice Regarding the Availability of Proxy MaterialsFor the 2026 Annual Meeting of Stockholders to be Held On October 28, 2026The following Proxy Materials are available to you to review at:https://www.cstproxy.com/legacyhousingcorp/2026- the Company’s Annual Report for the year ended December 31, 2025- the Company’s 2026 Proxy Statement.- the Proxy Card.- any amendments to the foregoing materials that are required to be furnished to stockholdersThis is not a ballot. You cannot use this notice to vote your shares. This communication presents only anoverview of the more complete proxy materials that are available to you on the Internet. We encourageyou to access and review all of the important information contained in the proxy materials before voting.If you would like to receive a paper or e-mail copy of these documents, you must request one. There is nocharge for such documents to be mailed to you. Please make your request for a copy as instructed belowon or before October 16, 2026 to facilitate a timely delivery. You may also request that you receive papercopies of all future proxy materials from the Company.A list of stockholders entitled to vote at the Annual Meeting will be available for examination by anystockholder for any purpose germane to the Annual Meeting for at least 10 days prior to the Annual Meeting,during ordinary business hours, at the Company’s principal place of business at 1600 Airport Freeway,Suite 100, Bedford, Texas 76022. During the Annual Meeting, the list of stockholders will be availablefor examination at www.cstproxy.com/legacyhousingcorp/2026 using the 12-digit control number includedwith this notice.ACCESSING YOUR PROXY MATERIALS ONLINEHave this notice available when you request a paper copy of the proxy materialsor to vote your proxy electronically. You must reference your Control number.REQUESTING A PAPER COPY OF THE PROXY MATERIALSBy telephone please call 1-888-266-6791, orBy logging on to https://www.cstproxy.com/legacyhousingcorp/2026 orBy email at: proxy@continentalstock.comPlease include the company name and your control number in the subject line.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6991350" cy="9467850"/>
            <wp:effectExtent l="0" t="0" r="0" b="0"/>
            <wp:docPr id="7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3" descr=""/>
                    <pic:cNvPicPr>
                      <a:picLocks noChangeAspect="1" noChangeArrowheads="1"/>
                    </pic:cNvPicPr>
                  </pic:nvPicPr>
                  <pic:blipFill>
                    <a:blip r:embed="rId14"/>
                    <a:stretch>
                      <a:fillRect/>
                    </a:stretch>
                  </pic:blipFill>
                  <pic:spPr bwMode="auto">
                    <a:xfrm>
                      <a:off x="0" y="0"/>
                      <a:ext cx="6991350" cy="94678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2026YOUR VOTE IS IMPORTANT. PLEASE VOTE TODAY.Vote by Internet - Q U I C K * * * E A S YIMMEDIATE - 24 Hours a Day, 7 Days a Week or by MailLEGACY HOUSINGCORPORATIONYour Internet vote authorizes the named proxiesto vote your shares in the same manner as if youmarked, signed and returned your proxy card.Votes submitted electronically over the Internetmust be received by 10:59 p.m., Central Time, onOctober 27, 2026.INTERNET –www.cstproxyvote.comUse the Internet to vote your proxy. Haveyour proxy card available when you accessthe above website. Follow the prompts to voteyour shares.VOTE AT THE MEETING –If you plan to attend the virtual onlineannual meeting, you will need your 12 digitcontrol number to vote electronically at theannual meeting. To attend the annualmeeting, visit: https://www.cstproxy.com/legacyhousingcorp/2026MAIL – Mark, sign and date your proxycard and return it in the postage-paidenvelope provided.PLEASE DO NOT RETURN THE PROXY CARDIF YOU ARE VOTING ELECTRONICALLY.PROXYFOLD HERE • DO NOT SEPARATE • INSERT IN ENVELOPE PROVIDED Please markyour voteslike this XThe Board of Directors recommends that you vote “FOR” each of thedirector nominees.FOR AGAINST ABSTAIN1. Election of Directors(1.1) Kenneth E. Shipley(1.2) Brian J. Ferguson(1.3) Skyler M. Howton(1.4) Jeffrey K. StouderThe Board of Directors recommends that you vote “FOR” theratification of Frazier &amp; Deeter, LLC as our independent registeredpublic accounting firm for the year ending December 31, 2026.2. Ratify the appointment of Frazier &amp; Deeter, LLC asour independent registered public accounting firmfor the year ending December 31, 2026.FOR AGAINST ABSTAINCONTROL NUMBERSignature_________________________________ Signature, if held jointly_________________________________ Date___________2026.Note: Please sign exactly as name appears hereon. When shares are held by joint owners, both should sign. When signing as attorney, executor, administrator, trustee,guardian, or corporate officer, please give title.</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6991350" cy="9467850"/>
            <wp:effectExtent l="0" t="0" r="0" b="0"/>
            <wp:docPr id="7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4" descr=""/>
                    <pic:cNvPicPr>
                      <a:picLocks noChangeAspect="1" noChangeArrowheads="1"/>
                    </pic:cNvPicPr>
                  </pic:nvPicPr>
                  <pic:blipFill>
                    <a:blip r:embed="rId15"/>
                    <a:stretch>
                      <a:fillRect/>
                    </a:stretch>
                  </pic:blipFill>
                  <pic:spPr bwMode="auto">
                    <a:xfrm>
                      <a:off x="0" y="0"/>
                      <a:ext cx="6991350" cy="94678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2026Important Notice Regarding the Availability of Proxy Materials for theAnnual Meeting of Stockholders to be held October 28, 2026The Proxy Statement and our 2025 Annual Reportto Stockholders are available athttps://www.cstproxy.com/legacyhousingcorp/2026 FOLD HERE • DO NOT SEPARATE • INSERT IN ENVELOPE PROVIDED PROXYTHIS PROXY IS SOLICITED ON BEHALF OF THE BOARD OF DIRECTORSLEGACY HOUSING CORPORATIONThe undersigned appoints Kenneth E. Shipley and Jon A. Langbert, and each of them, as proxies, eachwith the power to appoint his substitute, and authorizes each of them to represent and to vote, as designated on thereverse hereof, all of the shares of common stock of Legacy Housing Corporation, held of record by the undersignedat the close of business on September 8, 2026 at the Annual Meeting of Stockholders of Legacy Housing Corporationto be held virtually at 11:00 a.m., Central Time, on October 28, 2026, or at any adjournment thereof.THIS PROXY WHEN PROPERLY EXECUTED WILL BE VOTED AS INDICATED. IF NO INDICATION IS MADE, THEPROXY WILL BE VOTED IN FAVOR OF ELECTING THE FOUR NOMINEES TO THE BOARD OF DIRECTORSAND IN FAVOR OF RATIFYING THE APPOINTMENT OF FRAZIER &amp; DEETER, LLC AS LEGACY HOUSINGCORPORATION’S INDEPENDENT REGISTERED PUBLIC ACCOUNTING FIRM FOR THE YEAR ENDINGDECEMBER 31, 2026. THIS PROXY IS SOLICITED ON BEHALF OF THE BOARD OF DIRECTORS.(Continued and to be marked, dated and signed on the other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4.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16548</Words>
  <Characters>88933</Characters>
  <CharactersWithSpaces>108028</CharactersWithSpaces>
  <Paragraphs>2765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