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egh-20230930x10q.htm"/>
        <w:bookmarkStart w:id="1" w:name="kslegh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4"/>
        </w:rPr>
      </w:pPr>
      <w:bookmarkStart w:id="2" w:name="_af7dea39_8802_4506_9f2a_2ce5499f7887"/>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September 30, 2023</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001-38761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Legacy Housing Corporation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Eg3fY9OHzE6lNo3i1jK8vA_2_1"/>
      <w:bookmarkStart w:id="4" w:name="Tc_Ix8ndBWG50aF0IYKOQvbEg_2_0"/>
      <w:bookmarkStart w:id="5" w:name="Tc_dVn7X34K3EmkfwjJgVNL9Q_1_1"/>
      <w:bookmarkStart w:id="6" w:name="Tc_8FrGX9mfJ06z_By8izmBXQ_1_0"/>
      <w:bookmarkStart w:id="7" w:name="_f8212589_33c9_46f4_8ee5_d937c00ae8a9"/>
      <w:bookmarkStart w:id="8" w:name="Tc_Eg3fY9OHzE6lNo3i1jK8vA_2_1"/>
      <w:bookmarkStart w:id="9" w:name="Tc_Ix8ndBWG50aF0IYKOQvbEg_2_0"/>
      <w:bookmarkStart w:id="10" w:name="Tc_dVn7X34K3EmkfwjJgVNL9Q_1_1"/>
      <w:bookmarkStart w:id="11" w:name="Tc_8FrGX9mfJ06z_By8izmBXQ_1_0"/>
      <w:bookmarkStart w:id="12" w:name="_f8212589_33c9_46f4_8ee5_d937c00ae8a9"/>
      <w:bookmarkEnd w:id="8"/>
      <w:bookmarkEnd w:id="9"/>
      <w:bookmarkEnd w:id="10"/>
      <w:bookmarkEnd w:id="11"/>
      <w:bookmarkEnd w:id="12"/>
    </w:p>
    <w:tbl>
      <w:tblPr>
        <w:tblW w:w="3692" w:type="dxa"/>
        <w:jc w:val="left"/>
        <w:tblInd w:w="0" w:type="dxa"/>
        <w:tblLayout w:type="fixed"/>
        <w:tblCellMar>
          <w:top w:w="0" w:type="dxa"/>
          <w:left w:w="0" w:type="dxa"/>
          <w:bottom w:w="0" w:type="dxa"/>
          <w:right w:w="0" w:type="dxa"/>
        </w:tblCellMar>
      </w:tblPr>
      <w:tblGrid>
        <w:gridCol w:w="2236"/>
        <w:gridCol w:w="1456"/>
      </w:tblGrid>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Texas</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20-2897516</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1600 Airport Freeway, #100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Bedford, Texas</w:t>
      </w:r>
      <w:r>
        <w:rPr>
          <w:rFonts w:ascii="Times New Roman;Times;serif" w:hAnsi="Times New Roman;Times;serif"/>
          <w:sz w:val="20"/>
        </w:rPr>
        <w:t xml:space="preserve"> </w:t>
      </w:r>
      <w:r>
        <w:rPr>
          <w:rFonts w:ascii="Times New Roman;Times;serif" w:hAnsi="Times New Roman;Times;serif"/>
          <w:b/>
          <w:sz w:val="18"/>
        </w:rPr>
        <w:t>76022</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(Zip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(817) 799-4900</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296" w:type="dxa"/>
        <w:jc w:val="left"/>
        <w:tblInd w:w="0" w:type="dxa"/>
        <w:tblLayout w:type="fixed"/>
        <w:tblCellMar>
          <w:top w:w="0" w:type="dxa"/>
          <w:left w:w="0" w:type="dxa"/>
          <w:bottom w:w="0" w:type="dxa"/>
          <w:right w:w="0" w:type="dxa"/>
        </w:tblCellMar>
      </w:tblPr>
      <w:tblGrid>
        <w:gridCol w:w="1876"/>
        <w:gridCol w:w="109"/>
        <w:gridCol w:w="2311"/>
      </w:tblGrid>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109" w:type="dxa"/>
            <w:tcBorders/>
            <w:vAlign w:val="center"/>
          </w:tcPr>
          <w:p>
            <w:pPr>
              <w:pStyle w:val="TableContents"/>
              <w:bidi w:val="0"/>
              <w:spacing w:before="0" w:after="200"/>
              <w:ind w:left="0" w:right="0" w:hanging="0"/>
              <w:jc w:val="center"/>
              <w:rPr/>
            </w:pPr>
            <w:r>
              <w:rPr/>
              <w:t>​</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Accelerated filer</w:t>
            </w:r>
            <w:r>
              <w:rPr>
                <w:rFonts w:ascii="Times New Roman;Times;serif" w:hAnsi="Times New Roman;Times;serif"/>
                <w:sz w:val="20"/>
              </w:rPr>
              <w:t xml:space="preserve"> ☒ </w:t>
            </w:r>
          </w:p>
        </w:tc>
      </w:tr>
      <w:tr>
        <w:trPr/>
        <w:tc>
          <w:tcPr>
            <w:tcW w:w="1876" w:type="dxa"/>
            <w:tcBorders/>
            <w:vAlign w:val="center"/>
          </w:tcPr>
          <w:p>
            <w:pPr>
              <w:pStyle w:val="TableContents"/>
              <w:bidi w:val="0"/>
              <w:spacing w:before="0" w:after="200"/>
              <w:ind w:left="0" w:right="0" w:hanging="0"/>
              <w:jc w:val="center"/>
              <w:rPr/>
            </w:pPr>
            <w:r>
              <w:rPr/>
              <w:t>​</w:t>
            </w:r>
          </w:p>
        </w:tc>
        <w:tc>
          <w:tcPr>
            <w:tcW w:w="109" w:type="dxa"/>
            <w:tcBorders/>
            <w:vAlign w:val="center"/>
          </w:tcPr>
          <w:p>
            <w:pPr>
              <w:pStyle w:val="TableContents"/>
              <w:bidi w:val="0"/>
              <w:spacing w:before="0" w:after="200"/>
              <w:ind w:left="0" w:right="0" w:hanging="0"/>
              <w:jc w:val="center"/>
              <w:rPr/>
            </w:pPr>
            <w:r>
              <w:rPr/>
              <w:t>​</w:t>
            </w:r>
          </w:p>
        </w:tc>
        <w:tc>
          <w:tcPr>
            <w:tcW w:w="2311" w:type="dxa"/>
            <w:tcBorders/>
            <w:vAlign w:val="center"/>
          </w:tcPr>
          <w:p>
            <w:pPr>
              <w:pStyle w:val="TableContents"/>
              <w:bidi w:val="0"/>
              <w:spacing w:before="0" w:after="200"/>
              <w:ind w:left="0" w:right="0" w:hanging="0"/>
              <w:jc w:val="center"/>
              <w:rPr/>
            </w:pPr>
            <w:r>
              <w:rPr/>
              <w:t>​</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109" w:type="dxa"/>
            <w:tcBorders/>
            <w:vAlign w:val="center"/>
          </w:tcPr>
          <w:p>
            <w:pPr>
              <w:pStyle w:val="TableContents"/>
              <w:bidi w:val="0"/>
              <w:spacing w:before="0" w:after="200"/>
              <w:ind w:left="0" w:right="0" w:hanging="0"/>
              <w:jc w:val="center"/>
              <w:rPr/>
            </w:pPr>
            <w:r>
              <w:rPr/>
              <w:t>​</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87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00"/>
              <w:ind w:left="0" w:right="0" w:hanging="0"/>
              <w:jc w:val="center"/>
              <w:rPr/>
            </w:pPr>
            <w:r>
              <w:rPr/>
              <w:t>​</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r>
    </w:tbl>
    <w:p>
      <w:pPr>
        <w:pStyle w:val="TextBody"/>
        <w:bidi w:val="0"/>
        <w:spacing w:before="0" w:after="6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 xml:space="preserve">☐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No  </w:t>
      </w:r>
      <w:r>
        <w:rPr>
          <w:rFonts w:ascii="Times New Roman;Times;serif" w:hAnsi="Times New Roman;Times;serif"/>
          <w:sz w:val="20"/>
        </w:rPr>
        <w:t>☒</w:t>
      </w:r>
      <w:r>
        <w:rPr>
          <w:rFonts w:ascii="Times New Roman;Times;serif" w:hAnsi="Times New Roman;Times;serif"/>
          <w:sz w:val="18"/>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13" w:name="Tc_Jpuu58qFRkOuIDXnZBD-nA_1_4"/>
      <w:bookmarkStart w:id="14" w:name="Tc_2t0pUIIcokm2sW9MBHtpMw_1_2"/>
      <w:bookmarkStart w:id="15" w:name="Tc_NJ57xRJp10uDgth1vzCmeQ_1_0"/>
      <w:bookmarkStart w:id="16" w:name="_aaf4b83e_9dc9_4c74_9c83_000c221d0fa6"/>
      <w:bookmarkStart w:id="17" w:name="Tc_Jpuu58qFRkOuIDXnZBD-nA_1_4"/>
      <w:bookmarkStart w:id="18" w:name="Tc_2t0pUIIcokm2sW9MBHtpMw_1_2"/>
      <w:bookmarkStart w:id="19" w:name="Tc_NJ57xRJp10uDgth1vzCmeQ_1_0"/>
      <w:bookmarkStart w:id="20" w:name="_aaf4b83e_9dc9_4c74_9c83_000c221d0fa6"/>
      <w:bookmarkEnd w:id="17"/>
      <w:bookmarkEnd w:id="18"/>
      <w:bookmarkEnd w:id="19"/>
      <w:bookmarkEnd w:id="20"/>
    </w:p>
    <w:tbl>
      <w:tblPr>
        <w:tblW w:w="7855" w:type="dxa"/>
        <w:jc w:val="left"/>
        <w:tblInd w:w="0" w:type="dxa"/>
        <w:tblLayout w:type="fixed"/>
        <w:tblCellMar>
          <w:top w:w="0" w:type="dxa"/>
          <w:left w:w="0" w:type="dxa"/>
          <w:bottom w:w="0" w:type="dxa"/>
          <w:right w:w="0" w:type="dxa"/>
        </w:tblCellMar>
      </w:tblPr>
      <w:tblGrid>
        <w:gridCol w:w="2551"/>
        <w:gridCol w:w="326"/>
        <w:gridCol w:w="1276"/>
        <w:gridCol w:w="326"/>
        <w:gridCol w:w="337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376" w:type="dxa"/>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center"/>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5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($0.001 par value)</w:t>
            </w:r>
          </w:p>
        </w:tc>
        <w:tc>
          <w:tcPr>
            <w:tcW w:w="326" w:type="dxa"/>
            <w:tcBorders/>
            <w:vAlign w:val="center"/>
          </w:tcPr>
          <w:p>
            <w:pPr>
              <w:pStyle w:val="TableContents"/>
              <w:bidi w:val="0"/>
              <w:spacing w:before="0" w:after="0"/>
              <w:ind w:left="0" w:right="0" w:hanging="0"/>
              <w:jc w:val="left"/>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LEGH</w:t>
            </w:r>
          </w:p>
        </w:tc>
        <w:tc>
          <w:tcPr>
            <w:tcW w:w="326" w:type="dxa"/>
            <w:tcBorders/>
            <w:vAlign w:val="center"/>
          </w:tcPr>
          <w:p>
            <w:pPr>
              <w:pStyle w:val="TableContents"/>
              <w:bidi w:val="0"/>
              <w:spacing w:before="0" w:after="0"/>
              <w:ind w:left="0" w:right="0" w:hanging="0"/>
              <w:jc w:val="left"/>
              <w:rPr/>
            </w:pPr>
            <w:r>
              <w:rPr/>
              <w:t>​</w:t>
            </w:r>
          </w:p>
        </w:tc>
        <w:tc>
          <w:tcPr>
            <w:tcW w:w="33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Market</w:t>
            </w:r>
          </w:p>
        </w:tc>
      </w:tr>
    </w:tbl>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There were 24,391,797 shares of Common Stock ($0.001 par value) outstanding as of November 6, 2023.</w:t>
      </w:r>
    </w:p>
    <w:p>
      <w:pPr>
        <w:pStyle w:val="TextBody"/>
        <w:bidi w:val="0"/>
        <w:spacing w:before="0" w:after="200"/>
        <w:ind w:left="0" w:right="0" w:hanging="0"/>
        <w:jc w:val="left"/>
        <w:rPr/>
      </w:pPr>
      <w:r>
        <w:rPr/>
        <w:t>​</w:t>
      </w:r>
    </w:p>
    <w:p>
      <w:pPr>
        <w:pStyle w:val="TextBody"/>
        <w:pBdr>
          <w:top w:val="single" w:sz="8" w:space="1" w:color="000000"/>
          <w:bottom w:val="single" w:sz="24" w:space="1" w:color="000000"/>
        </w:pBdr>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 w:name="_0f0ef8a5_5d29_43da_8cfe_92668197ec17"/>
      <w:bookmarkEnd w:id="21"/>
      <w:r>
        <w:rPr>
          <w:rFonts w:ascii="Times New Roman;Times;serif" w:hAnsi="Times New Roman;Times;serif"/>
          <w:b/>
          <w:sz w:val="20"/>
        </w:rPr>
        <w:t>LEGACY HOUSING CORPORATION</w:t>
      </w:r>
    </w:p>
    <w:p>
      <w:pPr>
        <w:pStyle w:val="TextBody"/>
        <w:bidi w:val="0"/>
        <w:spacing w:before="0" w:after="20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23" w:name="_Hlk8365764"/>
      <w:bookmarkStart w:id="24" w:name="_Hlk8365764"/>
      <w:bookmarkEnd w:id="24"/>
    </w:p>
    <w:tbl>
      <w:tblPr>
        <w:tblW w:w="8722" w:type="dxa"/>
        <w:jc w:val="left"/>
        <w:tblInd w:w="0" w:type="dxa"/>
        <w:tblLayout w:type="fixed"/>
        <w:tblCellMar>
          <w:top w:w="0" w:type="dxa"/>
          <w:left w:w="0" w:type="dxa"/>
          <w:bottom w:w="0" w:type="dxa"/>
          <w:right w:w="0" w:type="dxa"/>
        </w:tblCellMar>
      </w:tblPr>
      <w:tblGrid>
        <w:gridCol w:w="124"/>
        <w:gridCol w:w="661"/>
        <w:gridCol w:w="7366"/>
        <w:gridCol w:w="57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175260"/>
                      <wp:effectExtent l="0" t="0" r="0" b="0"/>
                      <wp:wrapNone/>
                      <wp:docPr id="1" name="Frame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19735" cy="175260"/>
                      <wp:effectExtent l="0" t="0" r="0" b="0"/>
                      <wp:wrapNone/>
                      <wp:docPr id="2" name="Frame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677410" cy="175260"/>
                      <wp:effectExtent l="0" t="0" r="0" b="0"/>
                      <wp:wrapNone/>
                      <wp:docPr id="3" name="Frame3"/>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62585" cy="29210"/>
                      <wp:effectExtent l="0" t="0" r="0" b="0"/>
                      <wp:wrapNone/>
                      <wp:docPr id="4" name="Frame4"/>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51" w:type="dxa"/>
            <w:gridSpan w:val="3"/>
            <w:tcBorders/>
            <w:vAlign w:val="center"/>
          </w:tcPr>
          <w:p>
            <w:pPr>
              <w:pStyle w:val="TableContents"/>
              <w:bidi w:val="0"/>
              <w:spacing w:before="0" w:after="0"/>
              <w:ind w:left="0" w:right="0" w:hanging="0"/>
              <w:jc w:val="left"/>
              <w:rPr/>
            </w:pPr>
            <w:hyperlink w:anchor="PARTIFINANCIALINFORMATION_124370">
              <w:r>
                <w:rPr>
                  <w:rStyle w:val="InternetLink"/>
                  <w:rFonts w:ascii="Times New Roman;Times;serif" w:hAnsi="Times New Roman;Times;serif"/>
                  <w:b w:val="false"/>
                  <w:i w:val="false"/>
                  <w:caps w:val="false"/>
                  <w:smallCaps w:val="false"/>
                  <w:sz w:val="20"/>
                </w:rPr>
                <w:t>PART I - FINANCIAL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1FinancialStatements_613532">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613532">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4ControlsandProcedures_709968">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709968">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51" w:type="dxa"/>
            <w:gridSpan w:val="3"/>
            <w:tcBorders/>
            <w:vAlign w:val="center"/>
          </w:tcPr>
          <w:p>
            <w:pPr>
              <w:pStyle w:val="TableContents"/>
              <w:bidi w:val="0"/>
              <w:spacing w:before="0" w:after="0"/>
              <w:ind w:left="0" w:right="0" w:hanging="0"/>
              <w:jc w:val="left"/>
              <w:rPr/>
            </w:pPr>
            <w:hyperlink w:anchor="PARTIIOTHERINFORMATION_170690">
              <w:r>
                <w:rPr>
                  <w:rStyle w:val="InternetLink"/>
                  <w:rFonts w:ascii="Times New Roman;Times;serif" w:hAnsi="Times New Roman;Times;serif"/>
                  <w:b w:val="false"/>
                  <w:i w:val="false"/>
                  <w:caps w:val="false"/>
                  <w:smallCaps w:val="false"/>
                  <w:sz w:val="20"/>
                </w:rPr>
                <w:t>PART II -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1LegalProceedings_348887">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348887">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DefaultsUpon_535854">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DefaultsUpon_535854">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MineSafety_77376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MineSafety_773765">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OtherInformation_946294">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OtherInformation_946294">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6Exhibits_80998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809988">
              <w:r>
                <w:rPr>
                  <w:rStyle w:val="InternetLink"/>
                  <w:rFonts w:ascii="Times New Roman;Times;serif" w:hAnsi="Times New Roman;Times;serif"/>
                  <w:b w:val="false"/>
                  <w:i w:val="false"/>
                  <w:caps w:val="false"/>
                  <w:smallCaps w:val="false"/>
                  <w:sz w:val="20"/>
                </w:rPr>
                <w:t>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51" w:type="dxa"/>
            <w:gridSpan w:val="3"/>
            <w:tcBorders/>
            <w:vAlign w:val="center"/>
          </w:tcPr>
          <w:p>
            <w:pPr>
              <w:pStyle w:val="TableContents"/>
              <w:bidi w:val="0"/>
              <w:spacing w:before="0" w:after="0"/>
              <w:ind w:left="0" w:right="0" w:hanging="0"/>
              <w:jc w:val="left"/>
              <w:rPr/>
            </w:pPr>
            <w:hyperlink w:anchor="SIGNATURES_65971">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480" w:after="0"/>
        <w:ind w:left="0" w:right="0" w:hanging="0"/>
        <w:jc w:val="center"/>
        <w:rPr/>
      </w:pPr>
      <w:r>
        <w:rPr/>
        <w:t>​</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25" w:name="PARTIFINANCIALINFORMATION_124370"/>
      <w:bookmarkStart w:id="26" w:name="_1495d742_5e2d_4278_a69e_3fed449034c3"/>
      <w:bookmarkEnd w:id="25"/>
      <w:bookmarkEnd w:id="26"/>
      <w:r>
        <w:rPr>
          <w:rFonts w:ascii="Times New Roman;Times;serif" w:hAnsi="Times New Roman;Times;serif"/>
          <w:b/>
          <w:sz w:val="20"/>
        </w:rPr>
        <w:t>PART I – FINANCIAL INFORMATION</w:t>
      </w:r>
    </w:p>
    <w:p>
      <w:pPr>
        <w:pStyle w:val="TextBody"/>
        <w:bidi w:val="0"/>
        <w:spacing w:before="0" w:after="120"/>
        <w:ind w:left="0" w:right="0" w:hanging="0"/>
        <w:jc w:val="left"/>
        <w:rPr>
          <w:rFonts w:ascii="Times New Roman;Times;serif" w:hAnsi="Times New Roman;Times;serif"/>
          <w:b/>
          <w:sz w:val="20"/>
        </w:rPr>
      </w:pPr>
      <w:bookmarkStart w:id="27" w:name="Item1FinancialStatements_613532"/>
      <w:bookmarkEnd w:id="27"/>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BALANCE SHEETS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8" w:name="Tc_UkTWqFnMeUqR80faiclLOQ_47_5"/>
      <w:bookmarkStart w:id="29" w:name="Tc_eQhvqoUCjkiDMFyt0lXmRQ_47_2"/>
      <w:bookmarkStart w:id="30" w:name="Tc_6QPQq7twUkKyc_UV8VfIaA_47_0"/>
      <w:bookmarkStart w:id="31" w:name="Tc_FMkGZ_bSVEyj50GRoEwdDA_46_0"/>
      <w:bookmarkStart w:id="32" w:name="Tc_bK64t8lvakO7TV62wgsx7w_45_0"/>
      <w:bookmarkStart w:id="33" w:name="Tc_H_M2J2dFQk6a5N0xgfN_-A_44_0"/>
      <w:bookmarkStart w:id="34" w:name="Tc_WPoG689ou0WtrPYpPz0CNA_43_0"/>
      <w:bookmarkStart w:id="35" w:name="Tc_eFUpUOBVc0imAfFhggNosQ_42_0"/>
      <w:bookmarkStart w:id="36" w:name="_191f470e_7dca_4553_a380_fa192ed1e35c_3"/>
      <w:bookmarkStart w:id="37" w:name="_191f470e_7dca_4553_a380_fa192ed1e35c_2"/>
      <w:bookmarkStart w:id="38" w:name="_191f470e_7dca_4553_a380_fa192ed1e35c"/>
      <w:bookmarkStart w:id="39" w:name="Tc_vp8_IkkCLEO9NNxLnzz8Jw_41_0"/>
      <w:bookmarkStart w:id="40" w:name="Tc_Y8UZysu9T0WSus8xJmgtDw_40_0"/>
      <w:bookmarkStart w:id="41" w:name="Tc_KkqlzrhRCEiuqWAhyPgbHA_39_0"/>
      <w:bookmarkStart w:id="42" w:name="Tc_g4yaJ1BaJUauNXXLFcb-jA_38_0"/>
      <w:bookmarkStart w:id="43" w:name="Tc_4fDb0KLcEkCN_sNpzNtTuw_37_0"/>
      <w:bookmarkStart w:id="44" w:name="Tc_dh76Me6mNkuLU2fX9u1hkA_36_0"/>
      <w:bookmarkStart w:id="45" w:name="Tc_imUPG9dA5EeThlYJRRPLdg_35_0"/>
      <w:bookmarkStart w:id="46" w:name="Tc_5Yq4-oveS02YbuZkBZf--A_34_0"/>
      <w:bookmarkStart w:id="47" w:name="Tc_GzfC_r5ZdkK9yOoNAiWJSw_33_0"/>
      <w:bookmarkStart w:id="48" w:name="Tc_ntv79uYVC0S99XcYehtP4A_32_0"/>
      <w:bookmarkStart w:id="49" w:name="Tc_j5sji_dMzEO0j2BJ9Ned3g_31_0"/>
      <w:bookmarkStart w:id="50" w:name="Tc_Wda8rsudfE-Kn0M-l2y5IQ_30_0"/>
      <w:bookmarkStart w:id="51" w:name="Tc_o-5yWctRpEOPpcj98luu8g_29_0"/>
      <w:bookmarkStart w:id="52" w:name="Tc_rPWy_ylDLUqrNXcRfEeMoA_28_0"/>
      <w:bookmarkStart w:id="53" w:name="Tc_PKq9BXxmv02CjH7m4_w38A_27_5"/>
      <w:bookmarkStart w:id="54" w:name="Tc_IjZfBefOi0uq6u1RDShmlQ_27_2"/>
      <w:bookmarkStart w:id="55" w:name="Tc_IT3Wz1KuJkWOs6ic3s0bOA_27_0"/>
      <w:bookmarkStart w:id="56" w:name="Tc_-dAFqozsF0ebhSsyCVB_bw_26_0"/>
      <w:bookmarkStart w:id="57" w:name="Tc_ZuXVyIYvAU6dJIJWiR5s2w_25_0"/>
      <w:bookmarkStart w:id="58" w:name="Tc_66IFAu2HTkurT-aQWiY12Q_24_5"/>
      <w:bookmarkStart w:id="59" w:name="Tc_9qfuPFD6rEW7caeYSaZaBg_24_2"/>
      <w:bookmarkStart w:id="60" w:name="Tc_pbZfj7wP4kuzHdmB6JxTRg_24_0"/>
      <w:bookmarkStart w:id="61" w:name="Tc_5Aq0zeAwVk-13bRfxs7Avg_23_0"/>
      <w:bookmarkStart w:id="62" w:name="Tc_2SvN6QVGdE2mf4mXy9xPzw_22_0"/>
      <w:bookmarkStart w:id="63" w:name="Tc_tyudmo0JlEKTjgKzIfn56w_21_0"/>
      <w:bookmarkStart w:id="64" w:name="Tc_Et0ueHUTPUG09deqltyKcg_20_0"/>
      <w:bookmarkStart w:id="65" w:name="Tc_OFlo-nEwckC0UEwA56cNGw_19_0"/>
      <w:bookmarkStart w:id="66" w:name="Tc_TEFogLtuokSNe1sEC-jghw_18_0"/>
      <w:bookmarkStart w:id="67" w:name="Tc_XuU3qGXA6EqYTaoMOJ_QZw_17_0"/>
      <w:bookmarkStart w:id="68" w:name="Tc_KKfjER2vu0u6OItPlkURWw_16_0"/>
      <w:bookmarkStart w:id="69" w:name="Tc_T8FXKiPExUSUrCDsLvfaGQ_15_0"/>
      <w:bookmarkStart w:id="70" w:name="Tc_-YFYO9RXv0SqO4nn_iaK8Q_14_0"/>
      <w:bookmarkStart w:id="71" w:name="Tc_V_19EhvLOUq82wrhc1Qldg_13_0"/>
      <w:bookmarkStart w:id="72" w:name="Tc_t0hhERND6EO8z7t7QPozaw_12_0"/>
      <w:bookmarkStart w:id="73" w:name="Tc_HG66h4xI6ECjHV8M_ylLcQ_11_0"/>
      <w:bookmarkStart w:id="74" w:name="Tc_IcIgJ08iskSxT1JHzL9rhQ_10_0"/>
      <w:bookmarkStart w:id="75" w:name="Tc_bSfADo48l0ay52qElhpX1Q_9_0"/>
      <w:bookmarkStart w:id="76" w:name="Tc_RZokRnM7AUC4DreAa8I6Og_8_0"/>
      <w:bookmarkStart w:id="77" w:name="Tc_9W8LfrlfxU64ws5HrsClnw_7_0"/>
      <w:bookmarkStart w:id="78" w:name="Tc_-MJfCWotcECyrJPuGBL4Xw_6_3"/>
      <w:bookmarkStart w:id="79" w:name="Tc_OzU7QIYxhUWrCGojrWJmQQ_6_0"/>
      <w:bookmarkStart w:id="80" w:name="Tc_F2c3O4iLskyO3GeDkqFccA_5_5"/>
      <w:bookmarkStart w:id="81" w:name="Tc_4gPZG3jGe0-pMzGLcSyQQg_5_2"/>
      <w:bookmarkStart w:id="82" w:name="Tc_QwUmQ2i51kSJ95Ifi8oLmw_5_0"/>
      <w:bookmarkStart w:id="83" w:name="Tc_6UZ8Io6xgU6CCr87KmWGXg_4_0"/>
      <w:bookmarkStart w:id="84" w:name="Tc_vyH3GNSriU2pC16GFD_kqA_3_3"/>
      <w:bookmarkStart w:id="85" w:name="Tc_r-qWmoyxo06C21bTmTPn4g_3_0"/>
      <w:bookmarkStart w:id="86" w:name="Tc_luuKLhfy5UCf4fgkE66yow_2_5"/>
      <w:bookmarkStart w:id="87" w:name="Tc_KNtpcW5deUm5w5GC0wXufQ_2_2"/>
      <w:bookmarkStart w:id="88" w:name="Tc__Rb52oNbtki1FTPQr4FyrA_1_5"/>
      <w:bookmarkStart w:id="89" w:name="Tc_2DI1OPxhV0WAMoOCFFnfzQ_1_2"/>
      <w:bookmarkStart w:id="90" w:name="_b40e166b_744b_4d24_82ee_483a34b92615"/>
      <w:bookmarkStart w:id="91" w:name="Tc_UkTWqFnMeUqR80faiclLOQ_47_5"/>
      <w:bookmarkStart w:id="92" w:name="Tc_eQhvqoUCjkiDMFyt0lXmRQ_47_2"/>
      <w:bookmarkStart w:id="93" w:name="Tc_6QPQq7twUkKyc_UV8VfIaA_47_0"/>
      <w:bookmarkStart w:id="94" w:name="Tc_FMkGZ_bSVEyj50GRoEwdDA_46_0"/>
      <w:bookmarkStart w:id="95" w:name="Tc_bK64t8lvakO7TV62wgsx7w_45_0"/>
      <w:bookmarkStart w:id="96" w:name="Tc_H_M2J2dFQk6a5N0xgfN_-A_44_0"/>
      <w:bookmarkStart w:id="97" w:name="Tc_WPoG689ou0WtrPYpPz0CNA_43_0"/>
      <w:bookmarkStart w:id="98" w:name="Tc_eFUpUOBVc0imAfFhggNosQ_42_0"/>
      <w:bookmarkStart w:id="99" w:name="_191f470e_7dca_4553_a380_fa192ed1e35c_3"/>
      <w:bookmarkStart w:id="100" w:name="_191f470e_7dca_4553_a380_fa192ed1e35c_2"/>
      <w:bookmarkStart w:id="101" w:name="_191f470e_7dca_4553_a380_fa192ed1e35c"/>
      <w:bookmarkStart w:id="102" w:name="Tc_vp8_IkkCLEO9NNxLnzz8Jw_41_0"/>
      <w:bookmarkStart w:id="103" w:name="Tc_Y8UZysu9T0WSus8xJmgtDw_40_0"/>
      <w:bookmarkStart w:id="104" w:name="Tc_KkqlzrhRCEiuqWAhyPgbHA_39_0"/>
      <w:bookmarkStart w:id="105" w:name="Tc_g4yaJ1BaJUauNXXLFcb-jA_38_0"/>
      <w:bookmarkStart w:id="106" w:name="Tc_4fDb0KLcEkCN_sNpzNtTuw_37_0"/>
      <w:bookmarkStart w:id="107" w:name="Tc_dh76Me6mNkuLU2fX9u1hkA_36_0"/>
      <w:bookmarkStart w:id="108" w:name="Tc_imUPG9dA5EeThlYJRRPLdg_35_0"/>
      <w:bookmarkStart w:id="109" w:name="Tc_5Yq4-oveS02YbuZkBZf--A_34_0"/>
      <w:bookmarkStart w:id="110" w:name="Tc_GzfC_r5ZdkK9yOoNAiWJSw_33_0"/>
      <w:bookmarkStart w:id="111" w:name="Tc_ntv79uYVC0S99XcYehtP4A_32_0"/>
      <w:bookmarkStart w:id="112" w:name="Tc_j5sji_dMzEO0j2BJ9Ned3g_31_0"/>
      <w:bookmarkStart w:id="113" w:name="Tc_Wda8rsudfE-Kn0M-l2y5IQ_30_0"/>
      <w:bookmarkStart w:id="114" w:name="Tc_o-5yWctRpEOPpcj98luu8g_29_0"/>
      <w:bookmarkStart w:id="115" w:name="Tc_rPWy_ylDLUqrNXcRfEeMoA_28_0"/>
      <w:bookmarkStart w:id="116" w:name="Tc_PKq9BXxmv02CjH7m4_w38A_27_5"/>
      <w:bookmarkStart w:id="117" w:name="Tc_IjZfBefOi0uq6u1RDShmlQ_27_2"/>
      <w:bookmarkStart w:id="118" w:name="Tc_IT3Wz1KuJkWOs6ic3s0bOA_27_0"/>
      <w:bookmarkStart w:id="119" w:name="Tc_-dAFqozsF0ebhSsyCVB_bw_26_0"/>
      <w:bookmarkStart w:id="120" w:name="Tc_ZuXVyIYvAU6dJIJWiR5s2w_25_0"/>
      <w:bookmarkStart w:id="121" w:name="Tc_66IFAu2HTkurT-aQWiY12Q_24_5"/>
      <w:bookmarkStart w:id="122" w:name="Tc_9qfuPFD6rEW7caeYSaZaBg_24_2"/>
      <w:bookmarkStart w:id="123" w:name="Tc_pbZfj7wP4kuzHdmB6JxTRg_24_0"/>
      <w:bookmarkStart w:id="124" w:name="Tc_5Aq0zeAwVk-13bRfxs7Avg_23_0"/>
      <w:bookmarkStart w:id="125" w:name="Tc_2SvN6QVGdE2mf4mXy9xPzw_22_0"/>
      <w:bookmarkStart w:id="126" w:name="Tc_tyudmo0JlEKTjgKzIfn56w_21_0"/>
      <w:bookmarkStart w:id="127" w:name="Tc_Et0ueHUTPUG09deqltyKcg_20_0"/>
      <w:bookmarkStart w:id="128" w:name="Tc_OFlo-nEwckC0UEwA56cNGw_19_0"/>
      <w:bookmarkStart w:id="129" w:name="Tc_TEFogLtuokSNe1sEC-jghw_18_0"/>
      <w:bookmarkStart w:id="130" w:name="Tc_XuU3qGXA6EqYTaoMOJ_QZw_17_0"/>
      <w:bookmarkStart w:id="131" w:name="Tc_KKfjER2vu0u6OItPlkURWw_16_0"/>
      <w:bookmarkStart w:id="132" w:name="Tc_T8FXKiPExUSUrCDsLvfaGQ_15_0"/>
      <w:bookmarkStart w:id="133" w:name="Tc_-YFYO9RXv0SqO4nn_iaK8Q_14_0"/>
      <w:bookmarkStart w:id="134" w:name="Tc_V_19EhvLOUq82wrhc1Qldg_13_0"/>
      <w:bookmarkStart w:id="135" w:name="Tc_t0hhERND6EO8z7t7QPozaw_12_0"/>
      <w:bookmarkStart w:id="136" w:name="Tc_HG66h4xI6ECjHV8M_ylLcQ_11_0"/>
      <w:bookmarkStart w:id="137" w:name="Tc_IcIgJ08iskSxT1JHzL9rhQ_10_0"/>
      <w:bookmarkStart w:id="138" w:name="Tc_bSfADo48l0ay52qElhpX1Q_9_0"/>
      <w:bookmarkStart w:id="139" w:name="Tc_RZokRnM7AUC4DreAa8I6Og_8_0"/>
      <w:bookmarkStart w:id="140" w:name="Tc_9W8LfrlfxU64ws5HrsClnw_7_0"/>
      <w:bookmarkStart w:id="141" w:name="Tc_-MJfCWotcECyrJPuGBL4Xw_6_3"/>
      <w:bookmarkStart w:id="142" w:name="Tc_OzU7QIYxhUWrCGojrWJmQQ_6_0"/>
      <w:bookmarkStart w:id="143" w:name="Tc_F2c3O4iLskyO3GeDkqFccA_5_5"/>
      <w:bookmarkStart w:id="144" w:name="Tc_4gPZG3jGe0-pMzGLcSyQQg_5_2"/>
      <w:bookmarkStart w:id="145" w:name="Tc_QwUmQ2i51kSJ95Ifi8oLmw_5_0"/>
      <w:bookmarkStart w:id="146" w:name="Tc_6UZ8Io6xgU6CCr87KmWGXg_4_0"/>
      <w:bookmarkStart w:id="147" w:name="Tc_vyH3GNSriU2pC16GFD_kqA_3_3"/>
      <w:bookmarkStart w:id="148" w:name="Tc_r-qWmoyxo06C21bTmTPn4g_3_0"/>
      <w:bookmarkStart w:id="149" w:name="Tc_luuKLhfy5UCf4fgkE66yow_2_5"/>
      <w:bookmarkStart w:id="150" w:name="Tc_KNtpcW5deUm5w5GC0wXufQ_2_2"/>
      <w:bookmarkStart w:id="151" w:name="Tc__Rb52oNbtki1FTPQr4FyrA_1_5"/>
      <w:bookmarkStart w:id="152" w:name="Tc_2DI1OPxhV0WAMoOCFFnfzQ_1_2"/>
      <w:bookmarkStart w:id="153" w:name="_b40e166b_744b_4d24_82ee_483a34b92615"/>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tbl>
      <w:tblPr>
        <w:tblW w:w="10205" w:type="dxa"/>
        <w:jc w:val="left"/>
        <w:tblInd w:w="0" w:type="dxa"/>
        <w:tblLayout w:type="fixed"/>
        <w:tblCellMar>
          <w:top w:w="0" w:type="dxa"/>
          <w:left w:w="0" w:type="dxa"/>
          <w:bottom w:w="0" w:type="dxa"/>
          <w:right w:w="0" w:type="dxa"/>
        </w:tblCellMar>
      </w:tblPr>
      <w:tblGrid>
        <w:gridCol w:w="7280"/>
        <w:gridCol w:w="326"/>
        <w:gridCol w:w="201"/>
        <w:gridCol w:w="934"/>
        <w:gridCol w:w="326"/>
        <w:gridCol w:w="223"/>
        <w:gridCol w:w="915"/>
      </w:tblGrid>
      <w:tr>
        <w:trPr/>
        <w:tc>
          <w:tcPr>
            <w:tcW w:w="7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22800" cy="175260"/>
                      <wp:effectExtent l="0" t="0" r="0" b="0"/>
                      <wp:wrapNone/>
                      <wp:docPr id="5" name="Frame5"/>
                      <a:graphic xmlns:a="http://schemas.openxmlformats.org/drawingml/2006/main">
                        <a:graphicData uri="http://schemas.microsoft.com/office/word/2010/wordprocessingShape">
                          <wps:wsp>
                            <wps:cNvSpPr txBox="1"/>
                            <wps:spPr>
                              <a:xfrm>
                                <a:off x="0" y="0"/>
                                <a:ext cx="4622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7635" cy="175260"/>
                      <wp:effectExtent l="0" t="0" r="0" b="0"/>
                      <wp:wrapNone/>
                      <wp:docPr id="7" name="Frame7"/>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93090" cy="175260"/>
                      <wp:effectExtent l="0" t="0" r="0" b="0"/>
                      <wp:wrapNone/>
                      <wp:docPr id="8" name="Frame8"/>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1605" cy="175260"/>
                      <wp:effectExtent l="0" t="0" r="0" b="0"/>
                      <wp:wrapNone/>
                      <wp:docPr id="10" name="Frame1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81025" cy="175260"/>
                      <wp:effectExtent l="0" t="0" r="0" b="0"/>
                      <wp:wrapNone/>
                      <wp:docPr id="11" name="Frame11"/>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    </w:t>
            </w:r>
          </w:p>
        </w:tc>
        <w:tc>
          <w:tcPr>
            <w:tcW w:w="113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11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80"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(unaudited)</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left"/>
              <w:rPr/>
            </w:pPr>
            <w:r>
              <w:rPr/>
              <w:t>​</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  </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2,818</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Held to maturity securities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8,412</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4,011</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4,873</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contracts - dealer financed</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21,044</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29,441</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consumer loans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7,408</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6,801</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notes receivable from mobile home parks (“MHP”)</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15,496</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9,670</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other notes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6,258</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8,927</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35,355</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32,075</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4,998</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4,064</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95,116</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107,081</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Contracts - dealer financed, net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11,388</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595</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 loans receivable, net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143,849</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132,208</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Notes receivable from MHP, net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163,987</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133,072</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notes receivable, net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29,191</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13,795</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6,704</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6,987</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 - leased mobile homes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7,758</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8,824</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ROU assets - operating leases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1,934</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2,663</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1,842</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1,482</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33,874</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30,106</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495,643</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436,813</w:t>
            </w:r>
          </w:p>
        </w:tc>
      </w:tr>
      <w:tr>
        <w:trPr/>
        <w:tc>
          <w:tcPr>
            <w:tcW w:w="7280"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pPr>
            <w:r>
              <w:rPr/>
              <w:t>  </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5,945</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4,549</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20,609</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16,895</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Customer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5,876</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9,715</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Escrow liability</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11,008</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9,653</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514</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43,952</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41,462</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w:t>
              <w:noBreakHyphen/>
              <w:t>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obligations, less current portion</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1,515</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2,121</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Lines of credit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13,013</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2,545</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2,862</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3,065</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Dealer incentive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4,825</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5,516</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66,167</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54,709</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14)</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$.001 par value, 10,000,000 shares authorized: no shares issued or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$.001 par value, 90,000,000 shares authorized; 24,836,862 and 24,814,695 issued and 24,391,797 and 24,369,630 outstanding at September 30, 2023 and December 31, 2022, respectively</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Treasury stock at cost, 445,065 shares at September 30, 2023 and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(4,477)</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(4,477)</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181,240</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180,555</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252,683</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205,996</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429,476</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382,104</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495,643</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436,813</w:t>
            </w:r>
          </w:p>
        </w:tc>
      </w:tr>
    </w:tbl>
    <w:p>
      <w:pPr>
        <w:pStyle w:val="TextBody"/>
        <w:bidi w:val="0"/>
        <w:spacing w:lineRule="atLeast" w:line="240"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unaudited condensed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54" w:name="_421ef97c_0aa2_47e5_92aa_a466157cbf01"/>
      <w:bookmarkEnd w:id="154"/>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55" w:name="Tc_h-u5eS5ImEy46qfA8M6ndg_26_11"/>
      <w:bookmarkStart w:id="156" w:name="Tc_GEvkdLV1IEOUGGEDftyyKA_26_8"/>
      <w:bookmarkStart w:id="157" w:name="Tc_rTTrraZGSE6zt2U3kjX04g_26_5"/>
      <w:bookmarkStart w:id="158" w:name="Tc_saXmHVZs20eO2J2XRjIEpA_26_2"/>
      <w:bookmarkStart w:id="159" w:name="Tc_QpKn-jdzr0a5ZAnVhXPZVg_26_0"/>
      <w:bookmarkStart w:id="160" w:name="Tc_l3BLHffcrUevZeyDRkzYig_25_11"/>
      <w:bookmarkStart w:id="161" w:name="Tc_k6qPs-sBpEmoc6cNyb3VCQ_25_8"/>
      <w:bookmarkStart w:id="162" w:name="Tc_RbV0FT9R_kiunWB0K3JKIA_25_5"/>
      <w:bookmarkStart w:id="163" w:name="Tc_d6fIq9t8tEWisavB0MnXmQ_25_2"/>
      <w:bookmarkStart w:id="164" w:name="Tc_XtYhFoU6VUGzX1hdZVk61w_25_0"/>
      <w:bookmarkStart w:id="165" w:name="Tc_iEhdIpdyx0CokMcdByEGFQ_24_0"/>
      <w:bookmarkStart w:id="166" w:name="Tc_IvTC3RCKk0a-Tzgd61YEMA_23_0"/>
      <w:bookmarkStart w:id="167" w:name="Tc_P4eoNZwUzkaUKUQPr6edvQ_22_0"/>
      <w:bookmarkStart w:id="168" w:name="Tc_5-lsVX3Cl0Ge2fQf_4wXHA_21_0"/>
      <w:bookmarkStart w:id="169" w:name="Tc_NqNfR1ywYk-6hX5J2zivSw_20_11"/>
      <w:bookmarkStart w:id="170" w:name="Tc_JoDo0ETRt0aWuFJpTfpjQg_20_8"/>
      <w:bookmarkStart w:id="171" w:name="Tc_2Lfbv19nvEashEtIYeYttw_20_5"/>
      <w:bookmarkStart w:id="172" w:name="Tc_XbzJIir_l0ukWiMoRY0jeg_20_2"/>
      <w:bookmarkStart w:id="173" w:name="Tc_b13HASIOAE-VcUQop35Qow_20_0"/>
      <w:bookmarkStart w:id="174" w:name="Tc_TJcWCx3OW0ec6FrNNTJ1xg_19_0"/>
      <w:bookmarkStart w:id="175" w:name="Tc_pHULjMflhkGFldC4amNZGg_18_0"/>
      <w:bookmarkStart w:id="176" w:name="Tc_4Kakze37EkuIshxC8_HEOA_17_0"/>
      <w:bookmarkStart w:id="177" w:name="Tc_Pswe7cIYyE6aEYJ3Jn50cA_16_0"/>
      <w:bookmarkStart w:id="178" w:name="Tc_lX2ruM6wA0-FumKPE28n4Q_15_0"/>
      <w:bookmarkStart w:id="179" w:name="Tc_Ai6KEktAD0y_-2VXFiSVBg_14_0"/>
      <w:bookmarkStart w:id="180" w:name="Tc_LrtTCW1GUkeVBDAgNnjRoA_13_0"/>
      <w:bookmarkStart w:id="181" w:name="Tc_vNCFkDFVJ0eOMgsJkK6X3A_12_0"/>
      <w:bookmarkStart w:id="182" w:name="Tc_eMTi_LO9LUavKKSwQOtsTw_11_0"/>
      <w:bookmarkStart w:id="183" w:name="Tc_PD65kVThWkOPW1weNhexIQ_10_0"/>
      <w:bookmarkStart w:id="184" w:name="Tc_njV98amWyUuwYPdtWzw-cw_9_0"/>
      <w:bookmarkStart w:id="185" w:name="Tc_Q14QqyH9iE6JRFzh3KUtqw_8_0"/>
      <w:bookmarkStart w:id="186" w:name="Tc_-fk5HodR_ECEo2Vxo2p7XA_7_0"/>
      <w:bookmarkStart w:id="187" w:name="Tc_UiuhlC460EiFO54cqY6fFQ_6_0"/>
      <w:bookmarkStart w:id="188" w:name="Tc_ULFFN1i-ake27P0UiBG4cA_5_0"/>
      <w:bookmarkStart w:id="189" w:name="Tc_bGh2E5vAHUSwscmizeLC7g_4_11"/>
      <w:bookmarkStart w:id="190" w:name="Tc_T1hTFbH4-U2DVrBXQslU2w_4_8"/>
      <w:bookmarkStart w:id="191" w:name="Tc_rQPhbk_WeE6ioi6IPbuV-g_4_5"/>
      <w:bookmarkStart w:id="192" w:name="Tc_rlcW8051JUCGPJCgWv7vOw_4_2"/>
      <w:bookmarkStart w:id="193" w:name="Tc_P6yn0NPAP0ilIwg5alling_4_0"/>
      <w:bookmarkStart w:id="194" w:name="Tc_TR0qjvIh90KRfi582tVsvg_3_0"/>
      <w:bookmarkStart w:id="195" w:name="Tc_NKg7dfmMuUKL3jEB0zRB-g_2_11"/>
      <w:bookmarkStart w:id="196" w:name="Tc_Gu6-0nyxdUmMzTI835R-gw_2_8"/>
      <w:bookmarkStart w:id="197" w:name="Tc_Rwe1ZZHM0kuF3Q7zEABBOg_2_5"/>
      <w:bookmarkStart w:id="198" w:name="Tc_QK_Vdh6y50iRWor_l1ukag_2_2"/>
      <w:bookmarkStart w:id="199" w:name="Tc_vSkFeduM00KWLOkV0SdVpQ_1_8"/>
      <w:bookmarkStart w:id="200" w:name="Tc_GzUYJ2tkE0OCi56hMUvhAg_1_2"/>
      <w:bookmarkStart w:id="201" w:name="_7a29ed4b_e30f_4141_83ab_845cd2833d92"/>
      <w:bookmarkStart w:id="202" w:name="Tc_h-u5eS5ImEy46qfA8M6ndg_26_11"/>
      <w:bookmarkStart w:id="203" w:name="Tc_GEvkdLV1IEOUGGEDftyyKA_26_8"/>
      <w:bookmarkStart w:id="204" w:name="Tc_rTTrraZGSE6zt2U3kjX04g_26_5"/>
      <w:bookmarkStart w:id="205" w:name="Tc_saXmHVZs20eO2J2XRjIEpA_26_2"/>
      <w:bookmarkStart w:id="206" w:name="Tc_QpKn-jdzr0a5ZAnVhXPZVg_26_0"/>
      <w:bookmarkStart w:id="207" w:name="Tc_l3BLHffcrUevZeyDRkzYig_25_11"/>
      <w:bookmarkStart w:id="208" w:name="Tc_k6qPs-sBpEmoc6cNyb3VCQ_25_8"/>
      <w:bookmarkStart w:id="209" w:name="Tc_RbV0FT9R_kiunWB0K3JKIA_25_5"/>
      <w:bookmarkStart w:id="210" w:name="Tc_d6fIq9t8tEWisavB0MnXmQ_25_2"/>
      <w:bookmarkStart w:id="211" w:name="Tc_XtYhFoU6VUGzX1hdZVk61w_25_0"/>
      <w:bookmarkStart w:id="212" w:name="Tc_iEhdIpdyx0CokMcdByEGFQ_24_0"/>
      <w:bookmarkStart w:id="213" w:name="Tc_IvTC3RCKk0a-Tzgd61YEMA_23_0"/>
      <w:bookmarkStart w:id="214" w:name="Tc_P4eoNZwUzkaUKUQPr6edvQ_22_0"/>
      <w:bookmarkStart w:id="215" w:name="Tc_5-lsVX3Cl0Ge2fQf_4wXHA_21_0"/>
      <w:bookmarkStart w:id="216" w:name="Tc_NqNfR1ywYk-6hX5J2zivSw_20_11"/>
      <w:bookmarkStart w:id="217" w:name="Tc_JoDo0ETRt0aWuFJpTfpjQg_20_8"/>
      <w:bookmarkStart w:id="218" w:name="Tc_2Lfbv19nvEashEtIYeYttw_20_5"/>
      <w:bookmarkStart w:id="219" w:name="Tc_XbzJIir_l0ukWiMoRY0jeg_20_2"/>
      <w:bookmarkStart w:id="220" w:name="Tc_b13HASIOAE-VcUQop35Qow_20_0"/>
      <w:bookmarkStart w:id="221" w:name="Tc_TJcWCx3OW0ec6FrNNTJ1xg_19_0"/>
      <w:bookmarkStart w:id="222" w:name="Tc_pHULjMflhkGFldC4amNZGg_18_0"/>
      <w:bookmarkStart w:id="223" w:name="Tc_4Kakze37EkuIshxC8_HEOA_17_0"/>
      <w:bookmarkStart w:id="224" w:name="Tc_Pswe7cIYyE6aEYJ3Jn50cA_16_0"/>
      <w:bookmarkStart w:id="225" w:name="Tc_lX2ruM6wA0-FumKPE28n4Q_15_0"/>
      <w:bookmarkStart w:id="226" w:name="Tc_Ai6KEktAD0y_-2VXFiSVBg_14_0"/>
      <w:bookmarkStart w:id="227" w:name="Tc_LrtTCW1GUkeVBDAgNnjRoA_13_0"/>
      <w:bookmarkStart w:id="228" w:name="Tc_vNCFkDFVJ0eOMgsJkK6X3A_12_0"/>
      <w:bookmarkStart w:id="229" w:name="Tc_eMTi_LO9LUavKKSwQOtsTw_11_0"/>
      <w:bookmarkStart w:id="230" w:name="Tc_PD65kVThWkOPW1weNhexIQ_10_0"/>
      <w:bookmarkStart w:id="231" w:name="Tc_njV98amWyUuwYPdtWzw-cw_9_0"/>
      <w:bookmarkStart w:id="232" w:name="Tc_Q14QqyH9iE6JRFzh3KUtqw_8_0"/>
      <w:bookmarkStart w:id="233" w:name="Tc_-fk5HodR_ECEo2Vxo2p7XA_7_0"/>
      <w:bookmarkStart w:id="234" w:name="Tc_UiuhlC460EiFO54cqY6fFQ_6_0"/>
      <w:bookmarkStart w:id="235" w:name="Tc_ULFFN1i-ake27P0UiBG4cA_5_0"/>
      <w:bookmarkStart w:id="236" w:name="Tc_bGh2E5vAHUSwscmizeLC7g_4_11"/>
      <w:bookmarkStart w:id="237" w:name="Tc_T1hTFbH4-U2DVrBXQslU2w_4_8"/>
      <w:bookmarkStart w:id="238" w:name="Tc_rQPhbk_WeE6ioi6IPbuV-g_4_5"/>
      <w:bookmarkStart w:id="239" w:name="Tc_rlcW8051JUCGPJCgWv7vOw_4_2"/>
      <w:bookmarkStart w:id="240" w:name="Tc_P6yn0NPAP0ilIwg5alling_4_0"/>
      <w:bookmarkStart w:id="241" w:name="Tc_TR0qjvIh90KRfi582tVsvg_3_0"/>
      <w:bookmarkStart w:id="242" w:name="Tc_NKg7dfmMuUKL3jEB0zRB-g_2_11"/>
      <w:bookmarkStart w:id="243" w:name="Tc_Gu6-0nyxdUmMzTI835R-gw_2_8"/>
      <w:bookmarkStart w:id="244" w:name="Tc_Rwe1ZZHM0kuF3Q7zEABBOg_2_5"/>
      <w:bookmarkStart w:id="245" w:name="Tc_QK_Vdh6y50iRWor_l1ukag_2_2"/>
      <w:bookmarkStart w:id="246" w:name="Tc_vSkFeduM00KWLOkV0SdVpQ_1_8"/>
      <w:bookmarkStart w:id="247" w:name="Tc_GzUYJ2tkE0OCi56hMUvhAg_1_2"/>
      <w:bookmarkStart w:id="248" w:name="_7a29ed4b_e30f_4141_83ab_845cd2833d92"/>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tbl>
      <w:tblPr>
        <w:tblW w:w="9903" w:type="dxa"/>
        <w:jc w:val="left"/>
        <w:tblInd w:w="0" w:type="dxa"/>
        <w:tblLayout w:type="fixed"/>
        <w:tblCellMar>
          <w:top w:w="0" w:type="dxa"/>
          <w:left w:w="0" w:type="dxa"/>
          <w:bottom w:w="0" w:type="dxa"/>
          <w:right w:w="0" w:type="dxa"/>
        </w:tblCellMar>
      </w:tblPr>
      <w:tblGrid>
        <w:gridCol w:w="3736"/>
        <w:gridCol w:w="146"/>
        <w:gridCol w:w="214"/>
        <w:gridCol w:w="1054"/>
        <w:gridCol w:w="148"/>
        <w:gridCol w:w="214"/>
        <w:gridCol w:w="1054"/>
        <w:gridCol w:w="326"/>
        <w:gridCol w:w="211"/>
        <w:gridCol w:w="1036"/>
        <w:gridCol w:w="326"/>
        <w:gridCol w:w="211"/>
        <w:gridCol w:w="1036"/>
        <w:gridCol w:w="19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372360" cy="175260"/>
                      <wp:effectExtent l="0" t="0" r="0" b="0"/>
                      <wp:wrapNone/>
                      <wp:docPr id="12" name="Frame12"/>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2710" cy="175260"/>
                      <wp:effectExtent l="0" t="0" r="0" b="0"/>
                      <wp:wrapNone/>
                      <wp:docPr id="13" name="Frame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5890" cy="175260"/>
                      <wp:effectExtent l="0" t="0" r="0" b="0"/>
                      <wp:wrapNone/>
                      <wp:docPr id="14" name="Frame1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90" cy="175260"/>
                      <wp:effectExtent l="0" t="0" r="0" b="0"/>
                      <wp:wrapNone/>
                      <wp:docPr id="15" name="Frame15"/>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3980" cy="175260"/>
                      <wp:effectExtent l="0" t="0" r="0" b="0"/>
                      <wp:wrapNone/>
                      <wp:docPr id="16" name="Frame16"/>
                      <a:graphic xmlns:a="http://schemas.openxmlformats.org/drawingml/2006/main">
                        <a:graphicData uri="http://schemas.microsoft.com/office/word/2010/wordprocessingShape">
                          <wps:wsp>
                            <wps:cNvSpPr txBox="1"/>
                            <wps:spPr>
                              <a:xfrm>
                                <a:off x="0" y="0"/>
                                <a:ext cx="93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5890" cy="175260"/>
                      <wp:effectExtent l="0" t="0" r="0" b="0"/>
                      <wp:wrapNone/>
                      <wp:docPr id="17" name="Frame1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90" cy="175260"/>
                      <wp:effectExtent l="0" t="0" r="0" b="0"/>
                      <wp:wrapNone/>
                      <wp:docPr id="18" name="Frame18"/>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24" name="Frame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285" cy="175260"/>
                      <wp:effectExtent l="0" t="0" r="0" b="0"/>
                      <wp:wrapNone/>
                      <wp:docPr id="25" name="Frame2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8" w:type="dxa"/>
            <w:tcBorders/>
            <w:vAlign w:val="center"/>
          </w:tcPr>
          <w:p>
            <w:pPr>
              <w:pStyle w:val="TableContents"/>
              <w:bidi w:val="0"/>
              <w:spacing w:before="0" w:after="0"/>
              <w:ind w:left="0" w:right="0" w:hanging="0"/>
              <w:jc w:val="left"/>
              <w:rPr/>
            </w:pPr>
            <w:r>
              <w:rPr/>
              <w:t>​</w:t>
            </w:r>
          </w:p>
        </w:tc>
        <w:tc>
          <w:tcPr>
            <w:tcW w:w="12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1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righ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37,008</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155,563</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and MHP loans interest</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8,803</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21,264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4,126</w:t>
            </w:r>
          </w:p>
        </w:tc>
        <w:tc>
          <w:tcPr>
            <w:tcW w:w="148"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4,637</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49,937</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181,464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24,820</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6,108</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20,287</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incentive</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19,014</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55,590</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  </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w:t>
              <w:noBreakHyphen/>
              <w:t>operating interest income</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 net</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148"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19,468</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58,298</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16,088</w:t>
            </w:r>
          </w:p>
        </w:tc>
        <w:tc>
          <w:tcPr>
            <w:tcW w:w="148"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48,088</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righ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24,391,797</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24,406,020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24,382,519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24,356,809</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25,128,679</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25,379,116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25,099,985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25,024,488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right"/>
              <w:rPr/>
            </w:pPr>
            <w:r>
              <w:rPr/>
              <w:t>​</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0.66</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0.64</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720"/>
        <w:jc w:val="center"/>
        <w:rPr>
          <w:rFonts w:ascii="Times New Roman;Times;serif" w:hAnsi="Times New Roman;Times;serif"/>
          <w:sz w:val="20"/>
        </w:rPr>
      </w:pPr>
      <w:r>
        <w:rPr>
          <w:rFonts w:ascii="Times New Roman;Times;serif" w:hAnsi="Times New Roman;Times;serif"/>
          <w:sz w:val="20"/>
        </w:rPr>
        <w:t>See accompanying notes to unaudited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120"/>
        <w:ind w:left="0" w:right="0" w:hanging="0"/>
        <w:jc w:val="center"/>
        <w:rPr>
          <w:rFonts w:ascii="Times New Roman;Times;serif" w:hAnsi="Times New Roman;Times;serif"/>
          <w:b/>
          <w:sz w:val="20"/>
        </w:rPr>
      </w:pPr>
      <w:bookmarkStart w:id="249" w:name="_8dc9b10b_1f6b_41dd_b4d7_3a076d1e24db"/>
      <w:bookmarkEnd w:id="249"/>
      <w:r>
        <w:rPr>
          <w:rFonts w:ascii="Times New Roman;Times;serif" w:hAnsi="Times New Roman;Times;serif"/>
          <w:b/>
          <w:sz w:val="20"/>
        </w:rPr>
        <w:t>LEGACY HOUSING CORPORATION</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CASH FLOWS</w:t>
      </w:r>
    </w:p>
    <w:p>
      <w:pPr>
        <w:pStyle w:val="TextBody"/>
        <w:bidi w:val="0"/>
        <w:spacing w:lineRule="atLeast" w:line="200" w:before="0" w:after="12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Normal"/>
        <w:bidi w:val="0"/>
        <w:spacing w:before="0" w:after="0"/>
        <w:jc w:val="left"/>
        <w:rPr>
          <w:sz w:val="4"/>
          <w:szCs w:val="4"/>
        </w:rPr>
      </w:pPr>
      <w:r>
        <w:rPr>
          <w:sz w:val="4"/>
          <w:szCs w:val="4"/>
        </w:rPr>
      </w:r>
      <w:bookmarkStart w:id="250" w:name="Tc_L4GGGiDbEUazxGYqR6m8BA_48_5"/>
      <w:bookmarkStart w:id="251" w:name="Tc_2yR2rr6uJUaUUeCWUGiN9Q_48_2"/>
      <w:bookmarkStart w:id="252" w:name="Tc_PSWFAiPPXE2-5Ukgn2KwSw_48_0"/>
      <w:bookmarkStart w:id="253" w:name="Tc_5-Q3LizXN0WZO9RxgZTLcg_47_5"/>
      <w:bookmarkStart w:id="254" w:name="Tc_CYWl6mzn7kWTykl5dsR3wA_47_2"/>
      <w:bookmarkStart w:id="255" w:name="Tc_gyn0eJ15zEaxGDqquySXFQ_47_0"/>
      <w:bookmarkStart w:id="256" w:name="Tc_NmovsWpHaESMfrSYZ0_QUw_46_0"/>
      <w:bookmarkStart w:id="257" w:name="Tc_TooJ2tkqkkGUi5HIQ-eZLQ_45_5"/>
      <w:bookmarkStart w:id="258" w:name="Tc_DakwwGHZdkKGArAycLu7uw_45_2"/>
      <w:bookmarkStart w:id="259" w:name="Tc_vZCcOxv_EE2YHsxaEDHRcw_45_0"/>
      <w:bookmarkStart w:id="260" w:name="Tc_H--J6DIxVEKB29SB7k1MKw_44_0"/>
      <w:bookmarkStart w:id="261" w:name="Tc_q7Osy0oipEG02BSz-Qk9cQ_43_0"/>
      <w:bookmarkStart w:id="262" w:name="Tc_TPW0WGzug0uqoiY4eIRVww_42_0"/>
      <w:bookmarkStart w:id="263" w:name="Tc_zlzhBgtnjUqdMgR85JowgA_41_0"/>
      <w:bookmarkStart w:id="264" w:name="Tc_KA13zbscA02IG4nI3hLDUA_40_0"/>
      <w:bookmarkStart w:id="265" w:name="Tc_IgbLuyXqpUi37o7J8_aF_w_39_6"/>
      <w:bookmarkStart w:id="266" w:name="Tc_cyc6cadoK0SB1wVgOTa3Ig_39_0"/>
      <w:bookmarkStart w:id="267" w:name="Tc_jAnnG3grpEaQ6EEhgMJwpA_38_0"/>
      <w:bookmarkStart w:id="268" w:name="Tc_ZakiImw9eUqgi8PSEHk4rQ_37_0"/>
      <w:bookmarkStart w:id="269" w:name="Tc_d76eJOqt2E2OcUKr7QyxJQ_36_0"/>
      <w:bookmarkStart w:id="270" w:name="Tc_hXGGGaK9zkuHdjqRSjEPZA_35_0"/>
      <w:bookmarkStart w:id="271" w:name="Tc_Y4JPcFyONUOvN1UwuqfWkQ_34_0"/>
      <w:bookmarkStart w:id="272" w:name="Tc_dNbgksPmd0isreI3t9CI_A_33_6"/>
      <w:bookmarkStart w:id="273" w:name="Tc_g2Pe0kQ2cUi-Svd13_x6fA_33_0"/>
      <w:bookmarkStart w:id="274" w:name="Tc_zb0QRSv0Lkib5FPps5uJUQ_32_6"/>
      <w:bookmarkStart w:id="275" w:name="Tc_nH8LnLGeW0uDCOdlAPSPag_32_0"/>
      <w:bookmarkStart w:id="276" w:name="Tc_gjTSTlEdTkeQWSLBlTOBEA_31_0"/>
      <w:bookmarkStart w:id="277" w:name="Tc_UnByqApp7U-Fk6Yw-ngv2Q_30_0"/>
      <w:bookmarkStart w:id="278" w:name="Tc_e_SOZjuHaUuoB-tlJqpSBQ_29_0"/>
      <w:bookmarkStart w:id="279" w:name="Tc_46WXUPmZUkKszB90zoMyvg_28_0"/>
      <w:bookmarkStart w:id="280" w:name="Tc_60RPuFGqU0e7dvQPHLJcrA_27_0"/>
      <w:bookmarkStart w:id="281" w:name="Tc_xqPiBRrrpUqgPw8uS19C7g_26_0"/>
      <w:bookmarkStart w:id="282" w:name="Tc_0BSN1q1jcEmKINPLoQI3tA_25_6"/>
      <w:bookmarkStart w:id="283" w:name="Tc_qyses0aIYE2NL1OyiX6N4A_25_0"/>
      <w:bookmarkStart w:id="284" w:name="Tc_xke2gs9an06R2AgCwo3Vpw_24_0"/>
      <w:bookmarkStart w:id="285" w:name="Tc_dY-yQCM5dEOvmyV8UWsuJw_23_0"/>
      <w:bookmarkStart w:id="286" w:name="Tc_pFUsqFeQdUuxcqjzPHcwfA_22_0"/>
      <w:bookmarkStart w:id="287" w:name="Tc_huT_8fu-8E6LYdQMZYGf5A_21_0"/>
      <w:bookmarkStart w:id="288" w:name="Tc_VwMu_4jS8Ueo3l-M5FNHfA_20_0"/>
      <w:bookmarkStart w:id="289" w:name="Tc_aX0p2h-zAkSjTtvx4iyuRQ_19_0"/>
      <w:bookmarkStart w:id="290" w:name="Tc_wn_KdxEEeEOf0K5MrX-urw_18_0"/>
      <w:bookmarkStart w:id="291" w:name="Tc_8VD_yH6b5Uet2kV83DgZyg_17_0"/>
      <w:bookmarkStart w:id="292" w:name="Tc_8aVELxZo80GjPMCJUAfsEA_16_0"/>
      <w:bookmarkStart w:id="293" w:name="Tc_fKw0k9uwSEydpK7On4X-0Q_15_0"/>
      <w:bookmarkStart w:id="294" w:name="Tc_Ay1qTkqWP0Sh9iKUci2kog_14_6"/>
      <w:bookmarkStart w:id="295" w:name="Tc_YPmrc28MpUyfE39fzBA-AQ_14_0"/>
      <w:bookmarkStart w:id="296" w:name="Tc_O2j_CDNaDkmCZ5TSD7peBw_13_0"/>
      <w:bookmarkStart w:id="297" w:name="Tc_hmbEQMPCFk2EcaXOW7NjtQ_12_6"/>
      <w:bookmarkStart w:id="298" w:name="Tc_EN_gUmlVrEiJrF4hvAlHQw_12_0"/>
      <w:bookmarkStart w:id="299" w:name="Tc_ilZaL3KfMU6GwB_IwR1tuw_11_0"/>
      <w:bookmarkStart w:id="300" w:name="Tc_j8Kg0fTyTUSXqIHZbPEOWA_10_0"/>
      <w:bookmarkStart w:id="301" w:name="Tc_UmPwf2Skz02iHEgTyVaL0Q_9_6"/>
      <w:bookmarkStart w:id="302" w:name="Tc_Z7hzFyP9WkOIBoHrAAhCYQ_9_0"/>
      <w:bookmarkStart w:id="303" w:name="Tc_taKUG24FpEStVyB0EsFdnA_8_6"/>
      <w:bookmarkStart w:id="304" w:name="Tc_6HZHoCygJkKBVFv-KxiWaQ_8_0"/>
      <w:bookmarkStart w:id="305" w:name="Tc_BTyQAvrAeUy_1PTlA72AtQ_7_0"/>
      <w:bookmarkStart w:id="306" w:name="Tc_pnGUERNvUUmrnL9TS6iJlA_6_0"/>
      <w:bookmarkStart w:id="307" w:name="Tc_vXb3fBGA6kW6nGBk3d3CBg_5_0"/>
      <w:bookmarkStart w:id="308" w:name="Tc_38zXyOLOLE6KZMM166zUig_4_5"/>
      <w:bookmarkStart w:id="309" w:name="Tc_ZHWLKuLDwEq5Ts7PEozSyA_4_2"/>
      <w:bookmarkStart w:id="310" w:name="Tc_rIU1-U0OUk-xC38rIj5aPQ_4_0"/>
      <w:bookmarkStart w:id="311" w:name="Tc_4ZkIOHU1Y026VFnAD1eziQ_3_0"/>
      <w:bookmarkStart w:id="312" w:name="Tc_SqbbzHjo0UurvxxuALe3rg_2_5"/>
      <w:bookmarkStart w:id="313" w:name="Tc_yMeoczyqWEu5DWrm1YyaJw_2_2"/>
      <w:bookmarkStart w:id="314" w:name="Tc_Vi8m6c89fEuZ169IpF4hrA_1_2"/>
      <w:bookmarkStart w:id="315" w:name="_8aca14f0_f3f2_42d5_b562_baefeb3465e8"/>
      <w:bookmarkStart w:id="316" w:name="Tc_L4GGGiDbEUazxGYqR6m8BA_48_5"/>
      <w:bookmarkStart w:id="317" w:name="Tc_2yR2rr6uJUaUUeCWUGiN9Q_48_2"/>
      <w:bookmarkStart w:id="318" w:name="Tc_PSWFAiPPXE2-5Ukgn2KwSw_48_0"/>
      <w:bookmarkStart w:id="319" w:name="Tc_5-Q3LizXN0WZO9RxgZTLcg_47_5"/>
      <w:bookmarkStart w:id="320" w:name="Tc_CYWl6mzn7kWTykl5dsR3wA_47_2"/>
      <w:bookmarkStart w:id="321" w:name="Tc_gyn0eJ15zEaxGDqquySXFQ_47_0"/>
      <w:bookmarkStart w:id="322" w:name="Tc_NmovsWpHaESMfrSYZ0_QUw_46_0"/>
      <w:bookmarkStart w:id="323" w:name="Tc_TooJ2tkqkkGUi5HIQ-eZLQ_45_5"/>
      <w:bookmarkStart w:id="324" w:name="Tc_DakwwGHZdkKGArAycLu7uw_45_2"/>
      <w:bookmarkStart w:id="325" w:name="Tc_vZCcOxv_EE2YHsxaEDHRcw_45_0"/>
      <w:bookmarkStart w:id="326" w:name="Tc_H--J6DIxVEKB29SB7k1MKw_44_0"/>
      <w:bookmarkStart w:id="327" w:name="Tc_q7Osy0oipEG02BSz-Qk9cQ_43_0"/>
      <w:bookmarkStart w:id="328" w:name="Tc_TPW0WGzug0uqoiY4eIRVww_42_0"/>
      <w:bookmarkStart w:id="329" w:name="Tc_zlzhBgtnjUqdMgR85JowgA_41_0"/>
      <w:bookmarkStart w:id="330" w:name="Tc_KA13zbscA02IG4nI3hLDUA_40_0"/>
      <w:bookmarkStart w:id="331" w:name="Tc_IgbLuyXqpUi37o7J8_aF_w_39_6"/>
      <w:bookmarkStart w:id="332" w:name="Tc_cyc6cadoK0SB1wVgOTa3Ig_39_0"/>
      <w:bookmarkStart w:id="333" w:name="Tc_jAnnG3grpEaQ6EEhgMJwpA_38_0"/>
      <w:bookmarkStart w:id="334" w:name="Tc_ZakiImw9eUqgi8PSEHk4rQ_37_0"/>
      <w:bookmarkStart w:id="335" w:name="Tc_d76eJOqt2E2OcUKr7QyxJQ_36_0"/>
      <w:bookmarkStart w:id="336" w:name="Tc_hXGGGaK9zkuHdjqRSjEPZA_35_0"/>
      <w:bookmarkStart w:id="337" w:name="Tc_Y4JPcFyONUOvN1UwuqfWkQ_34_0"/>
      <w:bookmarkStart w:id="338" w:name="Tc_dNbgksPmd0isreI3t9CI_A_33_6"/>
      <w:bookmarkStart w:id="339" w:name="Tc_g2Pe0kQ2cUi-Svd13_x6fA_33_0"/>
      <w:bookmarkStart w:id="340" w:name="Tc_zb0QRSv0Lkib5FPps5uJUQ_32_6"/>
      <w:bookmarkStart w:id="341" w:name="Tc_nH8LnLGeW0uDCOdlAPSPag_32_0"/>
      <w:bookmarkStart w:id="342" w:name="Tc_gjTSTlEdTkeQWSLBlTOBEA_31_0"/>
      <w:bookmarkStart w:id="343" w:name="Tc_UnByqApp7U-Fk6Yw-ngv2Q_30_0"/>
      <w:bookmarkStart w:id="344" w:name="Tc_e_SOZjuHaUuoB-tlJqpSBQ_29_0"/>
      <w:bookmarkStart w:id="345" w:name="Tc_46WXUPmZUkKszB90zoMyvg_28_0"/>
      <w:bookmarkStart w:id="346" w:name="Tc_60RPuFGqU0e7dvQPHLJcrA_27_0"/>
      <w:bookmarkStart w:id="347" w:name="Tc_xqPiBRrrpUqgPw8uS19C7g_26_0"/>
      <w:bookmarkStart w:id="348" w:name="Tc_0BSN1q1jcEmKINPLoQI3tA_25_6"/>
      <w:bookmarkStart w:id="349" w:name="Tc_qyses0aIYE2NL1OyiX6N4A_25_0"/>
      <w:bookmarkStart w:id="350" w:name="Tc_xke2gs9an06R2AgCwo3Vpw_24_0"/>
      <w:bookmarkStart w:id="351" w:name="Tc_dY-yQCM5dEOvmyV8UWsuJw_23_0"/>
      <w:bookmarkStart w:id="352" w:name="Tc_pFUsqFeQdUuxcqjzPHcwfA_22_0"/>
      <w:bookmarkStart w:id="353" w:name="Tc_huT_8fu-8E6LYdQMZYGf5A_21_0"/>
      <w:bookmarkStart w:id="354" w:name="Tc_VwMu_4jS8Ueo3l-M5FNHfA_20_0"/>
      <w:bookmarkStart w:id="355" w:name="Tc_aX0p2h-zAkSjTtvx4iyuRQ_19_0"/>
      <w:bookmarkStart w:id="356" w:name="Tc_wn_KdxEEeEOf0K5MrX-urw_18_0"/>
      <w:bookmarkStart w:id="357" w:name="Tc_8VD_yH6b5Uet2kV83DgZyg_17_0"/>
      <w:bookmarkStart w:id="358" w:name="Tc_8aVELxZo80GjPMCJUAfsEA_16_0"/>
      <w:bookmarkStart w:id="359" w:name="Tc_fKw0k9uwSEydpK7On4X-0Q_15_0"/>
      <w:bookmarkStart w:id="360" w:name="Tc_Ay1qTkqWP0Sh9iKUci2kog_14_6"/>
      <w:bookmarkStart w:id="361" w:name="Tc_YPmrc28MpUyfE39fzBA-AQ_14_0"/>
      <w:bookmarkStart w:id="362" w:name="Tc_O2j_CDNaDkmCZ5TSD7peBw_13_0"/>
      <w:bookmarkStart w:id="363" w:name="Tc_hmbEQMPCFk2EcaXOW7NjtQ_12_6"/>
      <w:bookmarkStart w:id="364" w:name="Tc_EN_gUmlVrEiJrF4hvAlHQw_12_0"/>
      <w:bookmarkStart w:id="365" w:name="Tc_ilZaL3KfMU6GwB_IwR1tuw_11_0"/>
      <w:bookmarkStart w:id="366" w:name="Tc_j8Kg0fTyTUSXqIHZbPEOWA_10_0"/>
      <w:bookmarkStart w:id="367" w:name="Tc_UmPwf2Skz02iHEgTyVaL0Q_9_6"/>
      <w:bookmarkStart w:id="368" w:name="Tc_Z7hzFyP9WkOIBoHrAAhCYQ_9_0"/>
      <w:bookmarkStart w:id="369" w:name="Tc_taKUG24FpEStVyB0EsFdnA_8_6"/>
      <w:bookmarkStart w:id="370" w:name="Tc_6HZHoCygJkKBVFv-KxiWaQ_8_0"/>
      <w:bookmarkStart w:id="371" w:name="Tc_BTyQAvrAeUy_1PTlA72AtQ_7_0"/>
      <w:bookmarkStart w:id="372" w:name="Tc_pnGUERNvUUmrnL9TS6iJlA_6_0"/>
      <w:bookmarkStart w:id="373" w:name="Tc_vXb3fBGA6kW6nGBk3d3CBg_5_0"/>
      <w:bookmarkStart w:id="374" w:name="Tc_38zXyOLOLE6KZMM166zUig_4_5"/>
      <w:bookmarkStart w:id="375" w:name="Tc_ZHWLKuLDwEq5Ts7PEozSyA_4_2"/>
      <w:bookmarkStart w:id="376" w:name="Tc_rIU1-U0OUk-xC38rIj5aPQ_4_0"/>
      <w:bookmarkStart w:id="377" w:name="Tc_4ZkIOHU1Y026VFnAD1eziQ_3_0"/>
      <w:bookmarkStart w:id="378" w:name="Tc_SqbbzHjo0UurvxxuALe3rg_2_5"/>
      <w:bookmarkStart w:id="379" w:name="Tc_yMeoczyqWEu5DWrm1YyaJw_2_2"/>
      <w:bookmarkStart w:id="380" w:name="Tc_Vi8m6c89fEuZ169IpF4hrA_1_2"/>
      <w:bookmarkStart w:id="381" w:name="_8aca14f0_f3f2_42d5_b562_baefeb3465e8"/>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tbl>
      <w:tblPr>
        <w:tblW w:w="10205" w:type="dxa"/>
        <w:jc w:val="left"/>
        <w:tblInd w:w="0" w:type="dxa"/>
        <w:tblLayout w:type="fixed"/>
        <w:tblCellMar>
          <w:top w:w="0" w:type="dxa"/>
          <w:left w:w="0" w:type="dxa"/>
          <w:bottom w:w="0" w:type="dxa"/>
          <w:right w:w="0" w:type="dxa"/>
        </w:tblCellMar>
      </w:tblPr>
      <w:tblGrid>
        <w:gridCol w:w="6936"/>
        <w:gridCol w:w="326"/>
        <w:gridCol w:w="222"/>
        <w:gridCol w:w="835"/>
        <w:gridCol w:w="344"/>
        <w:gridCol w:w="222"/>
        <w:gridCol w:w="946"/>
        <w:gridCol w:w="374"/>
      </w:tblGrid>
      <w:tr>
        <w:trPr/>
        <w:tc>
          <w:tcPr>
            <w:tcW w:w="6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404360" cy="175260"/>
                      <wp:effectExtent l="0" t="0" r="0" b="0"/>
                      <wp:wrapNone/>
                      <wp:docPr id="26" name="Frame26"/>
                      <a:graphic xmlns:a="http://schemas.openxmlformats.org/drawingml/2006/main">
                        <a:graphicData uri="http://schemas.microsoft.com/office/word/2010/wordprocessingShape">
                          <wps:wsp>
                            <wps:cNvSpPr txBox="1"/>
                            <wps:spPr>
                              <a:xfrm>
                                <a:off x="0" y="0"/>
                                <a:ext cx="440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0970" cy="175260"/>
                      <wp:effectExtent l="0" t="0" r="0" b="0"/>
                      <wp:wrapNone/>
                      <wp:docPr id="28" name="Frame2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30225" cy="175260"/>
                      <wp:effectExtent l="0" t="0" r="0" b="0"/>
                      <wp:wrapNone/>
                      <wp:docPr id="29" name="Frame29"/>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8440" cy="175260"/>
                      <wp:effectExtent l="0" t="0" r="0" b="0"/>
                      <wp:wrapNone/>
                      <wp:docPr id="30" name="Frame30"/>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0970" cy="175260"/>
                      <wp:effectExtent l="0" t="0" r="0" b="0"/>
                      <wp:wrapNone/>
                      <wp:docPr id="31" name="Frame31"/>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00710" cy="175260"/>
                      <wp:effectExtent l="0" t="0" r="0" b="0"/>
                      <wp:wrapNone/>
                      <wp:docPr id="32" name="Frame3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37490" cy="175260"/>
                      <wp:effectExtent l="0" t="0" r="0" b="0"/>
                      <wp:wrapNone/>
                      <wp:docPr id="33" name="Frame33"/>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4" w:type="dxa"/>
            <w:tcBorders/>
            <w:vAlign w:val="center"/>
          </w:tcPr>
          <w:p>
            <w:pPr>
              <w:pStyle w:val="TableContents"/>
              <w:bidi w:val="0"/>
              <w:spacing w:before="0" w:after="0"/>
              <w:ind w:left="0" w:right="0" w:hanging="0"/>
              <w:jc w:val="left"/>
              <w:rPr/>
            </w:pPr>
            <w:r>
              <w:rPr/>
              <w:t>    </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4" w:type="dxa"/>
            <w:tcBorders/>
            <w:vAlign w:val="center"/>
          </w:tcPr>
          <w:p>
            <w:pPr>
              <w:pStyle w:val="TableContents"/>
              <w:bidi w:val="0"/>
              <w:spacing w:before="0" w:after="0"/>
              <w:ind w:left="0" w:right="0" w:hanging="0"/>
              <w:jc w:val="left"/>
              <w:rPr/>
            </w:pPr>
            <w:r>
              <w:rPr/>
              <w:t>    </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center"/>
              <w:rPr/>
            </w:pPr>
            <w:r>
              <w:rPr/>
              <w:t>​</w:t>
            </w:r>
          </w:p>
        </w:tc>
        <w:tc>
          <w:tcPr>
            <w:tcW w:w="374" w:type="dxa"/>
            <w:tcBorders/>
            <w:shd w:fill="CCEEFF" w:val="clear"/>
            <w:vAlign w:val="center"/>
          </w:tcPr>
          <w:p>
            <w:pPr>
              <w:pStyle w:val="TableContents"/>
              <w:bidi w:val="0"/>
              <w:spacing w:before="0" w:after="0"/>
              <w:ind w:left="0" w:right="0" w:hanging="0"/>
              <w:jc w:val="left"/>
              <w:rPr/>
            </w:pPr>
            <w:r>
              <w:rPr/>
              <w:t> </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47,384</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48,088</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(used in)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pPr>
            <w:r>
              <w:rPr/>
              <w:t>  </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treasury note discount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lines of credit cost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accounts and notes receivable</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from sale of leased property</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operating lease right of use asset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3,022</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disposal of treasury note</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payment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4,744</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loans activity, net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(12,199)</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(8,752)</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receivable MHP activity, net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(36,868)</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(28,052)</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inventory loan activity, net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(7,757)</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(3,011)</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(10,025)</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(4,421)</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5,110</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(2,987)</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activity, net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deposits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4,491</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Escrow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incentive liability</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344"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(5,284)</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pPr>
            <w:r>
              <w:rPr/>
              <w:t>  </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(4,572)</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leased property</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of investments - treasury notes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notes receivable</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(13,946)</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(3,053)</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receivable collections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23,544</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Collections from purchased loans</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4"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(7,556)</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17,595</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lines of credit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84,336</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108,594</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lines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(73,868)</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(116,753)</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10,568</w:t>
            </w:r>
          </w:p>
        </w:tc>
        <w:tc>
          <w:tcPr>
            <w:tcW w:w="344"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(8,159)</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10,226</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344"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11,268</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pPr>
            <w:r>
              <w:rPr/>
              <w:t>  </w:t>
            </w:r>
          </w:p>
        </w:tc>
        <w:tc>
          <w:tcPr>
            <w:tcW w:w="34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pPr>
            <w:r>
              <w:rPr/>
              <w:t>​</w:t>
            </w:r>
          </w:p>
        </w:tc>
      </w:tr>
      <w:tr>
        <w:trPr/>
        <w:tc>
          <w:tcPr>
            <w:tcW w:w="6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44"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6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taxes</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10,512</w:t>
            </w:r>
          </w:p>
        </w:tc>
        <w:tc>
          <w:tcPr>
            <w:tcW w:w="344"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11,673</w:t>
            </w:r>
          </w:p>
        </w:tc>
        <w:tc>
          <w:tcPr>
            <w:tcW w:w="37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tLeast" w:line="200"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unaudited condensed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82" w:name="_08b1c861_4a24_4c15_a188_44175d538052"/>
      <w:bookmarkEnd w:id="382"/>
      <w:r>
        <w:rPr>
          <w:rFonts w:ascii="Times New Roman;Times;serif" w:hAnsi="Times New Roman;Times;serif"/>
          <w:b/>
          <w:sz w:val="20"/>
        </w:rPr>
        <w:t>LEGACY HOUSING CORPORATION</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83" w:name="Tc_gHRWQZPKOkO7Ue04KkGk4A_12_16"/>
      <w:bookmarkStart w:id="384" w:name="Tc_y6q7965czUqL9iO4fYALzg_12_13"/>
      <w:bookmarkStart w:id="385" w:name="Tc_mtmdCOmvvkSBN3cmFkXsew_12_10"/>
      <w:bookmarkStart w:id="386" w:name="Tc_k8gCOYjLlk6cqsNcvu8G_w_12_7"/>
      <w:bookmarkStart w:id="387" w:name="Tc__dwbFbRnJ0me9snNNxs1Fg_12_4"/>
      <w:bookmarkStart w:id="388" w:name="Tc_bnfsMxxydE2pWNc_9MH-Vg_12_0"/>
      <w:bookmarkStart w:id="389" w:name="Tc_AyXYTxTXuUSB70RX_i7Q0A_11_11"/>
      <w:bookmarkStart w:id="390" w:name="Tc_sy5uyFyyNEKEXrofDVWkHA_11_8"/>
      <w:bookmarkStart w:id="391" w:name="Tc_WywazEM5sE-tKMNR98Yc8g_11_5"/>
      <w:bookmarkStart w:id="392" w:name="Tc_U0IshpG1PEqRdukrW6Q-ug_11_2"/>
      <w:bookmarkStart w:id="393" w:name="Tc_ANiuKoN0mE-2Y78qgeasKA_11_0"/>
      <w:bookmarkStart w:id="394" w:name="Tc_anUQ78iR20uzMffbhfj87A_10_14"/>
      <w:bookmarkStart w:id="395" w:name="Tc_kpgxDWn3KEKtNoS8t3uJIg_10_8"/>
      <w:bookmarkStart w:id="396" w:name="Tc_7-VfgnU7B0SpjvMnPXKpoQ_10_2"/>
      <w:bookmarkStart w:id="397" w:name="Tc_jm6lkHhGl0-omo4PMLzh2g_10_0"/>
      <w:bookmarkStart w:id="398" w:name="Tc_spSH-WC980GijKauIaovrg_9_16"/>
      <w:bookmarkStart w:id="399" w:name="Tc_TchLMffDRUW0Gb6x--qCzA_9_13"/>
      <w:bookmarkStart w:id="400" w:name="Tc_yRBfJmSp3UuUBdjyO1VDpw_9_10"/>
      <w:bookmarkStart w:id="401" w:name="Tc_mWZhpxb1g0ChuWbPeCU4Hg_9_7"/>
      <w:bookmarkStart w:id="402" w:name="Tc_44VNK8Yj3UWPvp35W9EYgA_9_4"/>
      <w:bookmarkStart w:id="403" w:name="Tc_u6u7kVMDa0C9kzUdCgkufw_9_0"/>
      <w:bookmarkStart w:id="404" w:name="Tc_rxtFDcADQEimCRnnGW7dXg_8_11"/>
      <w:bookmarkStart w:id="405" w:name="Tc_pHPWzqoc5kyLGyTa-KMWVw_8_8"/>
      <w:bookmarkStart w:id="406" w:name="Tc_vJEnChp0jU2rPtI8KxwByA_8_5"/>
      <w:bookmarkStart w:id="407" w:name="Tc_K0j5iEg3Vk2HsEBNJWkEZQ_8_2"/>
      <w:bookmarkStart w:id="408" w:name="Tc_U3FfXvY5r0iHvXTqIBGGVg_8_0"/>
      <w:bookmarkStart w:id="409" w:name="Tc_-LL3V_5yw0SP8JfVG9J0bw_7_14"/>
      <w:bookmarkStart w:id="410" w:name="Tc_fgQxkef7u0e5AdReaXyguA_7_8"/>
      <w:bookmarkStart w:id="411" w:name="Tc_y1OGHcDhh0WIbTr_0RCwIw_7_5"/>
      <w:bookmarkStart w:id="412" w:name="Tc_1ZVysj94rEK8Jn59mSJnuw_7_2"/>
      <w:bookmarkStart w:id="413" w:name="Tc_iF3GnqQVSU2zq1pWFryYNQ_7_0"/>
      <w:bookmarkStart w:id="414" w:name="Tc_owxfcewc50GNXcCIYo_9FA_6_16"/>
      <w:bookmarkStart w:id="415" w:name="Tc_rv8vsSOCsEeAQJMVGoJ3FA_6_13"/>
      <w:bookmarkStart w:id="416" w:name="Tc_C2XD2t8U4EaKE0SoyOQ4tg_6_10"/>
      <w:bookmarkStart w:id="417" w:name="Tc_Sd-qdz_560mhpgpbLQiC_g_6_7"/>
      <w:bookmarkStart w:id="418" w:name="Tc_Pdrw6G1pLEOLrDoTJdWyyw_6_4"/>
      <w:bookmarkStart w:id="419" w:name="Tc_C28Xu4lm7kmv59PgSQxl9g_6_0"/>
      <w:bookmarkStart w:id="420" w:name="Tc_RgAVlaNfoUq-CqpzgzGf1w_5_11"/>
      <w:bookmarkStart w:id="421" w:name="Tc_5F21slR8E0SOl1uDyAr1qA_5_8"/>
      <w:bookmarkStart w:id="422" w:name="Tc_MnXHGf_ot02RPGb9k9BVNQ_5_5"/>
      <w:bookmarkStart w:id="423" w:name="Tc_K2GftKfU0E-DZndo0r2YwA_5_2"/>
      <w:bookmarkStart w:id="424" w:name="Tc_CjRQ23CJXUuakQknKsCUgQ_5_0"/>
      <w:bookmarkStart w:id="425" w:name="Tc_pKDtS-kT90yDtfjfad13Sw_4_14"/>
      <w:bookmarkStart w:id="426" w:name="Tc_l91Jt058XkO0tPOF6gv6Ew_4_8"/>
      <w:bookmarkStart w:id="427" w:name="Tc_nktV_atgnUuEZMTAybkorQ_4_0"/>
      <w:bookmarkStart w:id="428" w:name="Tc_VRaaC8GeXkW6ctm1yPK4TQ_3_16"/>
      <w:bookmarkStart w:id="429" w:name="Tc_y9AaZ0sdEUmQpzLY90mROg_3_13"/>
      <w:bookmarkStart w:id="430" w:name="Tc_Fp8XB6d0BU6O2TtcUn0Kfg_3_10"/>
      <w:bookmarkStart w:id="431" w:name="Tc_uGpFZV-5q0mNbSUSe-bX2A_3_7"/>
      <w:bookmarkStart w:id="432" w:name="Tc_Do1vZEVOkk2uizOcAfIJRg_3_4"/>
      <w:bookmarkStart w:id="433" w:name="Tc_gHscJYi1hUG4aoKCw9RBSA_3_0"/>
      <w:bookmarkStart w:id="434" w:name="Tc_t5NLo4QRFUW131oB-Goj1w_2_16"/>
      <w:bookmarkStart w:id="435" w:name="Tc_xvAvxR99uUGr29aHQw64ew_2_13"/>
      <w:bookmarkStart w:id="436" w:name="Tc_RCP_t1FB9Ue_Xw302yaRMw_2_10"/>
      <w:bookmarkStart w:id="437" w:name="Tc_jeuv90vUe0aQwDHvgUOzKA_2_7"/>
      <w:bookmarkStart w:id="438" w:name="Tc_F0LBSUT6ykGbbDdbdNm3Zw_2_4"/>
      <w:bookmarkStart w:id="439" w:name="Tc_j7dkNgHSaEujUGpSqVE62g_2_2"/>
      <w:bookmarkStart w:id="440" w:name="Tc_ijdSLfI97EytcNSBnIcMBg_1_13"/>
      <w:bookmarkStart w:id="441" w:name="Tc_evbpa9LzGUCfTFp_vW2feQ_1_10"/>
      <w:bookmarkStart w:id="442" w:name="Tc_0ZErGNduNkeQEIPINQ9LGg_1_7"/>
      <w:bookmarkStart w:id="443" w:name="Tc_-yDl6k7J60mE1klQyTALkQ_1_2"/>
      <w:bookmarkStart w:id="444" w:name="_87232b1a_1c67_4287_90b3_a0ec20c8873c"/>
      <w:bookmarkStart w:id="445" w:name="Tc_gHRWQZPKOkO7Ue04KkGk4A_12_16"/>
      <w:bookmarkStart w:id="446" w:name="Tc_y6q7965czUqL9iO4fYALzg_12_13"/>
      <w:bookmarkStart w:id="447" w:name="Tc_mtmdCOmvvkSBN3cmFkXsew_12_10"/>
      <w:bookmarkStart w:id="448" w:name="Tc_k8gCOYjLlk6cqsNcvu8G_w_12_7"/>
      <w:bookmarkStart w:id="449" w:name="Tc__dwbFbRnJ0me9snNNxs1Fg_12_4"/>
      <w:bookmarkStart w:id="450" w:name="Tc_bnfsMxxydE2pWNc_9MH-Vg_12_0"/>
      <w:bookmarkStart w:id="451" w:name="Tc_AyXYTxTXuUSB70RX_i7Q0A_11_11"/>
      <w:bookmarkStart w:id="452" w:name="Tc_sy5uyFyyNEKEXrofDVWkHA_11_8"/>
      <w:bookmarkStart w:id="453" w:name="Tc_WywazEM5sE-tKMNR98Yc8g_11_5"/>
      <w:bookmarkStart w:id="454" w:name="Tc_U0IshpG1PEqRdukrW6Q-ug_11_2"/>
      <w:bookmarkStart w:id="455" w:name="Tc_ANiuKoN0mE-2Y78qgeasKA_11_0"/>
      <w:bookmarkStart w:id="456" w:name="Tc_anUQ78iR20uzMffbhfj87A_10_14"/>
      <w:bookmarkStart w:id="457" w:name="Tc_kpgxDWn3KEKtNoS8t3uJIg_10_8"/>
      <w:bookmarkStart w:id="458" w:name="Tc_7-VfgnU7B0SpjvMnPXKpoQ_10_2"/>
      <w:bookmarkStart w:id="459" w:name="Tc_jm6lkHhGl0-omo4PMLzh2g_10_0"/>
      <w:bookmarkStart w:id="460" w:name="Tc_spSH-WC980GijKauIaovrg_9_16"/>
      <w:bookmarkStart w:id="461" w:name="Tc_TchLMffDRUW0Gb6x--qCzA_9_13"/>
      <w:bookmarkStart w:id="462" w:name="Tc_yRBfJmSp3UuUBdjyO1VDpw_9_10"/>
      <w:bookmarkStart w:id="463" w:name="Tc_mWZhpxb1g0ChuWbPeCU4Hg_9_7"/>
      <w:bookmarkStart w:id="464" w:name="Tc_44VNK8Yj3UWPvp35W9EYgA_9_4"/>
      <w:bookmarkStart w:id="465" w:name="Tc_u6u7kVMDa0C9kzUdCgkufw_9_0"/>
      <w:bookmarkStart w:id="466" w:name="Tc_rxtFDcADQEimCRnnGW7dXg_8_11"/>
      <w:bookmarkStart w:id="467" w:name="Tc_pHPWzqoc5kyLGyTa-KMWVw_8_8"/>
      <w:bookmarkStart w:id="468" w:name="Tc_vJEnChp0jU2rPtI8KxwByA_8_5"/>
      <w:bookmarkStart w:id="469" w:name="Tc_K0j5iEg3Vk2HsEBNJWkEZQ_8_2"/>
      <w:bookmarkStart w:id="470" w:name="Tc_U3FfXvY5r0iHvXTqIBGGVg_8_0"/>
      <w:bookmarkStart w:id="471" w:name="Tc_-LL3V_5yw0SP8JfVG9J0bw_7_14"/>
      <w:bookmarkStart w:id="472" w:name="Tc_fgQxkef7u0e5AdReaXyguA_7_8"/>
      <w:bookmarkStart w:id="473" w:name="Tc_y1OGHcDhh0WIbTr_0RCwIw_7_5"/>
      <w:bookmarkStart w:id="474" w:name="Tc_1ZVysj94rEK8Jn59mSJnuw_7_2"/>
      <w:bookmarkStart w:id="475" w:name="Tc_iF3GnqQVSU2zq1pWFryYNQ_7_0"/>
      <w:bookmarkStart w:id="476" w:name="Tc_owxfcewc50GNXcCIYo_9FA_6_16"/>
      <w:bookmarkStart w:id="477" w:name="Tc_rv8vsSOCsEeAQJMVGoJ3FA_6_13"/>
      <w:bookmarkStart w:id="478" w:name="Tc_C2XD2t8U4EaKE0SoyOQ4tg_6_10"/>
      <w:bookmarkStart w:id="479" w:name="Tc_Sd-qdz_560mhpgpbLQiC_g_6_7"/>
      <w:bookmarkStart w:id="480" w:name="Tc_Pdrw6G1pLEOLrDoTJdWyyw_6_4"/>
      <w:bookmarkStart w:id="481" w:name="Tc_C28Xu4lm7kmv59PgSQxl9g_6_0"/>
      <w:bookmarkStart w:id="482" w:name="Tc_RgAVlaNfoUq-CqpzgzGf1w_5_11"/>
      <w:bookmarkStart w:id="483" w:name="Tc_5F21slR8E0SOl1uDyAr1qA_5_8"/>
      <w:bookmarkStart w:id="484" w:name="Tc_MnXHGf_ot02RPGb9k9BVNQ_5_5"/>
      <w:bookmarkStart w:id="485" w:name="Tc_K2GftKfU0E-DZndo0r2YwA_5_2"/>
      <w:bookmarkStart w:id="486" w:name="Tc_CjRQ23CJXUuakQknKsCUgQ_5_0"/>
      <w:bookmarkStart w:id="487" w:name="Tc_pKDtS-kT90yDtfjfad13Sw_4_14"/>
      <w:bookmarkStart w:id="488" w:name="Tc_l91Jt058XkO0tPOF6gv6Ew_4_8"/>
      <w:bookmarkStart w:id="489" w:name="Tc_nktV_atgnUuEZMTAybkorQ_4_0"/>
      <w:bookmarkStart w:id="490" w:name="Tc_VRaaC8GeXkW6ctm1yPK4TQ_3_16"/>
      <w:bookmarkStart w:id="491" w:name="Tc_y9AaZ0sdEUmQpzLY90mROg_3_13"/>
      <w:bookmarkStart w:id="492" w:name="Tc_Fp8XB6d0BU6O2TtcUn0Kfg_3_10"/>
      <w:bookmarkStart w:id="493" w:name="Tc_uGpFZV-5q0mNbSUSe-bX2A_3_7"/>
      <w:bookmarkStart w:id="494" w:name="Tc_Do1vZEVOkk2uizOcAfIJRg_3_4"/>
      <w:bookmarkStart w:id="495" w:name="Tc_gHscJYi1hUG4aoKCw9RBSA_3_0"/>
      <w:bookmarkStart w:id="496" w:name="Tc_t5NLo4QRFUW131oB-Goj1w_2_16"/>
      <w:bookmarkStart w:id="497" w:name="Tc_xvAvxR99uUGr29aHQw64ew_2_13"/>
      <w:bookmarkStart w:id="498" w:name="Tc_RCP_t1FB9Ue_Xw302yaRMw_2_10"/>
      <w:bookmarkStart w:id="499" w:name="Tc_jeuv90vUe0aQwDHvgUOzKA_2_7"/>
      <w:bookmarkStart w:id="500" w:name="Tc_F0LBSUT6ykGbbDdbdNm3Zw_2_4"/>
      <w:bookmarkStart w:id="501" w:name="Tc_j7dkNgHSaEujUGpSqVE62g_2_2"/>
      <w:bookmarkStart w:id="502" w:name="Tc_ijdSLfI97EytcNSBnIcMBg_1_13"/>
      <w:bookmarkStart w:id="503" w:name="Tc_evbpa9LzGUCfTFp_vW2feQ_1_10"/>
      <w:bookmarkStart w:id="504" w:name="Tc_0ZErGNduNkeQEIPINQ9LGg_1_7"/>
      <w:bookmarkStart w:id="505" w:name="Tc_-yDl6k7J60mE1klQyTALkQ_1_2"/>
      <w:bookmarkStart w:id="506" w:name="_87232b1a_1c67_4287_90b3_a0ec20c8873c"/>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tbl>
      <w:tblPr>
        <w:tblW w:w="10205" w:type="dxa"/>
        <w:jc w:val="left"/>
        <w:tblInd w:w="0" w:type="dxa"/>
        <w:tblLayout w:type="fixed"/>
        <w:tblCellMar>
          <w:top w:w="0" w:type="dxa"/>
          <w:left w:w="0" w:type="dxa"/>
          <w:bottom w:w="0" w:type="dxa"/>
          <w:right w:w="0" w:type="dxa"/>
        </w:tblCellMar>
      </w:tblPr>
      <w:tblGrid>
        <w:gridCol w:w="2438"/>
        <w:gridCol w:w="326"/>
        <w:gridCol w:w="1036"/>
        <w:gridCol w:w="326"/>
        <w:gridCol w:w="261"/>
        <w:gridCol w:w="430"/>
        <w:gridCol w:w="326"/>
        <w:gridCol w:w="211"/>
        <w:gridCol w:w="672"/>
        <w:gridCol w:w="326"/>
        <w:gridCol w:w="249"/>
        <w:gridCol w:w="922"/>
        <w:gridCol w:w="326"/>
        <w:gridCol w:w="211"/>
        <w:gridCol w:w="781"/>
        <w:gridCol w:w="326"/>
        <w:gridCol w:w="211"/>
        <w:gridCol w:w="827"/>
      </w:tblGrid>
      <w:tr>
        <w:trPr/>
        <w:tc>
          <w:tcPr>
            <w:tcW w:w="2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548130" cy="175260"/>
                      <wp:effectExtent l="0" t="0" r="0" b="0"/>
                      <wp:wrapNone/>
                      <wp:docPr id="34" name="Frame34"/>
                      <a:graphic xmlns:a="http://schemas.openxmlformats.org/drawingml/2006/main">
                        <a:graphicData uri="http://schemas.microsoft.com/office/word/2010/wordprocessingShape">
                          <wps:wsp>
                            <wps:cNvSpPr txBox="1"/>
                            <wps:spPr>
                              <a:xfrm>
                                <a:off x="0" y="0"/>
                                <a:ext cx="1548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57860" cy="175260"/>
                      <wp:effectExtent l="0" t="0" r="0" b="0"/>
                      <wp:wrapNone/>
                      <wp:docPr id="36" name="Frame3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65735" cy="175260"/>
                      <wp:effectExtent l="0" t="0" r="0" b="0"/>
                      <wp:wrapNone/>
                      <wp:docPr id="38" name="Frame3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73050" cy="175260"/>
                      <wp:effectExtent l="0" t="0" r="0" b="0"/>
                      <wp:wrapNone/>
                      <wp:docPr id="39" name="Frame39"/>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26720" cy="175260"/>
                      <wp:effectExtent l="0" t="0" r="0" b="0"/>
                      <wp:wrapNone/>
                      <wp:docPr id="42" name="Frame42"/>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8115" cy="175260"/>
                      <wp:effectExtent l="0" t="0" r="0" b="0"/>
                      <wp:wrapNone/>
                      <wp:docPr id="44" name="Frame4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85470" cy="175260"/>
                      <wp:effectExtent l="0" t="0" r="0" b="0"/>
                      <wp:wrapNone/>
                      <wp:docPr id="45" name="Frame45"/>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5935" cy="175260"/>
                      <wp:effectExtent l="0" t="0" r="0" b="0"/>
                      <wp:wrapNone/>
                      <wp:docPr id="48" name="Frame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25145" cy="175260"/>
                      <wp:effectExtent l="0" t="0" r="0" b="0"/>
                      <wp:wrapNone/>
                      <wp:docPr id="51" name="Frame51"/>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center"/>
              <w:rPr/>
            </w:pPr>
            <w:r>
              <w:rPr/>
              <w:t>​</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24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paid-in-capital</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24,654,621</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309,394</w:t>
            </w:r>
          </w:p>
        </w:tc>
      </w:tr>
      <w:tr>
        <w:trPr/>
        <w:tc>
          <w:tcPr>
            <w:tcW w:w="24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 expense</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158,571</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4,007</w:t>
            </w:r>
          </w:p>
        </w:tc>
      </w:tr>
      <w:tr>
        <w:trPr/>
        <w:tc>
          <w:tcPr>
            <w:tcW w:w="24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16,092</w:t>
            </w:r>
          </w:p>
        </w:tc>
      </w:tr>
      <w:tr>
        <w:trPr/>
        <w:tc>
          <w:tcPr>
            <w:tcW w:w="24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March 31, 2022</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24,813,192</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329,493</w:t>
            </w:r>
          </w:p>
        </w:tc>
      </w:tr>
      <w:tr>
        <w:trPr/>
        <w:tc>
          <w:tcPr>
            <w:tcW w:w="24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24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17,261</w:t>
            </w:r>
          </w:p>
        </w:tc>
      </w:tr>
      <w:tr>
        <w:trPr/>
        <w:tc>
          <w:tcPr>
            <w:tcW w:w="24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June 30, 2022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24,813,192</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347,060</w:t>
            </w:r>
          </w:p>
        </w:tc>
      </w:tr>
      <w:tr>
        <w:trPr/>
        <w:tc>
          <w:tcPr>
            <w:tcW w:w="24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 expense</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r>
      <w:tr>
        <w:trPr/>
        <w:tc>
          <w:tcPr>
            <w:tcW w:w="24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14,735</w:t>
            </w:r>
          </w:p>
        </w:tc>
      </w:tr>
      <w:tr>
        <w:trPr/>
        <w:tc>
          <w:tcPr>
            <w:tcW w:w="24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September 30, 2022</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24,813,192</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362,225</w:t>
            </w:r>
          </w:p>
        </w:tc>
      </w:tr>
      <w:tr>
        <w:trPr/>
        <w:tc>
          <w:tcPr>
            <w:tcW w:w="243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07" w:name="Tc_1lL5e4hXLEWsnVXR6UCd7Q_15_16"/>
      <w:bookmarkStart w:id="508" w:name="Tc_zC0X_CcwU0e-HhMdosyojw_15_13"/>
      <w:bookmarkStart w:id="509" w:name="Tc_IQDWrjaphkqUUgHhdXC6uw_15_10"/>
      <w:bookmarkStart w:id="510" w:name="Tc_eaPMf1fsa0Sieh92iQe1sg_15_7"/>
      <w:bookmarkStart w:id="511" w:name="Tc_-aGiWHwmj0Kz0uLwHnAuGg_15_4"/>
      <w:bookmarkStart w:id="512" w:name="Tc_qmeVG3JhhEmOVF69Wtt9xw_15_0"/>
      <w:bookmarkStart w:id="513" w:name="Tc_uqcee6CIHkaHg0svznsxtw_14_11"/>
      <w:bookmarkStart w:id="514" w:name="Tc_FGxvCX9E0kye7OHyJvV--A_14_8"/>
      <w:bookmarkStart w:id="515" w:name="Tc_JdxVRquCQEa2LPEPguniCQ_14_5"/>
      <w:bookmarkStart w:id="516" w:name="Tc_MmfHQvkyWUikUUr4EBO8xg_14_2"/>
      <w:bookmarkStart w:id="517" w:name="Tc_kuQDB7ScPUm1JdN8elup8Q_14_0"/>
      <w:bookmarkStart w:id="518" w:name="Tc_D8P27Xjq4kC0jr2hk6jokQ_13_14"/>
      <w:bookmarkStart w:id="519" w:name="Tc_ay6jn3o600WyjLaYpLo_Rg_13_8"/>
      <w:bookmarkStart w:id="520" w:name="Tc_QljqN80lR0Cw-wEFMgBh5Q_13_5"/>
      <w:bookmarkStart w:id="521" w:name="Tc_fa7hoIw87U2FzkmRdWQomQ_13_2"/>
      <w:bookmarkStart w:id="522" w:name="Tc_H4-f4-txiE6-NE6RGNFZqA_13_0"/>
      <w:bookmarkStart w:id="523" w:name="Tc_OXVtM9LYFk2Azee6TezW1A_12_16"/>
      <w:bookmarkStart w:id="524" w:name="Tc_1iagT-HvAE65vsL0qTqe1w_12_13"/>
      <w:bookmarkStart w:id="525" w:name="Tc_jVCi5XV9bUOTUIjaFkfiFw_12_10"/>
      <w:bookmarkStart w:id="526" w:name="Tc_ClcFHRdcN0Wj3AeqgdpnKQ_12_7"/>
      <w:bookmarkStart w:id="527" w:name="Tc_pT8ucpp3y0Seft4BNhOURw_12_4"/>
      <w:bookmarkStart w:id="528" w:name="Tc_I1uifNL1N0OXESgfhE9H3w_12_0"/>
      <w:bookmarkStart w:id="529" w:name="Tc_c_xwqCMR7UKsWrj1lQ6BxA_11_11"/>
      <w:bookmarkStart w:id="530" w:name="Tc_lEwJOjTxG0GYwkT5SnMLOw_11_8"/>
      <w:bookmarkStart w:id="531" w:name="Tc_ZhMGJPxgK0CgPCPjqW2YSQ_11_5"/>
      <w:bookmarkStart w:id="532" w:name="Tc_zHgKSZ_1iUaoO6nCqEKJsg_11_2"/>
      <w:bookmarkStart w:id="533" w:name="Tc_NGIbS6dtSUSgc6FvkuHeKA_11_0"/>
      <w:bookmarkStart w:id="534" w:name="Tc_RKtbpbERYEayqeWHLLdfRw_10_14"/>
      <w:bookmarkStart w:id="535" w:name="Tc_rhDcKpKc8Uqhf-PJUbMDww_10_8"/>
      <w:bookmarkStart w:id="536" w:name="Tc_fHowg75L_EO0KbewBfNMIA_10_5"/>
      <w:bookmarkStart w:id="537" w:name="Tc_jfwYTOz0_kS_Dcn_dnD7wA_10_0"/>
      <w:bookmarkStart w:id="538" w:name="Tc_kTij18Z-1kiOB-TlZmtJ4w_9_14"/>
      <w:bookmarkStart w:id="539" w:name="Tc_40lz8UYQVk65JD7osAs55A_9_8"/>
      <w:bookmarkStart w:id="540" w:name="Tc__WDHWaLVtUqMUOy4-NVMNA_9_5"/>
      <w:bookmarkStart w:id="541" w:name="Tc_IFCAfSD7p0-c-hGvBpFWaw_9_0"/>
      <w:bookmarkStart w:id="542" w:name="Tc_Sa8G4mIioUmPHD0U1l8atA_8_16"/>
      <w:bookmarkStart w:id="543" w:name="Tc_Ziiu8Sv8L0OjBPpkA2pZRQ_8_13"/>
      <w:bookmarkStart w:id="544" w:name="Tc_7nhZe8fYqkyUmeF7ppWIOQ_8_10"/>
      <w:bookmarkStart w:id="545" w:name="Tc_omTY-FU4-EaQRA2Gh1qpPw_8_7"/>
      <w:bookmarkStart w:id="546" w:name="Tc_6PzqDQqIW0aArXt3PrLDBQ_8_4"/>
      <w:bookmarkStart w:id="547" w:name="Tc_1VB6XgKAHUG5shg9O4Mq3w_8_0"/>
      <w:bookmarkStart w:id="548" w:name="Tc_mZfLAihlG0GvxoHS3NLBNw_7_11"/>
      <w:bookmarkStart w:id="549" w:name="Tc_gs41HT93OUy9w6jAgBX4qw_7_8"/>
      <w:bookmarkStart w:id="550" w:name="Tc_RezZ9HbmTke1nj0a_2bNJg_7_5"/>
      <w:bookmarkStart w:id="551" w:name="Tc_jzcVt6MPeUCPKvuOAUsKWw_7_2"/>
      <w:bookmarkStart w:id="552" w:name="Tc_ZrxO6Uf0dk-aeYGkQ_Zwhw_7_0"/>
      <w:bookmarkStart w:id="553" w:name="Tc_IlyzdyUQoUOCWW-5Mpb6Yw_6_14"/>
      <w:bookmarkStart w:id="554" w:name="Tc_olDdm4hxFkCGsb_x2XKQJQ_6_8"/>
      <w:bookmarkStart w:id="555" w:name="Tc_kmzc656rLU6hELcDoNZ12A_6_5"/>
      <w:bookmarkStart w:id="556" w:name="Tc_eDKYkYbB3U-ootVs40g_GA_6_0"/>
      <w:bookmarkStart w:id="557" w:name="Tc_HFVLeqrg8kWkFOkQVGehXA_5_16"/>
      <w:bookmarkStart w:id="558" w:name="Tc_1K8vpAyajkqukUyNu8ogIA_5_13"/>
      <w:bookmarkStart w:id="559" w:name="Tc_uJfmE_G1ZEKJlt26P-8NDw_5_10"/>
      <w:bookmarkStart w:id="560" w:name="Tc_Cldt4uv_aka-DYs8aDUBaA_5_7"/>
      <w:bookmarkStart w:id="561" w:name="Tc_brYwj8NTU0m_M_PrjdN-Gw_5_4"/>
      <w:bookmarkStart w:id="562" w:name="Tc_0oPAfH4aTUOhh0MCshHCng_5_0"/>
      <w:bookmarkStart w:id="563" w:name="Tc_p-UiGEYyckibvIH0nbCwwg_4_11"/>
      <w:bookmarkStart w:id="564" w:name="Tc_sa1jBEKSB0aqQzvX1hMIAA_4_8"/>
      <w:bookmarkStart w:id="565" w:name="Tc_B2sE1sLyF0GWBWVWLZvqrQ_4_5"/>
      <w:bookmarkStart w:id="566" w:name="Tc_r2wVBE3tS06v4MzcS0Nfeg_4_2"/>
      <w:bookmarkStart w:id="567" w:name="Tc_KhQFhIQPoEeGal1woemviw_4_0"/>
      <w:bookmarkStart w:id="568" w:name="Tc_jRVpW36o3UegooMq7wEVKg_3_16"/>
      <w:bookmarkStart w:id="569" w:name="Tc_A_SLu7s0kUaVZvomj3jrcg_3_13"/>
      <w:bookmarkStart w:id="570" w:name="Tc_ZPQluED2z0SdlesgQkvWNQ_3_10"/>
      <w:bookmarkStart w:id="571" w:name="Tc_bilEoD0g-k6K_MES7hRu9Q_3_7"/>
      <w:bookmarkStart w:id="572" w:name="Tc_cSK3A646A0ihwYOtUAB1tg_3_4"/>
      <w:bookmarkStart w:id="573" w:name="Tc_oGAafL0DFkOcavthQDiyyw_3_0"/>
      <w:bookmarkStart w:id="574" w:name="Tc_FI3fbPZHQEK7g-X5deIP9w_2_16"/>
      <w:bookmarkStart w:id="575" w:name="Tc_OAupeNgt80SlG74P26rnnA_2_13"/>
      <w:bookmarkStart w:id="576" w:name="Tc_Xd45S7sAR0-jpcz1Nfvs0w_2_10"/>
      <w:bookmarkStart w:id="577" w:name="Tc_M8JpT1ArrUK9LP5Cvo7hXA_2_7"/>
      <w:bookmarkStart w:id="578" w:name="Tc_ThtW0D23F0iSgF-DuWLXrA_2_4"/>
      <w:bookmarkStart w:id="579" w:name="Tc_SC80d1EXWkaQfmBWB0OfRQ_2_2"/>
      <w:bookmarkStart w:id="580" w:name="Tc_iCYbR7zjMEWIyXjVXe4nLg_1_13"/>
      <w:bookmarkStart w:id="581" w:name="Tc_aoZipBslzkaJgwfZP5n0Lw_1_10"/>
      <w:bookmarkStart w:id="582" w:name="Tc_JLtEz6sMhUOszUgU3WhHvg_1_7"/>
      <w:bookmarkStart w:id="583" w:name="Tc_eTV_4VOhEEaSwDjDjwIQUA_1_2"/>
      <w:bookmarkStart w:id="584" w:name="_44db5902_bfff_45be_9bb6_8833ac7df111"/>
      <w:bookmarkStart w:id="585" w:name="Tc_1lL5e4hXLEWsnVXR6UCd7Q_15_16"/>
      <w:bookmarkStart w:id="586" w:name="Tc_zC0X_CcwU0e-HhMdosyojw_15_13"/>
      <w:bookmarkStart w:id="587" w:name="Tc_IQDWrjaphkqUUgHhdXC6uw_15_10"/>
      <w:bookmarkStart w:id="588" w:name="Tc_eaPMf1fsa0Sieh92iQe1sg_15_7"/>
      <w:bookmarkStart w:id="589" w:name="Tc_-aGiWHwmj0Kz0uLwHnAuGg_15_4"/>
      <w:bookmarkStart w:id="590" w:name="Tc_qmeVG3JhhEmOVF69Wtt9xw_15_0"/>
      <w:bookmarkStart w:id="591" w:name="Tc_uqcee6CIHkaHg0svznsxtw_14_11"/>
      <w:bookmarkStart w:id="592" w:name="Tc_FGxvCX9E0kye7OHyJvV--A_14_8"/>
      <w:bookmarkStart w:id="593" w:name="Tc_JdxVRquCQEa2LPEPguniCQ_14_5"/>
      <w:bookmarkStart w:id="594" w:name="Tc_MmfHQvkyWUikUUr4EBO8xg_14_2"/>
      <w:bookmarkStart w:id="595" w:name="Tc_kuQDB7ScPUm1JdN8elup8Q_14_0"/>
      <w:bookmarkStart w:id="596" w:name="Tc_D8P27Xjq4kC0jr2hk6jokQ_13_14"/>
      <w:bookmarkStart w:id="597" w:name="Tc_ay6jn3o600WyjLaYpLo_Rg_13_8"/>
      <w:bookmarkStart w:id="598" w:name="Tc_QljqN80lR0Cw-wEFMgBh5Q_13_5"/>
      <w:bookmarkStart w:id="599" w:name="Tc_fa7hoIw87U2FzkmRdWQomQ_13_2"/>
      <w:bookmarkStart w:id="600" w:name="Tc_H4-f4-txiE6-NE6RGNFZqA_13_0"/>
      <w:bookmarkStart w:id="601" w:name="Tc_OXVtM9LYFk2Azee6TezW1A_12_16"/>
      <w:bookmarkStart w:id="602" w:name="Tc_1iagT-HvAE65vsL0qTqe1w_12_13"/>
      <w:bookmarkStart w:id="603" w:name="Tc_jVCi5XV9bUOTUIjaFkfiFw_12_10"/>
      <w:bookmarkStart w:id="604" w:name="Tc_ClcFHRdcN0Wj3AeqgdpnKQ_12_7"/>
      <w:bookmarkStart w:id="605" w:name="Tc_pT8ucpp3y0Seft4BNhOURw_12_4"/>
      <w:bookmarkStart w:id="606" w:name="Tc_I1uifNL1N0OXESgfhE9H3w_12_0"/>
      <w:bookmarkStart w:id="607" w:name="Tc_c_xwqCMR7UKsWrj1lQ6BxA_11_11"/>
      <w:bookmarkStart w:id="608" w:name="Tc_lEwJOjTxG0GYwkT5SnMLOw_11_8"/>
      <w:bookmarkStart w:id="609" w:name="Tc_ZhMGJPxgK0CgPCPjqW2YSQ_11_5"/>
      <w:bookmarkStart w:id="610" w:name="Tc_zHgKSZ_1iUaoO6nCqEKJsg_11_2"/>
      <w:bookmarkStart w:id="611" w:name="Tc_NGIbS6dtSUSgc6FvkuHeKA_11_0"/>
      <w:bookmarkStart w:id="612" w:name="Tc_RKtbpbERYEayqeWHLLdfRw_10_14"/>
      <w:bookmarkStart w:id="613" w:name="Tc_rhDcKpKc8Uqhf-PJUbMDww_10_8"/>
      <w:bookmarkStart w:id="614" w:name="Tc_fHowg75L_EO0KbewBfNMIA_10_5"/>
      <w:bookmarkStart w:id="615" w:name="Tc_jfwYTOz0_kS_Dcn_dnD7wA_10_0"/>
      <w:bookmarkStart w:id="616" w:name="Tc_kTij18Z-1kiOB-TlZmtJ4w_9_14"/>
      <w:bookmarkStart w:id="617" w:name="Tc_40lz8UYQVk65JD7osAs55A_9_8"/>
      <w:bookmarkStart w:id="618" w:name="Tc__WDHWaLVtUqMUOy4-NVMNA_9_5"/>
      <w:bookmarkStart w:id="619" w:name="Tc_IFCAfSD7p0-c-hGvBpFWaw_9_0"/>
      <w:bookmarkStart w:id="620" w:name="Tc_Sa8G4mIioUmPHD0U1l8atA_8_16"/>
      <w:bookmarkStart w:id="621" w:name="Tc_Ziiu8Sv8L0OjBPpkA2pZRQ_8_13"/>
      <w:bookmarkStart w:id="622" w:name="Tc_7nhZe8fYqkyUmeF7ppWIOQ_8_10"/>
      <w:bookmarkStart w:id="623" w:name="Tc_omTY-FU4-EaQRA2Gh1qpPw_8_7"/>
      <w:bookmarkStart w:id="624" w:name="Tc_6PzqDQqIW0aArXt3PrLDBQ_8_4"/>
      <w:bookmarkStart w:id="625" w:name="Tc_1VB6XgKAHUG5shg9O4Mq3w_8_0"/>
      <w:bookmarkStart w:id="626" w:name="Tc_mZfLAihlG0GvxoHS3NLBNw_7_11"/>
      <w:bookmarkStart w:id="627" w:name="Tc_gs41HT93OUy9w6jAgBX4qw_7_8"/>
      <w:bookmarkStart w:id="628" w:name="Tc_RezZ9HbmTke1nj0a_2bNJg_7_5"/>
      <w:bookmarkStart w:id="629" w:name="Tc_jzcVt6MPeUCPKvuOAUsKWw_7_2"/>
      <w:bookmarkStart w:id="630" w:name="Tc_ZrxO6Uf0dk-aeYGkQ_Zwhw_7_0"/>
      <w:bookmarkStart w:id="631" w:name="Tc_IlyzdyUQoUOCWW-5Mpb6Yw_6_14"/>
      <w:bookmarkStart w:id="632" w:name="Tc_olDdm4hxFkCGsb_x2XKQJQ_6_8"/>
      <w:bookmarkStart w:id="633" w:name="Tc_kmzc656rLU6hELcDoNZ12A_6_5"/>
      <w:bookmarkStart w:id="634" w:name="Tc_eDKYkYbB3U-ootVs40g_GA_6_0"/>
      <w:bookmarkStart w:id="635" w:name="Tc_HFVLeqrg8kWkFOkQVGehXA_5_16"/>
      <w:bookmarkStart w:id="636" w:name="Tc_1K8vpAyajkqukUyNu8ogIA_5_13"/>
      <w:bookmarkStart w:id="637" w:name="Tc_uJfmE_G1ZEKJlt26P-8NDw_5_10"/>
      <w:bookmarkStart w:id="638" w:name="Tc_Cldt4uv_aka-DYs8aDUBaA_5_7"/>
      <w:bookmarkStart w:id="639" w:name="Tc_brYwj8NTU0m_M_PrjdN-Gw_5_4"/>
      <w:bookmarkStart w:id="640" w:name="Tc_0oPAfH4aTUOhh0MCshHCng_5_0"/>
      <w:bookmarkStart w:id="641" w:name="Tc_p-UiGEYyckibvIH0nbCwwg_4_11"/>
      <w:bookmarkStart w:id="642" w:name="Tc_sa1jBEKSB0aqQzvX1hMIAA_4_8"/>
      <w:bookmarkStart w:id="643" w:name="Tc_B2sE1sLyF0GWBWVWLZvqrQ_4_5"/>
      <w:bookmarkStart w:id="644" w:name="Tc_r2wVBE3tS06v4MzcS0Nfeg_4_2"/>
      <w:bookmarkStart w:id="645" w:name="Tc_KhQFhIQPoEeGal1woemviw_4_0"/>
      <w:bookmarkStart w:id="646" w:name="Tc_jRVpW36o3UegooMq7wEVKg_3_16"/>
      <w:bookmarkStart w:id="647" w:name="Tc_A_SLu7s0kUaVZvomj3jrcg_3_13"/>
      <w:bookmarkStart w:id="648" w:name="Tc_ZPQluED2z0SdlesgQkvWNQ_3_10"/>
      <w:bookmarkStart w:id="649" w:name="Tc_bilEoD0g-k6K_MES7hRu9Q_3_7"/>
      <w:bookmarkStart w:id="650" w:name="Tc_cSK3A646A0ihwYOtUAB1tg_3_4"/>
      <w:bookmarkStart w:id="651" w:name="Tc_oGAafL0DFkOcavthQDiyyw_3_0"/>
      <w:bookmarkStart w:id="652" w:name="Tc_FI3fbPZHQEK7g-X5deIP9w_2_16"/>
      <w:bookmarkStart w:id="653" w:name="Tc_OAupeNgt80SlG74P26rnnA_2_13"/>
      <w:bookmarkStart w:id="654" w:name="Tc_Xd45S7sAR0-jpcz1Nfvs0w_2_10"/>
      <w:bookmarkStart w:id="655" w:name="Tc_M8JpT1ArrUK9LP5Cvo7hXA_2_7"/>
      <w:bookmarkStart w:id="656" w:name="Tc_ThtW0D23F0iSgF-DuWLXrA_2_4"/>
      <w:bookmarkStart w:id="657" w:name="Tc_SC80d1EXWkaQfmBWB0OfRQ_2_2"/>
      <w:bookmarkStart w:id="658" w:name="Tc_iCYbR7zjMEWIyXjVXe4nLg_1_13"/>
      <w:bookmarkStart w:id="659" w:name="Tc_aoZipBslzkaJgwfZP5n0Lw_1_10"/>
      <w:bookmarkStart w:id="660" w:name="Tc_JLtEz6sMhUOszUgU3WhHvg_1_7"/>
      <w:bookmarkStart w:id="661" w:name="Tc_eTV_4VOhEEaSwDjDjwIQUA_1_2"/>
      <w:bookmarkStart w:id="662" w:name="_44db5902_bfff_45be_9bb6_8833ac7df111"/>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tbl>
      <w:tblPr>
        <w:tblW w:w="10205" w:type="dxa"/>
        <w:jc w:val="left"/>
        <w:tblInd w:w="0" w:type="dxa"/>
        <w:tblLayout w:type="fixed"/>
        <w:tblCellMar>
          <w:top w:w="0" w:type="dxa"/>
          <w:left w:w="0" w:type="dxa"/>
          <w:bottom w:w="0" w:type="dxa"/>
          <w:right w:w="0" w:type="dxa"/>
        </w:tblCellMar>
      </w:tblPr>
      <w:tblGrid>
        <w:gridCol w:w="2608"/>
        <w:gridCol w:w="326"/>
        <w:gridCol w:w="1036"/>
        <w:gridCol w:w="326"/>
        <w:gridCol w:w="261"/>
        <w:gridCol w:w="430"/>
        <w:gridCol w:w="326"/>
        <w:gridCol w:w="211"/>
        <w:gridCol w:w="647"/>
        <w:gridCol w:w="109"/>
        <w:gridCol w:w="249"/>
        <w:gridCol w:w="922"/>
        <w:gridCol w:w="326"/>
        <w:gridCol w:w="211"/>
        <w:gridCol w:w="781"/>
        <w:gridCol w:w="326"/>
        <w:gridCol w:w="211"/>
        <w:gridCol w:w="899"/>
      </w:tblGrid>
      <w:tr>
        <w:trPr/>
        <w:tc>
          <w:tcPr>
            <w:tcW w:w="2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656080" cy="175260"/>
                      <wp:effectExtent l="0" t="0" r="0" b="0"/>
                      <wp:wrapNone/>
                      <wp:docPr id="52" name="Frame52"/>
                      <a:graphic xmlns:a="http://schemas.openxmlformats.org/drawingml/2006/main">
                        <a:graphicData uri="http://schemas.microsoft.com/office/word/2010/wordprocessingShape">
                          <wps:wsp>
                            <wps:cNvSpPr txBox="1"/>
                            <wps:spPr>
                              <a:xfrm>
                                <a:off x="0" y="0"/>
                                <a:ext cx="165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57860" cy="175260"/>
                      <wp:effectExtent l="0" t="0" r="0" b="0"/>
                      <wp:wrapNone/>
                      <wp:docPr id="54" name="Frame5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65735" cy="175260"/>
                      <wp:effectExtent l="0" t="0" r="0" b="0"/>
                      <wp:wrapNone/>
                      <wp:docPr id="56" name="Frame5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73050" cy="175260"/>
                      <wp:effectExtent l="0" t="0" r="0" b="0"/>
                      <wp:wrapNone/>
                      <wp:docPr id="57" name="Frame57"/>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10845" cy="175260"/>
                      <wp:effectExtent l="0" t="0" r="0" b="0"/>
                      <wp:wrapNone/>
                      <wp:docPr id="60" name="Frame60"/>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58115" cy="175260"/>
                      <wp:effectExtent l="0" t="0" r="0" b="0"/>
                      <wp:wrapNone/>
                      <wp:docPr id="62" name="Frame6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85470" cy="175260"/>
                      <wp:effectExtent l="0" t="0" r="0" b="0"/>
                      <wp:wrapNone/>
                      <wp:docPr id="63" name="Frame63"/>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260"/>
                      <wp:effectExtent l="0" t="0" r="0" b="0"/>
                      <wp:wrapNone/>
                      <wp:docPr id="66"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70865" cy="175260"/>
                      <wp:effectExtent l="0" t="0" r="0" b="0"/>
                      <wp:wrapNone/>
                      <wp:docPr id="69" name="Frame69"/>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8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26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paid-in-capital</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24,814,695</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382,104</w:t>
            </w:r>
          </w:p>
        </w:tc>
      </w:tr>
      <w:tr>
        <w:trPr/>
        <w:tc>
          <w:tcPr>
            <w:tcW w:w="26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Cumulative change in accounting principle, net of taxes (Note 1)</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2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January 1, 2023 (as adjusted for change in accounting principle)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24,814,695</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381,406</w:t>
            </w:r>
          </w:p>
        </w:tc>
      </w:tr>
      <w:tr>
        <w:trPr/>
        <w:tc>
          <w:tcPr>
            <w:tcW w:w="26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 expense</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8,571</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2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16,276</w:t>
            </w:r>
          </w:p>
        </w:tc>
      </w:tr>
      <w:tr>
        <w:trPr/>
        <w:tc>
          <w:tcPr>
            <w:tcW w:w="26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March 31, 2023</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24,823,266</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397,873</w:t>
            </w:r>
          </w:p>
        </w:tc>
      </w:tr>
      <w:tr>
        <w:trPr/>
        <w:tc>
          <w:tcPr>
            <w:tcW w:w="2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26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6,246</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15,020</w:t>
            </w:r>
          </w:p>
        </w:tc>
      </w:tr>
      <w:tr>
        <w:trPr/>
        <w:tc>
          <w:tcPr>
            <w:tcW w:w="26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June 30, 2023</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24,836,862</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413,189</w:t>
            </w:r>
          </w:p>
        </w:tc>
      </w:tr>
      <w:tr>
        <w:trPr/>
        <w:tc>
          <w:tcPr>
            <w:tcW w:w="2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26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16,088</w:t>
            </w:r>
          </w:p>
        </w:tc>
      </w:tr>
      <w:tr>
        <w:trPr/>
        <w:tc>
          <w:tcPr>
            <w:tcW w:w="2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24,836,862</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252,682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429,476</w:t>
            </w:r>
          </w:p>
        </w:tc>
      </w:tr>
    </w:tbl>
    <w:p>
      <w:pPr>
        <w:pStyle w:val="TextBody"/>
        <w:bidi w:val="0"/>
        <w:spacing w:before="0" w:after="0"/>
        <w:ind w:left="0" w:right="0" w:hanging="0"/>
        <w:jc w:val="left"/>
        <w:rPr/>
      </w:pPr>
      <w:r>
        <w:rPr/>
        <w:t>​</w:t>
      </w:r>
    </w:p>
    <w:p>
      <w:pPr>
        <w:pStyle w:val="TextBody"/>
        <w:bidi w:val="0"/>
        <w:spacing w:before="0" w:after="200"/>
        <w:ind w:left="0" w:right="0" w:firstLine="720"/>
        <w:jc w:val="center"/>
        <w:rPr>
          <w:rFonts w:ascii="Times New Roman;Times;serif" w:hAnsi="Times New Roman;Times;serif"/>
          <w:sz w:val="20"/>
        </w:rPr>
      </w:pPr>
      <w:r>
        <w:rPr>
          <w:rFonts w:ascii="Times New Roman;Times;serif" w:hAnsi="Times New Roman;Times;serif"/>
          <w:sz w:val="20"/>
        </w:rPr>
        <w:t>See accompanying notes to unaudited condensed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OPERATIONS</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Legacy Housing Corporation (referred herein as ”Legacy”, “we”, “our”, “us”, or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 </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The Company (1) manufactures and provides for the transport of mobile homes, (2) provides wholesale financing to dealers and mobile home parks,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dealers and mobile home parks.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accompanying unaudited interim condensed financial statements as of September 30, 2023 and for the three and nine months ended September 30, 2023 and 2022, respectively, have been prepared in accordance with accounting principles generally accepted in the United States of America ("GAAP") for interim financial information and pursuant to the rules and regulations of the U.S. Securities and Exchange Commission ("SEC") as required by Regulation S-X, Rule 8-03. In the opinion of management, the unaudited interim financial statements have been prepared on the same basis as the audited annual financial statements, and include all adjustments, consisting only of normal recurring adjustments, necessary for the fair statement of the Company's financial position for the periods presented. The results for the three and nine months ended September 30, 2023 are not necessarily indicative of the results to be expected for the year ending December 31, 2023, or any other period. The accompanying balance sheet as of December 31, 2022 was derived from audited financial statements included in the Company's annual report on Form 10-K for the year ended December 31, 2022 (the “Form 10-K”), filed on March 15, 2023. The accompanying financial statements do not include all of the information and footnotes required by GAAP for annual financial statements. Accordingly, they should be read in conjunction with the audited financial statements and notes thereto included in the Form 10-K.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and valuation of accounts receivable, loans to mobile home parks, consumer loans, other notes receivable, inventory valuation and obsolescence, income taxes, fair value of financial instruments and contingent liabilities. Actual results could differ from these estimates.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Product sales </w:t>
      </w:r>
      <w:r>
        <w:rPr>
          <w:rFonts w:ascii="Times New Roman;Times;serif" w:hAnsi="Times New Roman;Times;serif"/>
          <w:sz w:val="20"/>
        </w:rPr>
        <w:t xml:space="preserve">primarily consist of sales of mobile homes to consumers and mobile home parks through various sales channels, which include Direct Sales, Commercial Sales, Consignment Sales, and Retail Store Sales. Direct Sales include homes sold directly to independent retailers or customers that are not financed by the Company and are not sold under a consignment arrangement. These homes are generally paid for prior to shipment. Commercial Sales include homes sold to mobile home parks under commercial loan programs or paid for upfront. The Company provides floor plan financing for independent retailers, which can take the form of a consignment arrangement or an inventory financing arrangement. Consignment Sales under the consignment arrangement are considered sales of consigned homes from independent dealers to individual customers. Consignment Sales under the inventory financing arrangement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considered sales of homes to the independent dealer. Retail Store Sales are homes sold through Company-owned retail locations. Consignment Sales and Retail Sales may be financed by the Company, by a third party, or paid in cash.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Revenue from product sales is recognized when the performance obligation under the terms of a contract with our customer is satisfied, which typically occurs upon delivery and transfer of title to the home, as this depicts when control of the promised good is transferred to our customers. For inventory financed sales, the independent dealer enters into a financing arrangement with the Company and is required to make monthly interest payments and an annual curtailment payment for the first two years. After three years, they are required to payoff any remaining principal balance. Interest income is separately recorded in the statement of income. For other financed sales by the Company, the individual customer enters into a sales and financing contract and is required to make a down payment. These financed sales contain a significant financing component and any interest income is separately recorded in the statement of income. </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 xml:space="preserve">Revenue is measured as the amount of consideration expected to be received in exchange for transferring the homes to the customers. Sales and other similar taxes collected concurrently with revenue-producing activities are excluded from revenue. </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 Warranty costs and contract costs are included in selling, general and administrative expenses in the statements of income. Warranty and contract costs were $666 and $2,024 for the three and nine months ended September 30, 2023, respectively, and $861 and $1,941 for the three and nine months ended September 30, 2022, respectively.</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2023 and 2022, mobile home park (“MHP”) sales to an independent third party and it’s affiliates accounted for $601 or 1.7% and $5,226 or 10.7% of our product sales, respectively, and sales to another independent third party and it’s affiliates accounted for $3,202 or 9.1% and $2,307 or 4.7% of our product sales, respectively. For the nine months ended September 30, 2023 and 2022, MHP sales to an independent third party and its affiliates accounted for $10,134 or 8.8% and $11,420 or 7.3% of our product sales, respectively, and sales to another independent third party and its affiliates accounted for $4,894 or 4.2% and $3,711 or 2.4% of our product sales, respectively. No other customer accounted for more than 5.0% of our product sales.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2023 and 2022, product sales included $3,285 and $2,711 of costs relating to </w:t>
      </w:r>
      <w:r>
        <w:rPr>
          <w:rFonts w:ascii="Times New Roman;Times;serif" w:hAnsi="Times New Roman;Times;serif"/>
          <w:color w:val="222222"/>
          <w:sz w:val="20"/>
          <w:shd w:fill="FFFFFF" w:val="clear"/>
        </w:rPr>
        <w:t>subcontracted production for commercial sales, reimbursed dealer expenses for consignment sales, and certain other similar costs incurred for retail store and commercial sales.</w:t>
      </w:r>
      <w:r>
        <w:rPr>
          <w:rFonts w:ascii="Times New Roman;Times;serif" w:hAnsi="Times New Roman;Times;serif"/>
          <w:sz w:val="20"/>
        </w:rPr>
        <w:t xml:space="preserve"> For the nine months ended September 30, 2023 and 2022, product sales included $9,857 and $8,964 of costs relating to </w:t>
      </w:r>
      <w:r>
        <w:rPr>
          <w:rFonts w:ascii="Times New Roman;Times;serif" w:hAnsi="Times New Roman;Times;serif"/>
          <w:color w:val="222222"/>
          <w:sz w:val="20"/>
          <w:shd w:fill="FFFFFF" w:val="clear"/>
        </w:rPr>
        <w:t>subcontracted production for commercial sales, reimbursed dealer expenses for consignment sales, and certain other similar costs incurred for retail store and commercial sales</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Other revenue</w:t>
      </w:r>
      <w:r>
        <w:rPr>
          <w:rFonts w:ascii="Times New Roman;Times;serif" w:hAnsi="Times New Roman;Times;serif"/>
          <w:sz w:val="20"/>
        </w:rPr>
        <w:t xml:space="preserve"> consists of consignment fees, commercial lease rents, contract deposit forfeitures, service fees and other miscellaneous income. Consignment fees are 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is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commercial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sz w:val="20"/>
        </w:rPr>
      </w:pPr>
      <w:bookmarkStart w:id="663" w:name="Tc_DrugGX5q1EeU-RZ8LRUBjw_16_11"/>
      <w:bookmarkStart w:id="664" w:name="Tc_vqZXgsJlw06Rjh6h2mWfzQ_16_8"/>
      <w:bookmarkStart w:id="665" w:name="Tc_eTT4syIyREqE74F_5EAryQ_16_5"/>
      <w:bookmarkStart w:id="666" w:name="Tc_iCIHeZYW8UWDtfqtttaYmw_16_2"/>
      <w:bookmarkStart w:id="667" w:name="Tc_nVO-I-XWTE2fznmpVhVDsw_16_0"/>
      <w:bookmarkStart w:id="668" w:name="Tc_SoF8c1_12keMh6KN-Akcug_15_0"/>
      <w:bookmarkStart w:id="669" w:name="Tc_N4tR-WBYxUaNHI-N4P8wrg_14_0"/>
      <w:bookmarkStart w:id="670" w:name="Tc_o_tkBTIQekmMgLHPYg7zDg_13_0"/>
      <w:bookmarkStart w:id="671" w:name="Tc_OLHVAyLsXk6RpWazWMnk1Q_12_0"/>
      <w:bookmarkStart w:id="672" w:name="Tc_xKBOyJApqEij8vqezfMlWA_11_0"/>
      <w:bookmarkStart w:id="673" w:name="Tc_xAt79XFDBU2cjsIXZL9Bkg_10_0"/>
      <w:bookmarkStart w:id="674" w:name="Tc_e-ksjWHbrEqjgCDYjxIi2g_9_0"/>
      <w:bookmarkStart w:id="675" w:name="Tc_2UXhR8sc3E2c7W1S7R_7WQ_8_0"/>
      <w:bookmarkStart w:id="676" w:name="Tc_-8JxbpCTFkyYOwa3anxfAQ_7_0"/>
      <w:bookmarkStart w:id="677" w:name="Tc_KhiOZDidSk6UoO4EuzYCNw_6_0"/>
      <w:bookmarkStart w:id="678" w:name="Tc_Cgi_mD8f702A2TB0k3UoHQ_5_11"/>
      <w:bookmarkStart w:id="679" w:name="Tc_aiUmPmKD2kKomzF8aBSRFw_5_8"/>
      <w:bookmarkStart w:id="680" w:name="Tc_B8r6BW4MfEu8LOwUzBmVLg_5_5"/>
      <w:bookmarkStart w:id="681" w:name="Tc_MDguR4NcLUuiCXeNzjLoig_5_2"/>
      <w:bookmarkStart w:id="682" w:name="Tc_wHnZGqVh7E-oprRHtqhJ6A_5_0"/>
      <w:bookmarkStart w:id="683" w:name="Tc_bktKNZ5RtUuPv4e6Q9CwbQ_4_0"/>
      <w:bookmarkStart w:id="684" w:name="Tc_sFMIuf_6fUe38hGbQWCY3A_3_11"/>
      <w:bookmarkStart w:id="685" w:name="Tc_SvvcsjTwLUePjTEWBc8TJg_3_8"/>
      <w:bookmarkStart w:id="686" w:name="Tc_J3pPs8WKtkOtgtZQ5axT2Q_3_5"/>
      <w:bookmarkStart w:id="687" w:name="Tc_Yl_jqZh5KEmp9WWErqpoQA_3_2"/>
      <w:bookmarkStart w:id="688" w:name="Tc_BoANnHdVK0mJtwBk8DtOVA_2_8"/>
      <w:bookmarkStart w:id="689" w:name="Tc_kv1_R8eE1UOEzPml6mrWDA_2_2"/>
      <w:bookmarkStart w:id="690" w:name="Tc_BEhoQggF_0et667xJEm_mg_1_8"/>
      <w:bookmarkStart w:id="691" w:name="Tc_ZqbXV2fpnk65jCgEcsrxPQ_1_2"/>
      <w:bookmarkStart w:id="692" w:name="_ded46cf4_4195_4e2e_853a_24a715dba9c7"/>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r>
        <w:rPr>
          <w:rFonts w:ascii="Times New Roman;Times;serif" w:hAnsi="Times New Roman;Times;serif"/>
          <w:sz w:val="20"/>
        </w:rPr>
        <w:t>leases is recognized as earned monthly over a contractual period of 96 or 120 months. Revenue for contract deposit forfeitures is recognized when the deposit is forfeited by the customer. Revenue for service fees and miscellaneous income is recognized when the performance obligation is satisfied.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Disaggregation of Revenue</w:t>
      </w:r>
      <w:r>
        <w:rPr>
          <w:rFonts w:ascii="Times New Roman;Times;serif" w:hAnsi="Times New Roman;Times;serif"/>
          <w:sz w:val="20"/>
        </w:rPr>
        <w:t>. The following table summarizes customer contract revenues disaggregated by the source of the revenue for the three and nine months ended September 30, 2023 and 2022:</w:t>
      </w:r>
    </w:p>
    <w:p>
      <w:pPr>
        <w:pStyle w:val="TextBody"/>
        <w:bidi w:val="0"/>
        <w:spacing w:before="0" w:after="0"/>
        <w:ind w:left="0" w:right="0" w:hanging="0"/>
        <w:jc w:val="left"/>
        <w:rPr/>
      </w:pPr>
      <w:r>
        <w:rPr/>
        <w:t>​</w:t>
      </w:r>
    </w:p>
    <w:tbl>
      <w:tblPr>
        <w:tblW w:w="8061" w:type="dxa"/>
        <w:jc w:val="left"/>
        <w:tblInd w:w="0" w:type="dxa"/>
        <w:tblLayout w:type="fixed"/>
        <w:tblCellMar>
          <w:top w:w="0" w:type="dxa"/>
          <w:left w:w="0" w:type="dxa"/>
          <w:bottom w:w="0" w:type="dxa"/>
          <w:right w:w="0" w:type="dxa"/>
        </w:tblCellMar>
      </w:tblPr>
      <w:tblGrid>
        <w:gridCol w:w="3316"/>
        <w:gridCol w:w="109"/>
        <w:gridCol w:w="211"/>
        <w:gridCol w:w="676"/>
        <w:gridCol w:w="326"/>
        <w:gridCol w:w="211"/>
        <w:gridCol w:w="676"/>
        <w:gridCol w:w="109"/>
        <w:gridCol w:w="211"/>
        <w:gridCol w:w="781"/>
        <w:gridCol w:w="326"/>
        <w:gridCol w:w="211"/>
        <w:gridCol w:w="898"/>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05660" cy="175260"/>
                      <wp:effectExtent l="0" t="0" r="0" b="0"/>
                      <wp:wrapNone/>
                      <wp:docPr id="70" name="Frame70"/>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9260" cy="175260"/>
                      <wp:effectExtent l="0" t="0" r="0" b="0"/>
                      <wp:wrapNone/>
                      <wp:docPr id="73" name="Frame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29260" cy="175260"/>
                      <wp:effectExtent l="0" t="0" r="0" b="0"/>
                      <wp:wrapNone/>
                      <wp:docPr id="76" name="Frame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95935" cy="175260"/>
                      <wp:effectExtent l="0" t="0" r="0" b="0"/>
                      <wp:wrapNone/>
                      <wp:docPr id="79" name="Frame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70230" cy="175260"/>
                      <wp:effectExtent l="0" t="0" r="0" b="0"/>
                      <wp:wrapNone/>
                      <wp:docPr id="82" name="Frame82"/>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42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1"/>
              <w:ind w:left="0" w:right="0" w:hanging="0"/>
              <w:jc w:val="left"/>
              <w:rPr/>
            </w:pPr>
            <w:r>
              <w:rPr/>
              <w:t>​</w:t>
            </w:r>
          </w:p>
        </w:tc>
        <w:tc>
          <w:tcPr>
            <w:tcW w:w="242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 sales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34,933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13,784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42,147</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finance sales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14,210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54,497</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 store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15,388</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8,598</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product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48,678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155,563</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and MHP loans interest: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pPr>
            <w:r>
              <w:rPr/>
              <w:t>  </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 consumer installment notes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13,717</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 MHP notes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7,547</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consumer and MHP loans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21,264</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4,637</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155,430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181,464</w:t>
            </w:r>
          </w:p>
        </w:tc>
      </w:tr>
    </w:tbl>
    <w:tbl>
      <w:tblPr>
        <w:tblW w:w="9231" w:type="dxa"/>
        <w:jc w:val="left"/>
        <w:tblInd w:w="0" w:type="dxa"/>
        <w:tblLayout w:type="fixed"/>
        <w:tblCellMar>
          <w:top w:w="28" w:type="dxa"/>
          <w:left w:w="28" w:type="dxa"/>
          <w:bottom w:w="28" w:type="dxa"/>
          <w:right w:w="28" w:type="dxa"/>
        </w:tblCellMar>
      </w:tblPr>
      <w:tblGrid>
        <w:gridCol w:w="124"/>
        <w:gridCol w:w="331"/>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product sales revenue from ancillary products and services including parts, freight and other services</w:t>
            </w:r>
          </w:p>
        </w:tc>
      </w:tr>
    </w:tbl>
    <w:tbl>
      <w:tblPr>
        <w:tblW w:w="10205" w:type="dxa"/>
        <w:jc w:val="left"/>
        <w:tblInd w:w="0" w:type="dxa"/>
        <w:tblLayout w:type="fixed"/>
        <w:tblCellMar>
          <w:top w:w="28" w:type="dxa"/>
          <w:left w:w="28" w:type="dxa"/>
          <w:bottom w:w="28" w:type="dxa"/>
          <w:right w:w="28" w:type="dxa"/>
        </w:tblCellMar>
      </w:tblPr>
      <w:tblGrid>
        <w:gridCol w:w="124"/>
        <w:gridCol w:w="329"/>
        <w:gridCol w:w="9752"/>
      </w:tblGrid>
      <w:tr>
        <w:trPr/>
        <w:tc>
          <w:tcPr>
            <w:tcW w:w="124" w:type="dxa"/>
            <w:tcBorders/>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5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 includes dealer finance charges, contract deposit forfeitures, lease income and other miscellaneous income</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accounts for share-based compensation in accordance with the provisions of Accounting Standards Codification (“ASC”) 718, </w:t>
      </w:r>
      <w:r>
        <w:rPr>
          <w:rFonts w:ascii="Times New Roman;Times;serif" w:hAnsi="Times New Roman;Times;serif"/>
          <w:i/>
          <w:sz w:val="20"/>
        </w:rPr>
        <w:t>Compensation—Stock Compensation</w:t>
      </w:r>
      <w:r>
        <w:rPr>
          <w:rFonts w:ascii="Times New Roman;Times;serif" w:hAnsi="Times New Roman;Times;serif"/>
          <w:sz w:val="20"/>
        </w:rPr>
        <w:t>. Share-based compensation expense is recognized based on the award’s estimated grant date fair value in order to recognize compensation cost for those shares expected to vest. The Company has elected to record forfeitures as they occur. Compensation cost is recognized on a straight-line basis over the vesting period of the awards and adjusted as forfeitures occur.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fair value of each option grant with only service-based conditions is estimated using the Black-Scholes pricing model. The fair value of each restricted stock unit (the ”RSU”) with only service-based conditions is calculated based on the closing price of the Company’s common stock on the grant date. The fair value of each RSU with market based conditions is estimated using the Monte-Carlo Simulation valuation model.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The volatility is based on the Company’s historical volatility calculated monthly over the most recent five year period prior to the applicable grant date. Management concluded that this group is more characteristic of the Company’s business than a broad industry index. The expected life of awards granted represents the period of time that the awards are expected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be outstanding based on the “simplified” method, which can be utilized by companies that cannot reasonably estimate the expected life of options based on its historical award exercise experience. The Company does not expect to pay dividends on its common stock.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fair value of RSU awards with market based conditions on the date of grant is estimated using the Monte-Carlo Simulation valuation model, and the Company uses the following methods to determine its underlying assumptions: expected volatilities are based on the Company’s historic stock price volatility; the expected term of the awards is based on the performance measurement period; the risk-free interest rate is based on the U.S. Treasury bond yield issued with similar life terms to the expected life of the grant.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Accounts Receivable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Included in accounts receivable “net” are receivables from direct sales of mobile homes, sales of parts and supplies to customers, fees and interest. Accounts receivable “dealer financed” are receivables for interest, fees and curtailments owed by dealers under their inventory finance agreements.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Accounts receivables “net” are generally due within 30 days and are stated at amounts due from customers net of an allowance for doubtful accounts. Accounts receivables “dealer financed” are due upon receipt and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the Company’s previous loss history and the Company’s expected losses over the term of the receivable. The Company establishes an allowance for doubtful accounts for amounts that are deemed to be uncollectible. On September 30, 2023 and December 31, 2022, the allowance for doubtful accounts totaled $651 and $279, respectively.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Leased Property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offers mobile home park operators the opportunity to lease mobile homes for rent in lieu of purchasing the homes for cash or under a longer-term financing agreement. In this arrangement title to the mobile homes remains with the Company.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standard lease agreement is typically for 96 months or 120 months. Under the lease agreement, the lessee (mobile home park operator) uses the mobile homes as personal property to be rented at the lessee's mobile home park. The lessee makes monthly, periodic lease payments to the Company over the term of the lease. The lessee is responsible for maintaining the homes during the term of the lease. The lessee is also responsible for repairing any damage caused by force majeure events. At the end of the lease term or in the event of default, the lessee is required to deliver the homes to the Company with all improvements and in substantially the same condition as existed at the commencement of the lease. The lessee may terminate the lease on 30 days written notice and pay a lease termination fee equal to 10% of the remaining lease payments or six months’ rent, whichever is greater. The lessee has an option to purchase the homes at the end of the lease term for fair market value based on an agreed determination of fair market value by both parties using comparable sales, recent appraisal, or National Automobile Dealers Association official guidance. The lessee must provide the Company with 30 days written notice prior to expiration of the lease of intent to purchase the property for fair market value. The lease also includes a renewal option whereby the lessee has the option to extend the lease for an additional 48 months (the extended term) at the same terms and conditions as the original lease. The lessee must notify the Company of the intent to exercise this renewal option not less than six months prior to expiration of the lease term. The leased mobile homes are included in other assets on the Company’s balance sheet, capitalized at manufactured cost and depreciated over a 15 year useful life. Homes returned to the Company upon expiration of the lease or in the event of default will be sold by the Company through its standard sales and distribution channels. Depreciation expense for the leased property was $157 and $184 for the three months ended September 30, 2023 and 2022, respectively, and $474 and $538 for the nine months ended September 30, 2023 and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693" w:name="Tc_13RSVImjwkehTC68sOwT2Q_7_2"/>
      <w:bookmarkStart w:id="694" w:name="Tc_fHXD1LslxUC3x1MfsoKflA_7_0"/>
      <w:bookmarkStart w:id="695" w:name="Tc_tmtCdtjaCkOuhY112AQAKg_6_0"/>
      <w:bookmarkStart w:id="696" w:name="Tc_uKDRPQlQBEOXUYCWvz8qCw_5_0"/>
      <w:bookmarkStart w:id="697" w:name="Tc_LekooByB-k6yTEW_tYsD3w_4_0"/>
      <w:bookmarkStart w:id="698" w:name="Tc_OGNoa7cPWk6wbevLQu9AVA_3_0"/>
      <w:bookmarkStart w:id="699" w:name="Tc_6QeGZTMLwkSTW1sbTaKrHw_2_0"/>
      <w:bookmarkStart w:id="700" w:name="Tc_O-dMaHfMakCkNTHKKzMqNQ_1_2"/>
      <w:bookmarkStart w:id="701" w:name="Tc_hz3GhC2yu0K4WxdAIJurFQ_1_0"/>
      <w:bookmarkStart w:id="702" w:name="_8d4c732b_708b_41b6_b5ec_19ba65bd9ac9"/>
      <w:bookmarkEnd w:id="693"/>
      <w:bookmarkEnd w:id="694"/>
      <w:bookmarkEnd w:id="695"/>
      <w:bookmarkEnd w:id="696"/>
      <w:bookmarkEnd w:id="697"/>
      <w:bookmarkEnd w:id="698"/>
      <w:bookmarkEnd w:id="699"/>
      <w:bookmarkEnd w:id="700"/>
      <w:bookmarkEnd w:id="701"/>
      <w:bookmarkEnd w:id="702"/>
      <w:r>
        <w:rPr>
          <w:rFonts w:ascii="Times New Roman;Times;serif" w:hAnsi="Times New Roman;Times;serif"/>
          <w:sz w:val="20"/>
        </w:rPr>
        <w:t>Future minimum lease income under all operating leases for each of the next five years at September 30, 2023, are as follows:</w:t>
      </w:r>
    </w:p>
    <w:tbl>
      <w:tblPr>
        <w:tblW w:w="2171" w:type="dxa"/>
        <w:jc w:val="left"/>
        <w:tblInd w:w="0" w:type="dxa"/>
        <w:tblLayout w:type="fixed"/>
        <w:tblCellMar>
          <w:top w:w="0" w:type="dxa"/>
          <w:left w:w="0" w:type="dxa"/>
          <w:bottom w:w="0" w:type="dxa"/>
          <w:right w:w="0" w:type="dxa"/>
        </w:tblCellMar>
      </w:tblPr>
      <w:tblGrid>
        <w:gridCol w:w="946"/>
        <w:gridCol w:w="326"/>
        <w:gridCol w:w="211"/>
        <w:gridCol w:w="688"/>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00710" cy="175260"/>
                      <wp:effectExtent l="0" t="0" r="0" b="0"/>
                      <wp:wrapNone/>
                      <wp:docPr id="83" name="Frame8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36880" cy="175260"/>
                      <wp:effectExtent l="0" t="0" r="0" b="0"/>
                      <wp:wrapNone/>
                      <wp:docPr id="86" name="Frame86"/>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2,264</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9,848</w:t>
            </w:r>
          </w:p>
        </w:tc>
      </w:tr>
    </w:tbl>
    <w:p>
      <w:pPr>
        <w:pStyle w:val="TextBody"/>
        <w:bidi w:val="0"/>
        <w:spacing w:before="0" w:after="12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has elected to use longer phase-in periods for the adoption of new or revised financial accounting standards under the JOBS Act as an emerging growth company.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June 2016, the Financial Accounting Standards Board (“FASB”) issued ASU 2016-13 </w:t>
      </w:r>
      <w:r>
        <w:rPr>
          <w:rFonts w:ascii="Times New Roman;Times;serif" w:hAnsi="Times New Roman;Times;serif"/>
          <w:i/>
          <w:sz w:val="20"/>
        </w:rPr>
        <w:t>Financial Instruments—Credit Losses (Topic 326): Measurement of Credit Losses on Financial Instruments</w:t>
      </w:r>
      <w:r>
        <w:rPr>
          <w:rFonts w:ascii="Times New Roman;Times;serif" w:hAnsi="Times New Roman;Times;serif"/>
          <w:sz w:val="20"/>
        </w:rPr>
        <w:t>, which amends guidance on reporting credit losses for assets held at amortized cost basis and available for sale debt securities. For assets held at amortized cost basis, Topic 326 eliminates the probable initial recognition threshold in current GAAP and, requires an entity to instead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requires that credit losses be presented as an allowance rather than a write-down and affects entities holding financial assets and net investments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used the longer phase-in period for adoption, and accordingly this ASU became effective for the Company’s fiscal year beginning January 1, 2023. The adoption of ASU 2016-13 resulted in an increase in portfolio allowances of $900 at transition. The $900 was comprised of a $225 increase for MHP notes, a $187 increase for dealer financed contracts and a $488 increase for other notes receivable. The cumulative effect of the adoption was a net decrease of $698 to beginning retained earnings at January 1,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 CONSUMER LOANS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Consumer loans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13.3% and 13.4% as of September 30, 2023 and December 31, 2022, respectively. Consumer loans receivable have maturities that range from 2 to 30 years.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Loan applications go through an underwriting process that considers credit history to evaluate the credit risk of the consumer. Interest rates on approved loans are determined based on consumer credit score, payment ability and down payment amount.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uses payment history to monitor the credit quality of the consumer loans on an ongoing basis.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may also receive escrow payments for property taxes and insurance included in its consumer loan collections. The liabilities associated with these escrow collections totaled $11,008 and $9,653 as of September 30, 2023 and December 31, 2022, respectively, and are included in escrow liability in the condensed balance sheets.</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Allowance for Loan Losses—Consumer Loans Receivable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Company’s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Impaired loans are those loans where it is probable the Company will be unable to collect all amounts due under the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the fair value of the underlying collateral, less estimated selling costs. The Company uses various factors to determine the value of the underlying collateral for impaired loans. These factors are: (1) the length of time the unit was unsold after construction; (2) the amount of time the house was occupied; (3) the cooperation level of the borrowers, i.e., loans requiring legal action or extensive field collection efforts; (4) units located on private property as opposed to a manufactured home park; (5) the length of time the borrower has lived in the house without making payments; (6) location, size, and market conditions; and (7) the experience and expertise of the particular dealer assisting in collection efforts.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 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$1,486 and $795 as of September 30, 2023 and December 31, 2022, respectively, and are included in other assets in the condensed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703" w:name="Tc_pZPH404PlUuHxmVI1C77mg_9_7"/>
      <w:bookmarkStart w:id="704" w:name="Tc_rf4ppaUKP0-AmuDLCwl_2g_9_2"/>
      <w:bookmarkStart w:id="705" w:name="Tc_k_Zmh46pkk2wNYRHGkCwLg_9_0"/>
      <w:bookmarkStart w:id="706" w:name="Tc__3lSRdiDtkKhvzPNC-6brQ_8_0"/>
      <w:bookmarkStart w:id="707" w:name="Tc_SRYAOOkjW0ihl_D1J9nh_A_7_0"/>
      <w:bookmarkStart w:id="708" w:name="Tc_vp8imQcG0kOWuWzYxM6N0g_6_0"/>
      <w:bookmarkStart w:id="709" w:name="Tc_fLylTvmxAkyutmJ7Vly0Ng_5_7"/>
      <w:bookmarkStart w:id="710" w:name="Tc_LhBHfyRkkEq1SfrtdNTK7g_5_2"/>
      <w:bookmarkStart w:id="711" w:name="Tc_ExPw0UnC9kC3uzq7Uw-t4w_5_0"/>
      <w:bookmarkStart w:id="712" w:name="Tc_4aevxwt3uUOiBhfqJKgItg_4_0"/>
      <w:bookmarkStart w:id="713" w:name="Tc_o7XtDXJd-0aIdKRs0EYZxw_3_7"/>
      <w:bookmarkStart w:id="714" w:name="Tc_Oo5qF1yf8EKhmj2Xk7WfUg_3_2"/>
      <w:bookmarkStart w:id="715" w:name="Tc_2PRQxlmuFEK2BQch3Zzf2Q_3_0"/>
      <w:bookmarkStart w:id="716" w:name="Tc_rztvTwLFPUOL9FpYEsJaYw_2_10"/>
      <w:bookmarkStart w:id="717" w:name="Tc_JUoEmSIcmESruREbKmfOaA_2_7"/>
      <w:bookmarkStart w:id="718" w:name="Tc_qRgBBAInk0mX0AHuZ2xOoA_2_5"/>
      <w:bookmarkStart w:id="719" w:name="Tc_jvepQgG1_0CwKRF7XLM-og_2_2"/>
      <w:bookmarkStart w:id="720" w:name="Tc_528BCxeCEU28D1t33kMlpg_1_7"/>
      <w:bookmarkStart w:id="721" w:name="Tc_07zPJZhslESfKkG5qK_Tmw_1_2"/>
      <w:bookmarkStart w:id="722" w:name="Tc_qsaWx4gc6kKcIGiV_6uKZg_8_5"/>
      <w:bookmarkStart w:id="723" w:name="Tc_C6hP51uqEUWYv5cOH6Dm6g_8_2"/>
      <w:bookmarkStart w:id="724" w:name="Tc_SvW-EoTpKECQkQk45P0wLQ_8_0"/>
      <w:bookmarkStart w:id="725" w:name="Tc_22qXTLPx9EeZUNKDIqgepQ_7_5"/>
      <w:bookmarkStart w:id="726" w:name="Tc_ud0dFv8OR0Cy0vqMgR3GfA_7_2"/>
      <w:bookmarkStart w:id="727" w:name="Tc_9D7bBeW_Ykuz8R0V6TDElA_7_0"/>
      <w:bookmarkStart w:id="728" w:name="Tc_PiotkhKxCk6KmklYJQr5Bw_6_5"/>
      <w:bookmarkStart w:id="729" w:name="Tc_GfgG6VmQVEaZAcHlJI4Hcg_6_2"/>
      <w:bookmarkStart w:id="730" w:name="Tc_jWlTmdRYzkyFSE71z3ng5Q_6_0"/>
      <w:bookmarkStart w:id="731" w:name="Tc_AePWXmX_60Ohc-B8xeuhPg_5_5"/>
      <w:bookmarkStart w:id="732" w:name="Tc_uq8flAqz_0mHmKSQlwzv_g_5_2"/>
      <w:bookmarkStart w:id="733" w:name="Tc_wBS_LxFkKUKcuyKH06I1aw_5_0"/>
      <w:bookmarkStart w:id="734" w:name="Tc_lliRB7Jyv0WuoIRbyzDquA_4_5"/>
      <w:bookmarkStart w:id="735" w:name="Tc_nr6VUhdU70ik0oq8Btdf9g_4_2"/>
      <w:bookmarkStart w:id="736" w:name="Tc_P05zerE1d0SSnCXWqMapvg_4_0"/>
      <w:bookmarkStart w:id="737" w:name="Tc_BipkIkBwCEK17IXhBx1bFg_3_5"/>
      <w:bookmarkStart w:id="738" w:name="Tc_5EspH2EKdEmiuhEyZHxfVA_3_2"/>
      <w:bookmarkStart w:id="739" w:name="Tc_D1NCFxyvhk2OIx7MwLxPRw_3_0"/>
      <w:bookmarkStart w:id="740" w:name="Tc_bVZuOl3LTU261Sv6I2Ekdg_2_5"/>
      <w:bookmarkStart w:id="741" w:name="Tc_t0GsmRV1D0iZSneZIVxaSQ_2_2"/>
      <w:bookmarkStart w:id="742" w:name="Tc__2wxH6Nf30aoF8v0DlOBXQ_1_5"/>
      <w:bookmarkStart w:id="743" w:name="Tc_NKcaLO-tMEuVMQuMO1Shfw_1_2"/>
      <w:bookmarkStart w:id="744" w:name="Tc_osfNJYZSz0ulWXeb_7um3g_6_11"/>
      <w:bookmarkStart w:id="745" w:name="Tc_0m1uwGnD3EWPHY73j8od1g_6_8"/>
      <w:bookmarkStart w:id="746" w:name="Tc_NADnp-Flsk-pziVGYiOFOw_6_5"/>
      <w:bookmarkStart w:id="747" w:name="Tc_1NGg0rACYU6oWDaUIXsUDg_6_2"/>
      <w:bookmarkStart w:id="748" w:name="Tc_S41em7fyRkiLi03SW-IyfA_6_0"/>
      <w:bookmarkStart w:id="749" w:name="Tc_-thOKO_DN0uLUbgwbjx5dA_5_0"/>
      <w:bookmarkStart w:id="750" w:name="Tc_CAFtuPGIiUCihWpQeFm0iw_4_0"/>
      <w:bookmarkStart w:id="751" w:name="Tc_aU6O53o5-0S6ECMCHUDyJg_3_11"/>
      <w:bookmarkStart w:id="752" w:name="Tc_mMhGNylaL0SZjWOBDWS0cg_3_8"/>
      <w:bookmarkStart w:id="753" w:name="Tc_azpXOzs0_E60JIInCoicXw_3_5"/>
      <w:bookmarkStart w:id="754" w:name="Tc_Pyz1YAtJG0OMbRUz5rpSMg_3_2"/>
      <w:bookmarkStart w:id="755" w:name="Tc_5Neg2tiD4kecGNSHmCoFeA_3_0"/>
      <w:bookmarkStart w:id="756" w:name="Tc_vI_pi_Yg30SV07BXZWN-Lw_2_11"/>
      <w:bookmarkStart w:id="757" w:name="Tc_tinR1xT440OCENyd87v1gg_2_8"/>
      <w:bookmarkStart w:id="758" w:name="Tc_4xVzggda30W6iUXSJV0uVQ_2_5"/>
      <w:bookmarkStart w:id="759" w:name="Tc_H2AR8wU2u0epdcvWUu9fgg_2_2"/>
      <w:bookmarkStart w:id="760" w:name="Tc_6ZEu0K_u2U2-ZGz4tf1BWg_1_8"/>
      <w:bookmarkStart w:id="761" w:name="Tc_SqWOxtvAsk6t4cMLIRItWg_1_2"/>
      <w:bookmarkStart w:id="762" w:name="Tc_lmWnN3APlEG-JYXdXAePsg_6_5"/>
      <w:bookmarkStart w:id="763" w:name="Tc_jXl4JkM9u0W9PqS9S0y7dA_6_2"/>
      <w:bookmarkStart w:id="764" w:name="Tc_u-sU53SoHUeLkjXFGTSyZg_6_0"/>
      <w:bookmarkStart w:id="765" w:name="Tc_S0BCIhWWH0K8K7ezsK-miQ_5_0"/>
      <w:bookmarkStart w:id="766" w:name="Tc_Fb7XE6pLbke1H3H75bSloA_4_0"/>
      <w:bookmarkStart w:id="767" w:name="Tc_WwG5WUHUw0C4Tua20-GQzw_3_5"/>
      <w:bookmarkStart w:id="768" w:name="Tc_Oinf5UJUX06RJehEz3zmyw_3_2"/>
      <w:bookmarkStart w:id="769" w:name="Tc_9EJAialp-k6eZ-VCqKkkyA_3_0"/>
      <w:bookmarkStart w:id="770" w:name="Tc_WAaXaRZAsEanvf36SD5bqQ_2_5"/>
      <w:bookmarkStart w:id="771" w:name="Tc_65heByGmAEKf8jEaYb45Qw_2_2"/>
      <w:bookmarkStart w:id="772" w:name="Tc_O9Jawo_t0kGRx9cgPWym6Q_1_5"/>
      <w:bookmarkStart w:id="773" w:name="Tc_t6ONACxEC02FuH0PZqZ_Eg_1_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r>
        <w:rPr>
          <w:rFonts w:ascii="Times New Roman;Times;serif" w:hAnsi="Times New Roman;Times;serif"/>
          <w:sz w:val="20"/>
        </w:rPr>
        <w:t>Consumer loans receivable, net of allowance for loan losses and deferred financing fees, consists of the following:</w:t>
      </w:r>
    </w:p>
    <w:p>
      <w:pPr>
        <w:pStyle w:val="TextBody"/>
        <w:bidi w:val="0"/>
        <w:spacing w:before="0" w:after="0"/>
        <w:ind w:left="0" w:right="0" w:hanging="0"/>
        <w:jc w:val="left"/>
        <w:rPr/>
      </w:pPr>
      <w:r>
        <w:rPr/>
        <w:t>​</w:t>
      </w:r>
    </w:p>
    <w:tbl>
      <w:tblPr>
        <w:tblW w:w="7388" w:type="dxa"/>
        <w:jc w:val="left"/>
        <w:tblInd w:w="0" w:type="dxa"/>
        <w:tblLayout w:type="fixed"/>
        <w:tblCellMar>
          <w:top w:w="0" w:type="dxa"/>
          <w:left w:w="0" w:type="dxa"/>
          <w:bottom w:w="0" w:type="dxa"/>
          <w:right w:w="0" w:type="dxa"/>
        </w:tblCellMar>
      </w:tblPr>
      <w:tblGrid>
        <w:gridCol w:w="3526"/>
        <w:gridCol w:w="326"/>
        <w:gridCol w:w="341"/>
        <w:gridCol w:w="1264"/>
        <w:gridCol w:w="326"/>
        <w:gridCol w:w="305"/>
        <w:gridCol w:w="1300"/>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239010" cy="175260"/>
                      <wp:effectExtent l="0" t="0" r="0" b="0"/>
                      <wp:wrapNone/>
                      <wp:docPr id="87" name="Frame87"/>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6535" cy="175260"/>
                      <wp:effectExtent l="0" t="0" r="0" b="0"/>
                      <wp:wrapNone/>
                      <wp:docPr id="89" name="Frame89"/>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802640" cy="175260"/>
                      <wp:effectExtent l="0" t="0" r="0" b="0"/>
                      <wp:wrapNone/>
                      <wp:docPr id="90" name="Frame90"/>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93675" cy="175260"/>
                      <wp:effectExtent l="0" t="0" r="0" b="0"/>
                      <wp:wrapNone/>
                      <wp:docPr id="92" name="Frame92"/>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825500" cy="175260"/>
                      <wp:effectExtent l="0" t="0" r="0" b="0"/>
                      <wp:wrapNone/>
                      <wp:docPr id="93" name="Frame93"/>
                      <a:graphic xmlns:a="http://schemas.openxmlformats.org/drawingml/2006/main">
                        <a:graphicData uri="http://schemas.microsoft.com/office/word/2010/wordprocessingShape">
                          <wps:wsp>
                            <wps:cNvSpPr txBox="1"/>
                            <wps:spPr>
                              <a:xfrm>
                                <a:off x="0" y="0"/>
                                <a:ext cx="825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loans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154,524</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142,340</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discount and deferred financing fees</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(2,479)</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(2,501)</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loans receivable, net</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151,257</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139,009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presents a detail of the activity in the allowance for loan losses:</w:t>
      </w:r>
    </w:p>
    <w:p>
      <w:pPr>
        <w:pStyle w:val="TextBody"/>
        <w:bidi w:val="0"/>
        <w:spacing w:before="0" w:after="0"/>
        <w:ind w:left="0" w:right="0" w:hanging="0"/>
        <w:jc w:val="left"/>
        <w:rPr/>
      </w:pPr>
      <w:r>
        <w:rPr/>
        <w:t>​</w:t>
      </w:r>
    </w:p>
    <w:tbl>
      <w:tblPr>
        <w:tblW w:w="10027" w:type="dxa"/>
        <w:jc w:val="left"/>
        <w:tblInd w:w="0" w:type="dxa"/>
        <w:tblLayout w:type="fixed"/>
        <w:tblCellMar>
          <w:top w:w="0" w:type="dxa"/>
          <w:left w:w="0" w:type="dxa"/>
          <w:bottom w:w="0" w:type="dxa"/>
          <w:right w:w="0" w:type="dxa"/>
        </w:tblCellMar>
      </w:tblPr>
      <w:tblGrid>
        <w:gridCol w:w="3901"/>
        <w:gridCol w:w="326"/>
        <w:gridCol w:w="349"/>
        <w:gridCol w:w="722"/>
        <w:gridCol w:w="540"/>
        <w:gridCol w:w="349"/>
        <w:gridCol w:w="722"/>
        <w:gridCol w:w="109"/>
        <w:gridCol w:w="304"/>
        <w:gridCol w:w="780"/>
        <w:gridCol w:w="470"/>
        <w:gridCol w:w="304"/>
        <w:gridCol w:w="780"/>
        <w:gridCol w:w="371"/>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477135" cy="175260"/>
                      <wp:effectExtent l="0" t="0" r="0" b="0"/>
                      <wp:wrapNone/>
                      <wp:docPr id="94" name="Frame94"/>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21615" cy="175260"/>
                      <wp:effectExtent l="0" t="0" r="0" b="0"/>
                      <wp:wrapNone/>
                      <wp:docPr id="96" name="Frame96"/>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58470" cy="175260"/>
                      <wp:effectExtent l="0" t="0" r="0" b="0"/>
                      <wp:wrapNone/>
                      <wp:docPr id="97" name="Frame97"/>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42900" cy="175260"/>
                      <wp:effectExtent l="0" t="0" r="0" b="0"/>
                      <wp:wrapNone/>
                      <wp:docPr id="98" name="Frame9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21615" cy="175260"/>
                      <wp:effectExtent l="0" t="0" r="0" b="0"/>
                      <wp:wrapNone/>
                      <wp:docPr id="99" name="Frame99"/>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58470" cy="175260"/>
                      <wp:effectExtent l="0" t="0" r="0" b="0"/>
                      <wp:wrapNone/>
                      <wp:docPr id="100" name="Frame100"/>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93040" cy="175260"/>
                      <wp:effectExtent l="0" t="0" r="0" b="0"/>
                      <wp:wrapNone/>
                      <wp:docPr id="102" name="Frame102"/>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95300" cy="175260"/>
                      <wp:effectExtent l="0" t="0" r="0" b="0"/>
                      <wp:wrapNone/>
                      <wp:docPr id="103" name="Frame103"/>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98450" cy="175260"/>
                      <wp:effectExtent l="0" t="0" r="0" b="0"/>
                      <wp:wrapNone/>
                      <wp:docPr id="104" name="Frame104"/>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93040" cy="175260"/>
                      <wp:effectExtent l="0" t="0" r="0" b="0"/>
                      <wp:wrapNone/>
                      <wp:docPr id="105" name="Frame105"/>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95300" cy="175260"/>
                      <wp:effectExtent l="0" t="0" r="0" b="0"/>
                      <wp:wrapNone/>
                      <wp:docPr id="106" name="Frame106"/>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35585" cy="175260"/>
                      <wp:effectExtent l="0" t="0" r="0" b="0"/>
                      <wp:wrapNone/>
                      <wp:docPr id="107" name="Frame10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8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0"/>
              <w:ind w:left="0" w:right="0" w:hanging="0"/>
              <w:jc w:val="left"/>
              <w:rPr/>
            </w:pPr>
            <w:r>
              <w:rPr/>
              <w:t>​</w:t>
            </w:r>
          </w:p>
        </w:tc>
        <w:tc>
          <w:tcPr>
            <w:tcW w:w="26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71" w:type="dxa"/>
            <w:tcBorders/>
            <w:vAlign w:val="center"/>
          </w:tcPr>
          <w:p>
            <w:pPr>
              <w:pStyle w:val="TableContents"/>
              <w:bidi w:val="0"/>
              <w:spacing w:before="0" w:after="0"/>
              <w:ind w:left="0" w:right="0" w:hanging="0"/>
              <w:jc w:val="center"/>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40" w:type="dxa"/>
            <w:tcBorders/>
            <w:vAlign w:val="center"/>
          </w:tcPr>
          <w:p>
            <w:pPr>
              <w:pStyle w:val="TableContents"/>
              <w:bidi w:val="0"/>
              <w:spacing w:before="0" w:after="0"/>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0" w:type="dxa"/>
            <w:tcBorders/>
            <w:vAlign w:val="center"/>
          </w:tcPr>
          <w:p>
            <w:pPr>
              <w:pStyle w:val="TableContents"/>
              <w:bidi w:val="0"/>
              <w:spacing w:before="0" w:after="0"/>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left"/>
              <w:rPr/>
            </w:pPr>
            <w:r>
              <w:rPr/>
              <w:t>    </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w:t>
            </w:r>
          </w:p>
        </w:tc>
        <w:tc>
          <w:tcPr>
            <w:tcW w:w="540"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c>
          <w:tcPr>
            <w:tcW w:w="470"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540"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470"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7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 offs (recoveries)</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540"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470"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326" w:type="dxa"/>
            <w:tcBorders/>
            <w:vAlign w:val="center"/>
          </w:tcPr>
          <w:p>
            <w:pPr>
              <w:pStyle w:val="TableContents"/>
              <w:bidi w:val="0"/>
              <w:spacing w:before="0" w:after="0"/>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540" w:type="dxa"/>
            <w:tcBorders/>
            <w:vAlign w:val="center"/>
          </w:tcPr>
          <w:p>
            <w:pPr>
              <w:pStyle w:val="TableContents"/>
              <w:bidi w:val="0"/>
              <w:spacing w:before="0" w:after="0"/>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470"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presents loan loss and impairment detail for the consumer loans receivable portfolio:</w:t>
      </w:r>
    </w:p>
    <w:p>
      <w:pPr>
        <w:pStyle w:val="TextBody"/>
        <w:bidi w:val="0"/>
        <w:spacing w:before="0" w:after="0"/>
        <w:ind w:left="0" w:right="0" w:hanging="0"/>
        <w:jc w:val="left"/>
        <w:rPr/>
      </w:pPr>
      <w:r>
        <w:rPr/>
        <w:t>​</w:t>
      </w:r>
    </w:p>
    <w:tbl>
      <w:tblPr>
        <w:tblW w:w="8333" w:type="dxa"/>
        <w:jc w:val="left"/>
        <w:tblInd w:w="0" w:type="dxa"/>
        <w:tblLayout w:type="fixed"/>
        <w:tblCellMar>
          <w:top w:w="0" w:type="dxa"/>
          <w:left w:w="0" w:type="dxa"/>
          <w:bottom w:w="0" w:type="dxa"/>
          <w:right w:w="0" w:type="dxa"/>
        </w:tblCellMar>
      </w:tblPr>
      <w:tblGrid>
        <w:gridCol w:w="4471"/>
        <w:gridCol w:w="326"/>
        <w:gridCol w:w="341"/>
        <w:gridCol w:w="1264"/>
        <w:gridCol w:w="326"/>
        <w:gridCol w:w="326"/>
        <w:gridCol w:w="1279"/>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839085" cy="175260"/>
                      <wp:effectExtent l="0" t="0" r="0" b="0"/>
                      <wp:wrapNone/>
                      <wp:docPr id="108" name="Frame108"/>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6535" cy="175260"/>
                      <wp:effectExtent l="0" t="0" r="0" b="0"/>
                      <wp:wrapNone/>
                      <wp:docPr id="110" name="Frame110"/>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802640" cy="175260"/>
                      <wp:effectExtent l="0" t="0" r="0" b="0"/>
                      <wp:wrapNone/>
                      <wp:docPr id="111" name="Frame111"/>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812165" cy="175260"/>
                      <wp:effectExtent l="0" t="0" r="0" b="0"/>
                      <wp:wrapNone/>
                      <wp:docPr id="114" name="Frame114"/>
                      <a:graphic xmlns:a="http://schemas.openxmlformats.org/drawingml/2006/main">
                        <a:graphicData uri="http://schemas.microsoft.com/office/word/2010/wordprocessingShape">
                          <wps:wsp>
                            <wps:cNvSpPr txBox="1"/>
                            <wps:spPr>
                              <a:xfrm>
                                <a:off x="0" y="0"/>
                                <a:ext cx="812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consumer loans</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154,524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142,340</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Impaired loans individually evaluated for 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Specific reserve against impaired loans</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loans collectively evaluated for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152,753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140,730</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allowance for loan losses</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218</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and December 31, 2022, the total principal outstanding for consumer loans on nonaccrual status was $1,771 and $1,610, respectively. A detailed aging of consumer loans receivable that are past due as of September 30, 2023 and December 31, 2022 were as follows: </w:t>
      </w:r>
    </w:p>
    <w:p>
      <w:pPr>
        <w:pStyle w:val="TextBody"/>
        <w:bidi w:val="0"/>
        <w:spacing w:before="0" w:after="0"/>
        <w:ind w:left="0" w:right="0" w:hanging="0"/>
        <w:jc w:val="left"/>
        <w:rPr/>
      </w:pPr>
      <w:r>
        <w:rPr/>
        <w:t>​</w:t>
      </w:r>
    </w:p>
    <w:tbl>
      <w:tblPr>
        <w:tblW w:w="8185" w:type="dxa"/>
        <w:jc w:val="left"/>
        <w:tblInd w:w="0" w:type="dxa"/>
        <w:tblLayout w:type="fixed"/>
        <w:tblCellMar>
          <w:top w:w="0" w:type="dxa"/>
          <w:left w:w="0" w:type="dxa"/>
          <w:bottom w:w="0" w:type="dxa"/>
          <w:right w:w="0" w:type="dxa"/>
        </w:tblCellMar>
      </w:tblPr>
      <w:tblGrid>
        <w:gridCol w:w="2746"/>
        <w:gridCol w:w="109"/>
        <w:gridCol w:w="341"/>
        <w:gridCol w:w="1264"/>
        <w:gridCol w:w="326"/>
        <w:gridCol w:w="571"/>
        <w:gridCol w:w="326"/>
        <w:gridCol w:w="331"/>
        <w:gridCol w:w="1229"/>
        <w:gridCol w:w="326"/>
        <w:gridCol w:w="61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743710" cy="175260"/>
                      <wp:effectExtent l="0" t="0" r="0" b="0"/>
                      <wp:wrapNone/>
                      <wp:docPr id="115" name="Frame115"/>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6535" cy="175260"/>
                      <wp:effectExtent l="0" t="0" r="0" b="0"/>
                      <wp:wrapNone/>
                      <wp:docPr id="117" name="Frame117"/>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802640" cy="175260"/>
                      <wp:effectExtent l="0" t="0" r="0" b="0"/>
                      <wp:wrapNone/>
                      <wp:docPr id="118" name="Frame118"/>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62585" cy="175260"/>
                      <wp:effectExtent l="0" t="0" r="0" b="0"/>
                      <wp:wrapNone/>
                      <wp:docPr id="120" name="Frame1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0185" cy="175260"/>
                      <wp:effectExtent l="0" t="0" r="0" b="0"/>
                      <wp:wrapNone/>
                      <wp:docPr id="122" name="Frame12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80415" cy="175260"/>
                      <wp:effectExtent l="0" t="0" r="0" b="0"/>
                      <wp:wrapNone/>
                      <wp:docPr id="123" name="Frame123"/>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91160" cy="175260"/>
                      <wp:effectExtent l="0" t="0" r="0" b="0"/>
                      <wp:wrapNone/>
                      <wp:docPr id="125" name="Frame12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consumer loans receivable</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154,524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142,340</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Past due consumer loans:</w:t>
            </w:r>
          </w:p>
        </w:tc>
        <w:tc>
          <w:tcPr>
            <w:tcW w:w="109"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122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31 - 60 days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61 - 90 days past due</w:t>
            </w:r>
          </w:p>
        </w:tc>
        <w:tc>
          <w:tcPr>
            <w:tcW w:w="109"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12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91 - 120 days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 </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120 days past due</w:t>
            </w:r>
          </w:p>
        </w:tc>
        <w:tc>
          <w:tcPr>
            <w:tcW w:w="109"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3. NOTES RECEIVABLE FROM MOBILE HOME PARKS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notes receivable from mobile home parks (“MHP Notes”) relate to mobile homes sold to mobile home parks and financed through notes receivable. The MHP Notes have varying maturity dates and call for monthly principal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774" w:name="Narr_6zK7rn6ibke-tLcVnax4PA"/>
      <w:bookmarkEnd w:id="774"/>
      <w:r>
        <w:rPr>
          <w:rFonts w:ascii="Times New Roman;Times;serif" w:hAnsi="Times New Roman;Times;serif"/>
          <w:sz w:val="20"/>
        </w:rPr>
        <w:t>and interest payments. The interest rate on the MHP Notes can be fixed or variable. Approximately $172 million of the MHP Notes have a fixed interest rate ranging from 6.9% to 12.5%. The remaining MHP Notes have a variable rate typically set at 4.0% above prime with a minimum of 8.0%. The average interest rate per loan was approximately 8.1% as of September 30, 2023 and December 31, 2022, with maturities that range from 1 to 10 years. The collateral underlying the MHP Notes are individual mobile homes which can be repossessed and resold. The MHP Notes are generally personally guaranteed by borrowers with substantial financial resources.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had concentrations of MHP Notes with three independent third-parties and their respective affiliates that equated to 15.4%, 16.9% and 28.9% of the principal balance outstanding, all of which was secured by the mobile homes, as of September 30, 2023. As of December 31, 2022, the Company had concentrations of MHP Notes with three independent third-parties and their respective affiliates that equated to 12.3%, 16.6% and 34.0% of the principal balance outstanding, all of which was secured by the mobile homes.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 As of September 30, 2023 and December 31, 2022, the MHP Notes balance is presented net of unamortized finance fees of $1,534 and $1,068, respectively. The finance fees are amortized over the life of the MHP Notes.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were minimal past due balances on the MHP Notes as of September 30, 2023 and December 31, 2022 and no charge offs were recorded for MHP Notes during the three and nine months ended September 30, 2023 and 2022. The allowance for loan loss for the MHP Notes is $751 and $0 at September 30, 2023 and December 31, 2022, respectively.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were no impaired MHP Notes as of September 30, 2023 and December 31, 2022, and there were no repossessed homes balances as of September 30, 2023 and December 31, 2022. Collateral for repossessed loans is acquired through foreclosure or similar proceedings and is recorded at the estimated fair value of the home, less the costs to sell.</w:t>
      </w:r>
    </w:p>
    <w:p>
      <w:pPr>
        <w:pStyle w:val="TextBody"/>
        <w:bidi w:val="0"/>
        <w:spacing w:before="0" w:after="200"/>
        <w:ind w:left="0" w:right="0" w:hanging="0"/>
        <w:jc w:val="left"/>
        <w:rPr>
          <w:rFonts w:ascii="Times New Roman;Times;serif" w:hAnsi="Times New Roman;Times;serif"/>
          <w:b/>
          <w:sz w:val="20"/>
        </w:rPr>
      </w:pPr>
      <w:bookmarkStart w:id="775" w:name="Tc_xkwE9OVU6ESdr3d6fU4rsQ_5_5"/>
      <w:bookmarkStart w:id="776" w:name="Tc_pTbvHMhvDESoBn3-2vI56Q_5_2"/>
      <w:bookmarkStart w:id="777" w:name="Tc_8h8D1kGAykSrPU3KyWCdew_5_0"/>
      <w:bookmarkStart w:id="778" w:name="Tc_3AVetRKz3k2SxDzZOn74bA_4_6"/>
      <w:bookmarkStart w:id="779" w:name="Tc_wTRfNyEK-0qpvb98CWee8A_4_0"/>
      <w:bookmarkStart w:id="780" w:name="Tc_Xk10mtXg7UKh9JA7hfzOqg_3_5"/>
      <w:bookmarkStart w:id="781" w:name="Tc_YCR2FSDRNEuiq9UAzDJ6Tw_3_2"/>
      <w:bookmarkStart w:id="782" w:name="Tc_aN4VuvYnYUWs5hYc6t-TyA_3_0"/>
      <w:bookmarkStart w:id="783" w:name="Tc_NdlLEcjflky5ZtQJx_IHGg_2_5"/>
      <w:bookmarkStart w:id="784" w:name="Tc_Yk0Qy-zF-UysjQlwu8jI0Q_2_2"/>
      <w:bookmarkStart w:id="785" w:name="Tc_RbjIaY_ZU0SsehxIGwD5kQ_1_5"/>
      <w:bookmarkStart w:id="786" w:name="Tc_UQHvtmeM4UyIXqG4PKHAQw_1_2"/>
      <w:bookmarkEnd w:id="775"/>
      <w:bookmarkEnd w:id="776"/>
      <w:bookmarkEnd w:id="777"/>
      <w:bookmarkEnd w:id="778"/>
      <w:bookmarkEnd w:id="779"/>
      <w:bookmarkEnd w:id="780"/>
      <w:bookmarkEnd w:id="781"/>
      <w:bookmarkEnd w:id="782"/>
      <w:bookmarkEnd w:id="783"/>
      <w:bookmarkEnd w:id="784"/>
      <w:bookmarkEnd w:id="785"/>
      <w:bookmarkEnd w:id="786"/>
      <w:r>
        <w:rPr>
          <w:rFonts w:ascii="Times New Roman;Times;serif" w:hAnsi="Times New Roman;Times;serif"/>
          <w:b/>
          <w:sz w:val="20"/>
        </w:rPr>
        <w:t>4. OTHER NOTES RECEIVABLE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notes receivable relate to various notes issued to mobile home park owners and dealers, which are not directly tied to the sale of mobile homes. The other notes have varying maturity dates and call for monthly principal and interest payments. The other notes are collateralized by mortgages on real estate, units being financed and used as offices, as well as vehicles, and are typically personally guaranteed by the borrowers. The interest rate on the other notes are fixed and range from 5.00% to 17.90%. The Company reserves for estimated losses on the other notes based on current economic conditions that may affect the borrower’s ability to pay, the borrower’s financial strength, and historical loss experience. There were minimal past due balances for other notes as of September 30, 2023 and no past due balances for other notes as of December 31, 2022, and there were no impaired balances for other notes as of September 30, 2023 and December 31, 2022.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balance outstanding on the other notes receivable were as follows:</w:t>
      </w:r>
    </w:p>
    <w:p>
      <w:pPr>
        <w:pStyle w:val="TextBody"/>
        <w:bidi w:val="0"/>
        <w:spacing w:before="0" w:after="0"/>
        <w:ind w:left="0" w:right="0" w:hanging="0"/>
        <w:jc w:val="left"/>
        <w:rPr/>
      </w:pPr>
      <w:r>
        <w:rPr/>
        <w:t>​</w:t>
      </w:r>
    </w:p>
    <w:tbl>
      <w:tblPr>
        <w:tblW w:w="6443" w:type="dxa"/>
        <w:jc w:val="left"/>
        <w:tblInd w:w="0" w:type="dxa"/>
        <w:tblLayout w:type="fixed"/>
        <w:tblCellMar>
          <w:top w:w="0" w:type="dxa"/>
          <w:left w:w="0" w:type="dxa"/>
          <w:bottom w:w="0" w:type="dxa"/>
          <w:right w:w="0" w:type="dxa"/>
        </w:tblCellMar>
      </w:tblPr>
      <w:tblGrid>
        <w:gridCol w:w="2581"/>
        <w:gridCol w:w="326"/>
        <w:gridCol w:w="380"/>
        <w:gridCol w:w="1225"/>
        <w:gridCol w:w="326"/>
        <w:gridCol w:w="337"/>
        <w:gridCol w:w="1268"/>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38935" cy="175260"/>
                      <wp:effectExtent l="0" t="0" r="0" b="0"/>
                      <wp:wrapNone/>
                      <wp:docPr id="126" name="Frame126"/>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41300" cy="175260"/>
                      <wp:effectExtent l="0" t="0" r="0" b="0"/>
                      <wp:wrapNone/>
                      <wp:docPr id="128" name="Frame128"/>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77875" cy="175260"/>
                      <wp:effectExtent l="0" t="0" r="0" b="0"/>
                      <wp:wrapNone/>
                      <wp:docPr id="129" name="Frame129"/>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3995" cy="175260"/>
                      <wp:effectExtent l="0" t="0" r="0" b="0"/>
                      <wp:wrapNone/>
                      <wp:docPr id="131" name="Frame131"/>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805180" cy="175260"/>
                      <wp:effectExtent l="0" t="0" r="0" b="0"/>
                      <wp:wrapNone/>
                      <wp:docPr id="132" name="Frame132"/>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35,638</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22,722</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35,449</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22,722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787" w:name="_Hlk112237063"/>
      <w:bookmarkEnd w:id="787"/>
      <w:r>
        <w:rPr>
          <w:rFonts w:ascii="Times New Roman;Times;serif" w:hAnsi="Times New Roman;Times;serif"/>
          <w:b/>
          <w:sz w:val="20"/>
        </w:rPr>
        <w:t>5. LEASES</w:t>
      </w:r>
    </w:p>
    <w:p>
      <w:pPr>
        <w:pStyle w:val="TextBody"/>
        <w:bidi w:val="0"/>
        <w:spacing w:before="0" w:after="200"/>
        <w:ind w:left="0" w:right="0" w:firstLine="720"/>
        <w:jc w:val="left"/>
        <w:rPr>
          <w:rFonts w:ascii="Times New Roman;Times;serif" w:hAnsi="Times New Roman;Times;serif"/>
          <w:b/>
          <w:sz w:val="20"/>
        </w:rPr>
      </w:pPr>
      <w:r>
        <w:rPr>
          <w:rFonts w:ascii="Times New Roman;Times;serif" w:hAnsi="Times New Roman;Times;serif"/>
          <w:b w:val="false"/>
          <w:sz w:val="20"/>
        </w:rPr>
        <w:t>The Company currently has 13</w:t>
      </w:r>
      <w:r>
        <w:rPr>
          <w:rFonts w:ascii="Times New Roman;Times;serif" w:hAnsi="Times New Roman;Times;serif"/>
          <w:b/>
          <w:sz w:val="20"/>
        </w:rPr>
        <w:t xml:space="preserve"> </w:t>
      </w:r>
      <w:r>
        <w:rPr>
          <w:rFonts w:ascii="Times New Roman;Times;serif" w:hAnsi="Times New Roman;Times;serif"/>
          <w:b w:val="false"/>
          <w:sz w:val="20"/>
        </w:rPr>
        <w:t>operating leases, eight</w:t>
      </w:r>
      <w:r>
        <w:rPr>
          <w:rFonts w:ascii="Times New Roman;Times;serif" w:hAnsi="Times New Roman;Times;serif"/>
          <w:b/>
          <w:sz w:val="20"/>
        </w:rPr>
        <w:t xml:space="preserve"> </w:t>
      </w:r>
      <w:r>
        <w:rPr>
          <w:rFonts w:ascii="Times New Roman;Times;serif" w:hAnsi="Times New Roman;Times;serif"/>
          <w:b w:val="false"/>
          <w:sz w:val="20"/>
        </w:rPr>
        <w:t>of which are for the Company’s Heritage Housing and Tiny Homes retail locations, three</w:t>
      </w:r>
      <w:r>
        <w:rPr>
          <w:rFonts w:ascii="Times New Roman;Times;serif" w:hAnsi="Times New Roman;Times;serif"/>
          <w:b/>
          <w:sz w:val="20"/>
        </w:rPr>
        <w:t xml:space="preserve"> </w:t>
      </w:r>
      <w:r>
        <w:rPr>
          <w:rFonts w:ascii="Times New Roman;Times;serif" w:hAnsi="Times New Roman;Times;serif"/>
          <w:b w:val="false"/>
          <w:sz w:val="20"/>
        </w:rPr>
        <w:t>which are subleased by the Company and two</w:t>
      </w:r>
      <w:r>
        <w:rPr>
          <w:rFonts w:ascii="Times New Roman;Times;serif" w:hAnsi="Times New Roman;Times;serif"/>
          <w:b/>
          <w:sz w:val="20"/>
        </w:rPr>
        <w:t xml:space="preserve"> </w:t>
      </w:r>
      <w:r>
        <w:rPr>
          <w:rFonts w:ascii="Times New Roman;Times;serif" w:hAnsi="Times New Roman;Times;serif"/>
          <w:b w:val="false"/>
          <w:sz w:val="20"/>
        </w:rPr>
        <w:t>of which are for corporate and administrative offices in Bedford, Texas and Norcross, Georgia. These leases typically have initial terms ranging from 5</w:t>
      </w:r>
      <w:r>
        <w:rPr>
          <w:rFonts w:ascii="Times New Roman;Times;serif" w:hAnsi="Times New Roman;Times;serif"/>
          <w:b/>
          <w:sz w:val="20"/>
        </w:rPr>
        <w:t xml:space="preserve"> </w:t>
      </w:r>
      <w:r>
        <w:rPr>
          <w:rFonts w:ascii="Times New Roman;Times;serif" w:hAnsi="Times New Roman;Times;serif"/>
          <w:b w:val="false"/>
          <w:sz w:val="20"/>
        </w:rPr>
        <w:t>to 10 years</w:t>
      </w:r>
      <w:r>
        <w:rPr>
          <w:rFonts w:ascii="Times New Roman;Times;serif" w:hAnsi="Times New Roman;Times;serif"/>
          <w:b/>
          <w:sz w:val="20"/>
        </w:rPr>
        <w:t xml:space="preserve"> </w:t>
      </w:r>
      <w:r>
        <w:rPr>
          <w:rFonts w:ascii="Times New Roman;Times;serif" w:hAnsi="Times New Roman;Times;serif"/>
          <w:b w:val="false"/>
          <w:sz w:val="20"/>
        </w:rPr>
        <w:t>and include one or more options</w:t>
      </w:r>
      <w:r>
        <w:rPr>
          <w:rFonts w:ascii="Times New Roman;Times;serif" w:hAnsi="Times New Roman;Times;serif"/>
          <w:b/>
          <w:sz w:val="20"/>
        </w:rPr>
        <w:t xml:space="preserve"> </w:t>
      </w:r>
      <w:r>
        <w:rPr>
          <w:rFonts w:ascii="Times New Roman;Times;serif" w:hAnsi="Times New Roman;Times;serif"/>
          <w:b w:val="false"/>
          <w:sz w:val="20"/>
        </w:rPr>
        <w:t>to renew.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determine if an arrangement is a lease at inception. Operating leases are right-of-use (“ROU”) assets and are shown as ROU assets – operating leases on our condensed balance sheet. The lease liabilities are shown as operating lease obligations and operating lease obligations, less current portion on our condensed balance sheet. ROU assets represent our right to use an underlying asset for the lease term and lease liabilities represent our obligation to make lease payments arising from the lease.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ROU assets and liabilities are recognized at the lease commencement date based on the estimated present value of lease payments over the lease term. We have elected the practical expedient to not separate lease and non-lease components. Therefore, lease payments included in the measurement of the lease liability include all fixed payments under the lease agreement. We record a ROU asset for an amount equal to the lease liability, increased for any prepaid lease costs and initial direct costs and reduced by any lease incentives. We remeasure the lease liability and ROU asset when a change to our future minimum lease payments occurs. Key assumptions and judgments included in the determination of the lease liability include the discount rate used in the present value calculation and the exercise of renewal options.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Many of our leases contain renewal options. As the exercise of the renewal options is not certain at commencement of a lease, we generally do not include the option periods in the lease term when determining the lease liabilities and ROU assets. We remeasure the lease liability and ROU asset when we are reasonably certain that we will exercise a renewal option.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leases do not provide information about the rate implicit in the lease. Therefore, we utilize an incremental borrowing rate to calculate the present value of our future lease obligations. The incremental borrowing rate represents the rate of interest we would otherwise pay on a collateralized borrowing, for an amount equal to the lease payments, over a similar term and in a similar economic environment. The remaining weighted-average lease term is 4.23 years and the weighted-average discount rate is 2.10%. See Note 14 – Commitments and Contingencies for additional details on the Company’s lease expense.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consider lease payments that cannot be predicted with reasonable certainty upon lease commencement to be variable lease payments, which are recorded as incurred each period and are excluded from our calculation of lease liabilities. There were no variable lease costs for the three and nine months ended September 30, 2023 and 2022.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Short-term leases, defined as those with a term of 12 months or less, are not recorded on our Condensed Balance Sheet. Our short-term lease costs were not material for the three and nine months ended September 30, 2023 and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788" w:name="Tc_MTDUDdetVkSt91DDqOT5nA_11_2"/>
      <w:bookmarkStart w:id="789" w:name="Tc_XqYiowhjf0iacdfgRisD-Q_11_0"/>
      <w:bookmarkStart w:id="790" w:name="Tc_yc1Fp82Nx0O2lFmK80Og8g_10_0"/>
      <w:bookmarkStart w:id="791" w:name="Tc_ATmmw624zEOfFauUQ0b-oQ_9_2"/>
      <w:bookmarkStart w:id="792" w:name="Tc_gpW1vdb2mEORubqJ9iwjhA_9_0"/>
      <w:bookmarkStart w:id="793" w:name="Tc_2xHFNDuGlk22iahv86pr4Q_8_0"/>
      <w:bookmarkStart w:id="794" w:name="Tc_jrvDI_KBZUy7BtC0Rt-syQ_7_2"/>
      <w:bookmarkStart w:id="795" w:name="Tc_6PprBuUE-EiM09uNk8aZmQ_7_0"/>
      <w:bookmarkStart w:id="796" w:name="Tc_QkwCZBJBWEy80qrUKcxKlA_6_0"/>
      <w:bookmarkStart w:id="797" w:name="Tc_KneV1pZxVk2xcRNXDus0nw_5_0"/>
      <w:bookmarkStart w:id="798" w:name="Tc_JPh2M02I70e8kFC2HzHOZg_4_0"/>
      <w:bookmarkStart w:id="799" w:name="Tc_wu4ukRWi3ki3adFkuGefvg_3_0"/>
      <w:bookmarkStart w:id="800" w:name="Tc_ywIaW76lwke9W7NRrzDykQ_2_0"/>
      <w:bookmarkStart w:id="801" w:name="Tc_c5J1DGnP70G2HprHeoLygA_1_2"/>
      <w:bookmarkStart w:id="802" w:name="Tc_JW4U-nWVL065koSFQiGSUQ_1_0"/>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r>
        <w:rPr>
          <w:rFonts w:ascii="Times New Roman;Times;serif" w:hAnsi="Times New Roman;Times;serif"/>
          <w:sz w:val="20"/>
        </w:rPr>
        <w:t>As of September 30, 2023, future minimum lease payments under our operating lease liabilities were as follows:</w:t>
      </w:r>
    </w:p>
    <w:p>
      <w:pPr>
        <w:pStyle w:val="TextBody"/>
        <w:bidi w:val="0"/>
        <w:spacing w:before="0" w:after="0"/>
        <w:ind w:left="0" w:right="0" w:hanging="0"/>
        <w:jc w:val="left"/>
        <w:rPr/>
      </w:pPr>
      <w:r>
        <w:rPr/>
        <w:t>​</w:t>
      </w:r>
    </w:p>
    <w:tbl>
      <w:tblPr>
        <w:tblW w:w="4061" w:type="dxa"/>
        <w:jc w:val="left"/>
        <w:tblInd w:w="0" w:type="dxa"/>
        <w:tblLayout w:type="fixed"/>
        <w:tblCellMar>
          <w:top w:w="0" w:type="dxa"/>
          <w:left w:w="0" w:type="dxa"/>
          <w:bottom w:w="0" w:type="dxa"/>
          <w:right w:w="0" w:type="dxa"/>
        </w:tblCellMar>
      </w:tblPr>
      <w:tblGrid>
        <w:gridCol w:w="2836"/>
        <w:gridCol w:w="326"/>
        <w:gridCol w:w="211"/>
        <w:gridCol w:w="688"/>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00860" cy="175260"/>
                      <wp:effectExtent l="0" t="0" r="0" b="0"/>
                      <wp:wrapNone/>
                      <wp:docPr id="133" name="Frame133"/>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36880" cy="175260"/>
                      <wp:effectExtent l="0" t="0" r="0" b="0"/>
                      <wp:wrapNone/>
                      <wp:docPr id="136" name="Frame136"/>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2,086</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amount representing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lease liability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lease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1,515</w:t>
            </w:r>
          </w:p>
        </w:tc>
      </w:tr>
    </w:tbl>
    <w:p>
      <w:pPr>
        <w:pStyle w:val="TextBody"/>
        <w:bidi w:val="0"/>
        <w:spacing w:before="0" w:after="200"/>
        <w:ind w:left="0" w:right="0" w:firstLine="72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803" w:name="Tc_8YMoSDlxN0SBKqHEVrCftw_6_5"/>
      <w:bookmarkStart w:id="804" w:name="Tc_xSLm2-d7pkGqtlxG7Wudyw_6_2"/>
      <w:bookmarkStart w:id="805" w:name="Tc_P1ZZ5-H1fESfn29P1sNdGA_6_0"/>
      <w:bookmarkStart w:id="806" w:name="Tc_tUDFR2kbWUuJHDFiH0Gpyg_5_0"/>
      <w:bookmarkStart w:id="807" w:name="Tc_pQXaJB0ZQUyOHPWgGSNk2Q_4_0"/>
      <w:bookmarkStart w:id="808" w:name="Tc_8-3ZZJddm0qDyTJRaJZUKw_3_5"/>
      <w:bookmarkStart w:id="809" w:name="Tc_1yy5a0n-TUuuOYIO0VHuzw_3_2"/>
      <w:bookmarkStart w:id="810" w:name="Tc_pxr8h914Hka1w8CenVDVng_3_0"/>
      <w:bookmarkStart w:id="811" w:name="Tc_VVohsgGcxUWOSA0RliUmOg_2_5"/>
      <w:bookmarkStart w:id="812" w:name="Tc_pWR8BgYKL02RsDV3Ld6qdw_2_2"/>
      <w:bookmarkStart w:id="813" w:name="Tc_pCidSHZg-UiR8C3tJNQLKg_1_5"/>
      <w:bookmarkStart w:id="814" w:name="Tc__j2khb1AnUeZMZwFVPDJlg_1_2"/>
      <w:bookmarkEnd w:id="803"/>
      <w:bookmarkEnd w:id="804"/>
      <w:bookmarkEnd w:id="805"/>
      <w:bookmarkEnd w:id="806"/>
      <w:bookmarkEnd w:id="807"/>
      <w:bookmarkEnd w:id="808"/>
      <w:bookmarkEnd w:id="809"/>
      <w:bookmarkEnd w:id="810"/>
      <w:bookmarkEnd w:id="811"/>
      <w:bookmarkEnd w:id="812"/>
      <w:bookmarkEnd w:id="813"/>
      <w:bookmarkEnd w:id="814"/>
      <w:r>
        <w:rPr>
          <w:rFonts w:ascii="Times New Roman;Times;serif" w:hAnsi="Times New Roman;Times;serif"/>
          <w:b w:val="false"/>
          <w:sz w:val="20"/>
        </w:rPr>
        <w:t>6</w:t>
      </w:r>
      <w:r>
        <w:rPr>
          <w:rFonts w:ascii="Times New Roman;Times;serif" w:hAnsi="Times New Roman;Times;serif"/>
          <w:b/>
          <w:sz w:val="20"/>
        </w:rPr>
        <w:t>. INVENTORIES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Inventories consists of the following:</w:t>
      </w:r>
    </w:p>
    <w:p>
      <w:pPr>
        <w:pStyle w:val="TextBody"/>
        <w:bidi w:val="0"/>
        <w:spacing w:before="0" w:after="0"/>
        <w:ind w:left="0" w:right="0" w:hanging="0"/>
        <w:jc w:val="left"/>
        <w:rPr/>
      </w:pPr>
      <w:r>
        <w:rPr/>
        <w:t>​</w:t>
      </w:r>
    </w:p>
    <w:tbl>
      <w:tblPr>
        <w:tblW w:w="5363" w:type="dxa"/>
        <w:jc w:val="left"/>
        <w:tblInd w:w="0" w:type="dxa"/>
        <w:tblLayout w:type="fixed"/>
        <w:tblCellMar>
          <w:top w:w="0" w:type="dxa"/>
          <w:left w:w="0" w:type="dxa"/>
          <w:bottom w:w="0" w:type="dxa"/>
          <w:right w:w="0" w:type="dxa"/>
        </w:tblCellMar>
      </w:tblPr>
      <w:tblGrid>
        <w:gridCol w:w="1501"/>
        <w:gridCol w:w="326"/>
        <w:gridCol w:w="380"/>
        <w:gridCol w:w="1225"/>
        <w:gridCol w:w="326"/>
        <w:gridCol w:w="337"/>
        <w:gridCol w:w="1268"/>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953135" cy="175260"/>
                      <wp:effectExtent l="0" t="0" r="0" b="0"/>
                      <wp:wrapNone/>
                      <wp:docPr id="137" name="Frame137"/>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41300" cy="175260"/>
                      <wp:effectExtent l="0" t="0" r="0" b="0"/>
                      <wp:wrapNone/>
                      <wp:docPr id="139" name="Frame139"/>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77875" cy="175260"/>
                      <wp:effectExtent l="0" t="0" r="0" b="0"/>
                      <wp:wrapNone/>
                      <wp:docPr id="140" name="Frame140"/>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3995" cy="175260"/>
                      <wp:effectExtent l="0" t="0" r="0" b="0"/>
                      <wp:wrapNone/>
                      <wp:docPr id="142" name="Frame142"/>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805180" cy="175260"/>
                      <wp:effectExtent l="0" t="0" r="0" b="0"/>
                      <wp:wrapNone/>
                      <wp:docPr id="143" name="Frame143"/>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14,846</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17,442</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26,449</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21,028</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42,059</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39,062</w:t>
            </w:r>
          </w:p>
        </w:tc>
      </w:tr>
    </w:tbl>
    <w:p>
      <w:pPr>
        <w:pStyle w:val="TextBody"/>
        <w:bidi w:val="0"/>
        <w:spacing w:before="0" w:after="0"/>
        <w:ind w:left="0" w:right="0" w:hanging="0"/>
        <w:jc w:val="left"/>
        <w:rPr/>
      </w:pPr>
      <w:r>
        <w:rPr/>
        <w:t>​</w:t>
      </w:r>
    </w:p>
    <w:p>
      <w:pPr>
        <w:pStyle w:val="TextBody"/>
        <w:bidi w:val="0"/>
        <w:spacing w:before="120" w:after="0"/>
        <w:ind w:left="720" w:right="0" w:hanging="0"/>
        <w:jc w:val="left"/>
        <w:rPr>
          <w:rFonts w:ascii="Times New Roman;Times;serif" w:hAnsi="Times New Roman;Times;serif"/>
          <w:sz w:val="20"/>
        </w:rPr>
      </w:pPr>
      <w:r>
        <w:rPr>
          <w:rFonts w:ascii="Times New Roman;Times;serif" w:hAnsi="Times New Roman;Times;serif"/>
          <w:sz w:val="20"/>
        </w:rPr>
        <w:t>Finished goods includes $6,704 and $6,987 as of September 30, 2023 and December 31, 2022, respectively, held for more than twelve months and classified as long-term. The Company has an inventory allowance of $402 as of both September 30, 2023 and December 31, 2022.</w:t>
      </w:r>
    </w:p>
    <w:p>
      <w:pPr>
        <w:pStyle w:val="TextBody"/>
        <w:bidi w:val="0"/>
        <w:spacing w:before="120" w:after="0"/>
        <w:ind w:left="108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815" w:name="Tc_OQrSa7eRFEmN9iqYUD3T3g_10_5"/>
      <w:bookmarkStart w:id="816" w:name="Tc_Ctxp3wJSV0uKH8arSwBFqQ_10_2"/>
      <w:bookmarkStart w:id="817" w:name="Tc_8Vs_2COXeUK3VLdl8lVEuw_10_0"/>
      <w:bookmarkStart w:id="818" w:name="Tc_9KknLhs_0ES2FcLSF3_u0g_9_0"/>
      <w:bookmarkStart w:id="819" w:name="Tc_-_xJuwZmXUKcbqq7Wyn_ZA_8_0"/>
      <w:bookmarkStart w:id="820" w:name="Tc_bQaNrf6hokyk-lvw7-qDNQ_7_0"/>
      <w:bookmarkStart w:id="821" w:name="Tc_IIoXNM8Go0CT5k7K51xozw_6_0"/>
      <w:bookmarkStart w:id="822" w:name="Tc_nSxd1GYLxkqxt1oz537Qdw_5_0"/>
      <w:bookmarkStart w:id="823" w:name="Tc_VQGgaqr30U2eER4f9DuxBg_4_0"/>
      <w:bookmarkStart w:id="824" w:name="Tc_G6L0qGyibEenrXGeMr3DGA_3_5"/>
      <w:bookmarkStart w:id="825" w:name="Tc_EMcDhrDcpEehmer7ZnJo4w_3_2"/>
      <w:bookmarkStart w:id="826" w:name="Tc_RhSWJBYfj0K1SJDELO8SlQ_3_0"/>
      <w:bookmarkStart w:id="827" w:name="Tc_vnsr3VyBckiMt5D5B6BzFw_2_5"/>
      <w:bookmarkStart w:id="828" w:name="Tc_Uy2bZ6Teq02WY8fzf55XXw_2_2"/>
      <w:bookmarkStart w:id="829" w:name="Tc_KuR1ZSASLUekM2z75phXVQ_1_5"/>
      <w:bookmarkStart w:id="830" w:name="Tc_rBikixxCaEG7slWtI_vdQg_1_2"/>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r>
        <w:rPr>
          <w:rFonts w:ascii="Times New Roman;Times;serif" w:hAnsi="Times New Roman;Times;serif"/>
          <w:b/>
          <w:sz w:val="20"/>
        </w:rPr>
        <w:t>7. PROPERTY, PLANT AND EQUIPMENT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Property, plant and equipment consists of the following:</w:t>
      </w:r>
    </w:p>
    <w:p>
      <w:pPr>
        <w:pStyle w:val="TextBody"/>
        <w:bidi w:val="0"/>
        <w:spacing w:before="0" w:after="0"/>
        <w:ind w:left="0" w:right="0" w:hanging="0"/>
        <w:jc w:val="left"/>
        <w:rPr/>
      </w:pPr>
      <w:r>
        <w:rPr/>
        <w:t>​</w:t>
      </w:r>
    </w:p>
    <w:tbl>
      <w:tblPr>
        <w:tblW w:w="7163" w:type="dxa"/>
        <w:jc w:val="left"/>
        <w:tblInd w:w="0" w:type="dxa"/>
        <w:tblLayout w:type="fixed"/>
        <w:tblCellMar>
          <w:top w:w="0" w:type="dxa"/>
          <w:left w:w="0" w:type="dxa"/>
          <w:bottom w:w="0" w:type="dxa"/>
          <w:right w:w="0" w:type="dxa"/>
        </w:tblCellMar>
      </w:tblPr>
      <w:tblGrid>
        <w:gridCol w:w="3301"/>
        <w:gridCol w:w="326"/>
        <w:gridCol w:w="357"/>
        <w:gridCol w:w="1248"/>
        <w:gridCol w:w="326"/>
        <w:gridCol w:w="337"/>
        <w:gridCol w:w="1268"/>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96135" cy="175260"/>
                      <wp:effectExtent l="0" t="0" r="0" b="0"/>
                      <wp:wrapNone/>
                      <wp:docPr id="144" name="Frame144"/>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26695" cy="175260"/>
                      <wp:effectExtent l="0" t="0" r="0" b="0"/>
                      <wp:wrapNone/>
                      <wp:docPr id="146" name="Frame146"/>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92480" cy="175260"/>
                      <wp:effectExtent l="0" t="0" r="0" b="0"/>
                      <wp:wrapNone/>
                      <wp:docPr id="147" name="Frame147"/>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3995" cy="175260"/>
                      <wp:effectExtent l="0" t="0" r="0" b="0"/>
                      <wp:wrapNone/>
                      <wp:docPr id="149" name="Frame149"/>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805180" cy="175260"/>
                      <wp:effectExtent l="0" t="0" r="0" b="0"/>
                      <wp:wrapNone/>
                      <wp:docPr id="150" name="Frame150"/>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14,953</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20,807</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16,949</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 </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6,420</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44,080</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39,508</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(10,206)</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33,874</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30,106</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Depreciation expense was $273 with $127 included as a component of cost of product sales for the three months ended September 30, 2023, and $295 with $116 included as a component of cost of product sales for the three months ended September 30, 2022. Depreciation expense was $812 with $377 included as a component of cost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product sales for the nine months ended September 30, 2023, and $872 with $364 included as a component of cost of product sales for the nine months ended September 30, 2022.</w:t>
      </w:r>
    </w:p>
    <w:p>
      <w:pPr>
        <w:pStyle w:val="TextBody"/>
        <w:bidi w:val="0"/>
        <w:spacing w:before="0" w:after="200"/>
        <w:ind w:left="0" w:right="0" w:hanging="0"/>
        <w:jc w:val="left"/>
        <w:rPr>
          <w:rFonts w:ascii="Times New Roman;Times;serif" w:hAnsi="Times New Roman;Times;serif"/>
          <w:b/>
          <w:sz w:val="20"/>
        </w:rPr>
      </w:pPr>
      <w:bookmarkStart w:id="831" w:name="Tc_1d1gD90g90G-636qhJIbcg_6_5"/>
      <w:bookmarkStart w:id="832" w:name="Tc_c9f4o_bp2U6V-FaOb1Mu2w_6_2"/>
      <w:bookmarkStart w:id="833" w:name="Tc_aclDBlPd-0iCHfuk7a52DQ_6_0"/>
      <w:bookmarkStart w:id="834" w:name="Tc_Nlxn0imzR0O66ILEL0K1Dg_5_0"/>
      <w:bookmarkStart w:id="835" w:name="Tc_1Qrher4pIUCqnZJrNplS5w_4_0"/>
      <w:bookmarkStart w:id="836" w:name="Tc_6CRYhLDFa02Frf_LInIkZQ_3_5"/>
      <w:bookmarkStart w:id="837" w:name="Tc_TVTjIn1A002Rch82LhOWLQ_3_2"/>
      <w:bookmarkStart w:id="838" w:name="Tc_mbpDH0QAIESUk3Pd1G_Jnw_3_0"/>
      <w:bookmarkStart w:id="839" w:name="Tc_6GcEqzwUK0WyPcQYCRYeIQ_2_5"/>
      <w:bookmarkStart w:id="840" w:name="Tc_RQMenzfDHUykQ7GGcFELrw_2_2"/>
      <w:bookmarkStart w:id="841" w:name="Tc_LC798lJV70uhOOf0OEUf4Q_1_5"/>
      <w:bookmarkStart w:id="842" w:name="Tc_UNj5KXgbaUGbm9OWf-x4Ww_1_2"/>
      <w:bookmarkEnd w:id="831"/>
      <w:bookmarkEnd w:id="832"/>
      <w:bookmarkEnd w:id="833"/>
      <w:bookmarkEnd w:id="834"/>
      <w:bookmarkEnd w:id="835"/>
      <w:bookmarkEnd w:id="836"/>
      <w:bookmarkEnd w:id="837"/>
      <w:bookmarkEnd w:id="838"/>
      <w:bookmarkEnd w:id="839"/>
      <w:bookmarkEnd w:id="840"/>
      <w:bookmarkEnd w:id="841"/>
      <w:bookmarkEnd w:id="842"/>
      <w:r>
        <w:rPr>
          <w:rFonts w:ascii="Times New Roman;Times;serif" w:hAnsi="Times New Roman;Times;serif"/>
          <w:b/>
          <w:sz w:val="20"/>
        </w:rPr>
        <w:t>8. OTHER ASSETS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assets consists of the following:</w:t>
      </w:r>
    </w:p>
    <w:p>
      <w:pPr>
        <w:pStyle w:val="TextBody"/>
        <w:bidi w:val="0"/>
        <w:spacing w:before="0" w:after="0"/>
        <w:ind w:left="0" w:right="0" w:hanging="0"/>
        <w:jc w:val="left"/>
        <w:rPr/>
      </w:pPr>
      <w:r>
        <w:rPr/>
        <w:t>​</w:t>
      </w:r>
    </w:p>
    <w:tbl>
      <w:tblPr>
        <w:tblW w:w="5573" w:type="dxa"/>
        <w:jc w:val="left"/>
        <w:tblInd w:w="0" w:type="dxa"/>
        <w:tblLayout w:type="fixed"/>
        <w:tblCellMar>
          <w:top w:w="0" w:type="dxa"/>
          <w:left w:w="0" w:type="dxa"/>
          <w:bottom w:w="0" w:type="dxa"/>
          <w:right w:w="0" w:type="dxa"/>
        </w:tblCellMar>
      </w:tblPr>
      <w:tblGrid>
        <w:gridCol w:w="1711"/>
        <w:gridCol w:w="326"/>
        <w:gridCol w:w="432"/>
        <w:gridCol w:w="1173"/>
        <w:gridCol w:w="326"/>
        <w:gridCol w:w="376"/>
        <w:gridCol w:w="1229"/>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086485" cy="175260"/>
                      <wp:effectExtent l="0" t="0" r="0" b="0"/>
                      <wp:wrapNone/>
                      <wp:docPr id="151" name="Frame151"/>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74320" cy="175260"/>
                      <wp:effectExtent l="0" t="0" r="0" b="0"/>
                      <wp:wrapNone/>
                      <wp:docPr id="153" name="Frame153"/>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44855" cy="175260"/>
                      <wp:effectExtent l="0" t="0" r="0" b="0"/>
                      <wp:wrapNone/>
                      <wp:docPr id="154" name="Frame154"/>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38760" cy="175260"/>
                      <wp:effectExtent l="0" t="0" r="0" b="0"/>
                      <wp:wrapNone/>
                      <wp:docPr id="156" name="Frame15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80415" cy="175260"/>
                      <wp:effectExtent l="0" t="0" r="0" b="0"/>
                      <wp:wrapNone/>
                      <wp:docPr id="157" name="Frame157"/>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1"/>
              <w:ind w:left="0" w:right="0" w:hanging="0"/>
              <w:jc w:val="left"/>
              <w:rPr/>
            </w:pPr>
            <w:r>
              <w:rPr/>
              <w:t>    </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Stadium license</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r>
      <w:tr>
        <w:trPr/>
        <w:tc>
          <w:tcPr>
            <w:tcW w:w="1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pPr>
            <w:r>
              <w:rPr/>
              <w:t> </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 </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Repossessed homes</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w:t>
            </w:r>
          </w:p>
        </w:tc>
      </w:tr>
      <w:tr>
        <w:trPr/>
        <w:tc>
          <w:tcPr>
            <w:tcW w:w="1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4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w:t>
            </w:r>
          </w:p>
        </w:tc>
        <w:tc>
          <w:tcPr>
            <w:tcW w:w="326" w:type="dxa"/>
            <w:tcBorders/>
            <w:vAlign w:val="center"/>
          </w:tcPr>
          <w:p>
            <w:pPr>
              <w:pStyle w:val="TableContents"/>
              <w:bidi w:val="0"/>
              <w:spacing w:before="0" w:after="1"/>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1,482</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val="false"/>
          <w:sz w:val="20"/>
        </w:rPr>
        <w:t>9</w:t>
      </w:r>
      <w:r>
        <w:rPr>
          <w:rFonts w:ascii="Times New Roman;Times;serif" w:hAnsi="Times New Roman;Times;serif"/>
          <w:b/>
          <w:sz w:val="20"/>
        </w:rPr>
        <w:t>. DEBT SECURITIES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Debt Securities have been classified according to management’s intent. The Company purchased US Treasury Notes in November 2022 that were scheduled to mature in November 2023. The Debt Securities were classified as held-to-maturity and the amortized costs are $8,412 at December 31, 2022. The Debt Securities were sold prior to maturity on June 22, 2023 and the proceeds were used to pay down the credit line. The Company recognized a gain of $12 when the Debt Securities were sold.</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843" w:name="Tc_j4ywSLHJlkOX013EuCLO3g_12_5"/>
      <w:bookmarkStart w:id="844" w:name="Tc_ql9l8l2BQkq_DbDAMBaEeA_12_2"/>
      <w:bookmarkStart w:id="845" w:name="Tc_NYLGB9dXLkqTzCHtNxG4KA_12_0"/>
      <w:bookmarkStart w:id="846" w:name="Tc_ZO5bqXigbUi569aPOUGa5w_11_0"/>
      <w:bookmarkStart w:id="847" w:name="Tc_RwA3TXuKHUSXoSvCCMJeJA_10_0"/>
      <w:bookmarkStart w:id="848" w:name="Tc_03uNQlhbUESfOUHy5f7ygg_9_0"/>
      <w:bookmarkStart w:id="849" w:name="Tc_urKhM7KsiU2_T7vzg97GQg_8_0"/>
      <w:bookmarkStart w:id="850" w:name="Tc_5tC0jwV2XES3AuiNCQ5FQg_7_0"/>
      <w:bookmarkStart w:id="851" w:name="Tc_Co_hVSP4FUqcvrIAnIpJYA_6_0"/>
      <w:bookmarkStart w:id="852" w:name="Tc_f-4Bytj7i0ux4L6PBy22pg_5_0"/>
      <w:bookmarkStart w:id="853" w:name="Tc_aX7YHd5pTUKD6RbOu5fU9g_4_0"/>
      <w:bookmarkStart w:id="854" w:name="Tc_oZrFiDXyk0G4Q3fQo_xPmQ_3_5"/>
      <w:bookmarkStart w:id="855" w:name="Tc_6I8Ej1lEpkikS-SmkjZ5OQ_3_2"/>
      <w:bookmarkStart w:id="856" w:name="Tc_KLi3nv0UhEKw8PgnA_ff1A_3_0"/>
      <w:bookmarkStart w:id="857" w:name="Tc_Gmttof67aEu6GZ7JR_KGtw_2_5"/>
      <w:bookmarkStart w:id="858" w:name="Tc_SJFoJLmNhkWQpNnhmEZZeg_2_2"/>
      <w:bookmarkStart w:id="859" w:name="Tc_6yqM8W01ikGxejwPaOXjzQ_1_5"/>
      <w:bookmarkStart w:id="860" w:name="Tc_iEgyvf8SsEKrT49xhyg5tA_1_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Pr>
          <w:rFonts w:ascii="Times New Roman;Times;serif" w:hAnsi="Times New Roman;Times;serif"/>
          <w:b w:val="false"/>
          <w:sz w:val="20"/>
        </w:rPr>
        <w:t>10</w:t>
      </w:r>
      <w:r>
        <w:rPr>
          <w:rFonts w:ascii="Times New Roman;Times;serif" w:hAnsi="Times New Roman;Times;serif"/>
          <w:b/>
          <w:sz w:val="20"/>
        </w:rPr>
        <w:t>. ACCRUED LIABILITIES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Accrued liabilities consist of the following:</w:t>
      </w:r>
    </w:p>
    <w:p>
      <w:pPr>
        <w:pStyle w:val="TextBody"/>
        <w:bidi w:val="0"/>
        <w:spacing w:before="0" w:after="0"/>
        <w:ind w:left="0" w:right="0" w:hanging="0"/>
        <w:jc w:val="left"/>
        <w:rPr/>
      </w:pPr>
      <w:r>
        <w:rPr/>
        <w:t>​</w:t>
      </w:r>
    </w:p>
    <w:tbl>
      <w:tblPr>
        <w:tblW w:w="6458" w:type="dxa"/>
        <w:jc w:val="left"/>
        <w:tblInd w:w="0" w:type="dxa"/>
        <w:tblLayout w:type="fixed"/>
        <w:tblCellMar>
          <w:top w:w="0" w:type="dxa"/>
          <w:left w:w="0" w:type="dxa"/>
          <w:bottom w:w="0" w:type="dxa"/>
          <w:right w:w="0" w:type="dxa"/>
        </w:tblCellMar>
      </w:tblPr>
      <w:tblGrid>
        <w:gridCol w:w="2596"/>
        <w:gridCol w:w="326"/>
        <w:gridCol w:w="380"/>
        <w:gridCol w:w="1225"/>
        <w:gridCol w:w="326"/>
        <w:gridCol w:w="337"/>
        <w:gridCol w:w="1268"/>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648460" cy="175260"/>
                      <wp:effectExtent l="0" t="0" r="0" b="0"/>
                      <wp:wrapNone/>
                      <wp:docPr id="158" name="Frame15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41300" cy="175260"/>
                      <wp:effectExtent l="0" t="0" r="0" b="0"/>
                      <wp:wrapNone/>
                      <wp:docPr id="160" name="Frame160"/>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77875" cy="175260"/>
                      <wp:effectExtent l="0" t="0" r="0" b="0"/>
                      <wp:wrapNone/>
                      <wp:docPr id="161" name="Frame161"/>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3995" cy="175260"/>
                      <wp:effectExtent l="0" t="0" r="0" b="0"/>
                      <wp:wrapNone/>
                      <wp:docPr id="163" name="Frame163"/>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805180" cy="175260"/>
                      <wp:effectExtent l="0" t="0" r="0" b="0"/>
                      <wp:wrapNone/>
                      <wp:docPr id="164" name="Frame164"/>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reserve</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2,799</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reserve</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Portfolio taxes and title</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tax</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rebates</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tax</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 </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 </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and state income taxes</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7,186</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4,753</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20,609</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16,895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val="false"/>
          <w:sz w:val="20"/>
        </w:rPr>
        <w:t>11</w:t>
      </w:r>
      <w:r>
        <w:rPr>
          <w:rFonts w:ascii="Times New Roman;Times;serif" w:hAnsi="Times New Roman;Times;serif"/>
          <w:b/>
          <w:sz w:val="20"/>
        </w:rPr>
        <w:t>. DEBT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Lines of Credit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Revolver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March 30, 2020, the Company entered into an agreement with Capital One, N.A. for a revolving line of credit (“Revolver”). The Revolver had a maximum credit limit of $70,000 and a maturity date of March 30, 2024.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June 21, 2022, the Company received a Reservation of Rights notice from Capital One, N.A. (“Capital One”). The letter stated that the Company’s Revolver was in default. The default condition occurred due to the Company’s failure to timely file the Form 10-K and deliver certain financial statements to Capital One. On July 28, 2022, the Company entered into a Limited Waiver and First Amendment to Credit Agreement (the “Amendment”) with Capital One. The Amendment replaced the LIBOR borrowing rate with a secured overnight financing rate (“SOFR”) and waived a default arising out of a monetary judgement against the Company that exceeded the amount allowed in the Revolver. On August 24, 2022, the Company received a Notice of Default and Partial Suspension of Loan Commitments from Capital One. The notice stated that the July 28, 2022 forbearance agreement had been terminated and that Capital One was suspending $50,000 of the $70,000 loan commitment under the Revolver. As a result, the available line of credit in the Revolver was limited to $20,000.</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Revolver accrued interest at one-month SOFR plus 2.00%. Amounts available under the Revolver were subject to a formula based on eligible consumer loans and MHP Notes and were secured by all accounts receivable, consumer loans and MHP Notes. In connection with the Revolver, the Company paid certain arrangement fees and other fees of approximately $295, which were capitalized as unamortized debt issuance costs and was amortized to interest expense over the life of the Revolver. The Revolver required the Company to comply with certain financial and non-financial covenants.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July 28, 2023, upon entry into the New Revolver described below, the Capital One Revolver was repaid in full, and all commitments thereunder were terminated.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New Revolver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July 28, 2023, the Company entered into a new Credit Agreement (the “New Revolver”), by and among the Company as borrower, the financial institutions from time to time party thereto, as lenders, and Prosperity Bank as administrative agent. The New Revolver provides for a four-year senior secured revolving credit facility with an initial commitment of $50,000,000 and an additional $25,000,000 commitment under an accordion feature. The New Revolver is secured by the Company’s consumer loans receivables and all escrow accounts associated with the consumer loans receivables.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At the Company's option, borrowings bear interest at a per annum rate equal to, (i) Term Secured Overnight Financing Rate (“SOFR”) plus an applicable margin of 2.5% or 2.75% based upon the Company's average quarterly borrowings under the New Revolver or (ii) a base rate plus an applicable margin of 2.5% or 2.75% based upon the Company's average quarterly borrowings under the New Revolver. The Company paid certain arrangement fees and other fees in connection with the New Revolver of approximately $271, which were capitalized as unamortized debt issuance costs and are amortized to interest expense over the life of the New Revolver. The New Revolver matures July 28, 2027. The New Revolver requires the Company to comply with certain financial and non-financial covenants. As of September 30, 2023, the Company was in compliance with all financial covenants, including that it maintain a total debt to tangible net worth ratio of no more than 1.00 to 1.00 and a minimum fixed charge coverage ratio of no less than 1.75 to 1.00.</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2023 and 2022, interest expense under the Revolvers was $302 and $87, respectively. For the nine months ended September 30, 2023 and 2022, interest expense under the Revolvers was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$588 and $326, respectively. The outstanding balance of the New Revolver as of September 30, 2023 was $13,013, and the outstanding balance of the Revolver as of December 31, 2022 was $2,545. The interest rate in effect as of September 30, 2023 for the New Revolver was 7.95% and the interest rate in effect as of December 31, 2022 for the Revolver was 6.12%. The amount of available credit under the New Revolver was $36,987 as of September 30, 2023 and the amount of available credit under the Revolver was $17,400 as of December 31, 2022. </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861" w:name="Narr_uWZlp6hgWE61TOnaL_UkqQ"/>
      <w:bookmarkEnd w:id="861"/>
      <w:r>
        <w:rPr>
          <w:rFonts w:ascii="Times New Roman;Times;serif" w:hAnsi="Times New Roman;Times;serif"/>
          <w:b/>
          <w:sz w:val="20"/>
        </w:rPr>
        <w:t>12. SHARE-BASED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Pursuant to the Legacy Housing Corporation 2018 Incentive Compensation Plan (the “Compensation Plan”), the Company may issue up to 10.0 million equity awards to employees, directors, consultants and nonemployee service providers in the form of stock options, stock, restricted stock and stock appreciation rights. Stock options may be granted with a contractual life of up to ten years. At September 30, 2023, the Company had 9.7 million shares available for grant under the Compensation Plan. </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Restricted Stock Units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February 2019, the Company granted 120,000 restricted shares of its common stock to members of senior management. The shares were granted on February 7, 2019 and had a grant date fair value of $1,636. The shares vest at a rate of 14.3% annually, beginning on February 7, 2019, and become fully vested on February 7, 2025. During the second quarter of 2020, 42,857 of these restricted shares were forfeited due to the departure of a member of senior management.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November 2021, the Company granted 1,202 restricted shares of its common stock to the independent directors on the Company’s Board of Directors. The shares were granted on November 30, 2021 and had a grant date fair value of $30. The shares became fully vested on October 24, 2022.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January 2022, the Company granted 150,000 restricted shares of its common stock to the Executive Chairman of the Company pursuant to an amended and restated employment agreement. The shares were granted on January 6, 2022 and had a grant date fair value of $3,741. The shares became fully vested upon grant.</w:t>
      </w:r>
    </w:p>
    <w:p>
      <w:pPr>
        <w:pStyle w:val="TextBody"/>
        <w:bidi w:val="0"/>
        <w:spacing w:lineRule="auto" w:line="300" w:before="0" w:after="240"/>
        <w:ind w:left="60" w:right="319" w:firstLine="648"/>
        <w:jc w:val="both"/>
        <w:rPr>
          <w:rFonts w:ascii="Times New Roman;Times;serif" w:hAnsi="Times New Roman;Times;serif"/>
          <w:sz w:val="20"/>
        </w:rPr>
      </w:pPr>
      <w:r>
        <w:rPr>
          <w:rFonts w:ascii="Times New Roman;Times;serif" w:hAnsi="Times New Roman;Times;serif"/>
          <w:sz w:val="20"/>
        </w:rPr>
        <w:t xml:space="preserve">On January 6, 2022, the Company gave contingent equity awards of 350,000 shares of the Company’s restricted stock to the Executive Chairman of the Company pursuant to an amended and restated employment agreement. An equity award of 175,000 shares will be granted if the Company’s stock price closes at $36 per share for a period of </w:t>
      </w:r>
      <w:r>
        <w:rPr>
          <w:rFonts w:ascii="Times New Roman;Times;serif" w:hAnsi="Times New Roman;Times;serif"/>
          <w:b w:val="false"/>
          <w:i w:val="false"/>
          <w:caps w:val="false"/>
          <w:smallCaps w:val="false"/>
          <w:sz w:val="20"/>
        </w:rPr>
        <w:t>fifteen</w:t>
      </w:r>
      <w:r>
        <w:rPr>
          <w:rFonts w:ascii="Times New Roman;Times;serif" w:hAnsi="Times New Roman;Times;serif"/>
          <w:sz w:val="20"/>
        </w:rPr>
        <w:t xml:space="preserve"> consecutive market days (the “$36 Equity Award”). The $36 Equity Awards had a grant date fair value of $1,412. Fifty percent of the shares vested at grant and fifty percent shall vest on June 16, 2024, so long as the Executive Chairman is employed by the Company on that date. An additional equity award of 175,000 shares of the Company’s restricted stock will be granted if the Company’s stock price closes at $48 per share for a period of </w:t>
      </w:r>
      <w:r>
        <w:rPr>
          <w:rFonts w:ascii="Times New Roman;Times;serif" w:hAnsi="Times New Roman;Times;serif"/>
          <w:b w:val="false"/>
          <w:i w:val="false"/>
          <w:caps w:val="false"/>
          <w:smallCaps w:val="false"/>
          <w:sz w:val="20"/>
        </w:rPr>
        <w:t>fifteen</w:t>
      </w:r>
      <w:r>
        <w:rPr>
          <w:rFonts w:ascii="Times New Roman;Times;serif" w:hAnsi="Times New Roman;Times;serif"/>
          <w:sz w:val="20"/>
        </w:rPr>
        <w:t xml:space="preserve"> consecutive market days (the “$48 Equity Award”). The $48 Equity Awards had a grant date fair value of $683. Fifty percent of the shares vested at grant and fifty percent shall vest on June 16, 2024, so long as the Executive Chairman is employed by the Company on that date. </w:t>
      </w:r>
    </w:p>
    <w:p>
      <w:pPr>
        <w:pStyle w:val="TextBody"/>
        <w:bidi w:val="0"/>
        <w:spacing w:lineRule="auto" w:line="300" w:before="0" w:after="240"/>
        <w:ind w:left="60" w:right="319" w:firstLine="648"/>
        <w:jc w:val="both"/>
        <w:rPr>
          <w:rFonts w:ascii="Times New Roman;Times;serif" w:hAnsi="Times New Roman;Times;serif"/>
          <w:sz w:val="20"/>
        </w:rPr>
      </w:pPr>
      <w:r>
        <w:rPr>
          <w:rFonts w:ascii="Times New Roman;Times;serif" w:hAnsi="Times New Roman;Times;serif"/>
          <w:sz w:val="20"/>
        </w:rPr>
        <w:t>On November 15, 2022, the Company entered into a rescission and relinquishment agreement (the “Rescission Agreement”) with the Executive Chairman. The Rescission Agreement allows the Executive Chairman to rescind and relinquish the $36 Equity Awards and the $48 Equity Awards granted under the amended and restated employment agreement and allows the Company to accept such rescission and relinquishment without penalty. The effective date of the Rescission Agreement was October 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862" w:name="Tc_SaiT6pZko0mTDrIBhrPaHQ_6_4"/>
      <w:bookmarkStart w:id="863" w:name="Tc_p3Y18dZQgUO8zILqhu61TA_6_0"/>
      <w:bookmarkStart w:id="864" w:name="Tc_Pa7T5831Vka6ZeVDhZLJ2g_5_5"/>
      <w:bookmarkStart w:id="865" w:name="Tc_T-bj36oWe0Kp8JWv0_wqBQ_5_4"/>
      <w:bookmarkStart w:id="866" w:name="Tc_enA_mDPqPUykP5ozZJ79yg_5_2"/>
      <w:bookmarkStart w:id="867" w:name="Tc_BpmIsielukKol96MzsHl9w_5_0"/>
      <w:bookmarkStart w:id="868" w:name="Tc_Nx1RH5XaH0GakV8tUIWVwg_4_4"/>
      <w:bookmarkStart w:id="869" w:name="Tc_AkHYC9z0MUe8qbF0xwvoqA_4_0"/>
      <w:bookmarkStart w:id="870" w:name="Tc_-zA9qtEjNU-UJkPZ6Ip7RA_3_5"/>
      <w:bookmarkStart w:id="871" w:name="Tc_dlPjR-DiQUe89A3N72xGvg_3_4"/>
      <w:bookmarkStart w:id="872" w:name="Tc_8uZyj9IdFEGFALSDAsgK0w_3_2"/>
      <w:bookmarkStart w:id="873" w:name="Tc_qkAxuyKfbkudvyLRZf9mlw_3_0"/>
      <w:bookmarkStart w:id="874" w:name="Tc_FrFsFVFqTEeYGwWxpeScuQ_2_4"/>
      <w:bookmarkStart w:id="875" w:name="Tc_mxW8H8JQE0auVJjZ5IoY2g_2_0"/>
      <w:bookmarkStart w:id="876" w:name="Tc_99yxcXvl7kWC0eD0pC0i0g_1_5"/>
      <w:bookmarkStart w:id="877" w:name="Tc_CizRPq5iY0GWVJG5TytXWw_1_2"/>
      <w:bookmarkStart w:id="878" w:name="_de3e5b58_8053_4f02_86c9_7cfb8704b4a7"/>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r>
        <w:rPr>
          <w:rFonts w:ascii="Times New Roman;Times;serif" w:hAnsi="Times New Roman;Times;serif"/>
          <w:sz w:val="20"/>
        </w:rPr>
        <w:t xml:space="preserve">On June 7, 2022, the Company granted 14,700 restricted shares of its common stock to the Chief Executive Officer of the Company pursuant to an employment agreement. The shares were granted on June 7, 2022 and had a grant date fair value of $235.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-half of the shares vested on June 7, 2023 and the remaining half vest on June 7, 2024.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June 7, 2022, the Company granted 301 restricted shares of its common stock to an independent director on the Company’s Board of Directors. The shares were granted on June 7, 2022 and had a grant date fair value of $5. The shares became fully vested on October 24, 2022.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November 2022, the Company granted 1,734 restricted shares of its common stock to the independent directors on the Company’s Board of Directors. The shares were granted on November 29, 2022 and had a grant date fair value of $30. The shares become fully vested on October 23, 2023.</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following is a summary of restricted stock units (the “RSU”) activity (in thousands, except per unit data): </w:t>
      </w:r>
    </w:p>
    <w:tbl>
      <w:tblPr>
        <w:tblW w:w="8247" w:type="dxa"/>
        <w:jc w:val="left"/>
        <w:tblInd w:w="0" w:type="dxa"/>
        <w:tblLayout w:type="fixed"/>
        <w:tblCellMar>
          <w:top w:w="0" w:type="dxa"/>
          <w:left w:w="0" w:type="dxa"/>
          <w:bottom w:w="0" w:type="dxa"/>
          <w:right w:w="0" w:type="dxa"/>
        </w:tblCellMar>
      </w:tblPr>
      <w:tblGrid>
        <w:gridCol w:w="2401"/>
        <w:gridCol w:w="109"/>
        <w:gridCol w:w="1411"/>
        <w:gridCol w:w="109"/>
        <w:gridCol w:w="196"/>
        <w:gridCol w:w="402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524635" cy="175260"/>
                      <wp:effectExtent l="0" t="0" r="0" b="0"/>
                      <wp:wrapNone/>
                      <wp:docPr id="165" name="Frame165"/>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895985" cy="175260"/>
                      <wp:effectExtent l="0" t="0" r="0" b="0"/>
                      <wp:wrapNone/>
                      <wp:docPr id="167" name="Frame167"/>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24460" cy="175260"/>
                      <wp:effectExtent l="0" t="0" r="0" b="0"/>
                      <wp:wrapNone/>
                      <wp:docPr id="169"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553335" cy="175260"/>
                      <wp:effectExtent l="0" t="0" r="0" b="0"/>
                      <wp:wrapNone/>
                      <wp:docPr id="170" name="Frame170"/>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 Units</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4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 Average Grant Date Fair Value Per Unit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January 1, 2023</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14.61</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9"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pPr>
            <w:r>
              <w:rPr/>
              <w: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14.73</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Canceled</w:t>
            </w:r>
          </w:p>
        </w:tc>
        <w:tc>
          <w:tcPr>
            <w:tcW w:w="109"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pPr>
            <w:r>
              <w:rPr/>
              <w: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September 30, 2023</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14.54</w:t>
            </w:r>
          </w:p>
        </w:tc>
      </w:tr>
    </w:tbl>
    <w:p>
      <w:pPr>
        <w:pStyle w:val="TextBody"/>
        <w:bidi w:val="0"/>
        <w:spacing w:before="0" w:after="0"/>
        <w:ind w:left="0" w:right="0" w:hanging="0"/>
        <w:jc w:val="left"/>
        <w:rPr/>
      </w:pPr>
      <w:r>
        <w:rPr/>
        <w:t>​</w:t>
      </w:r>
    </w:p>
    <w:p>
      <w:pPr>
        <w:pStyle w:val="TextBody"/>
        <w:bidi w:val="0"/>
        <w:spacing w:before="120" w:after="20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approximately 26,000 RSUs remained unvested. The unrecognized compensation expense related to these RSUs at September 30, 2023 was $242 and is expected to be recognized over 1.33 years. </w:t>
      </w:r>
    </w:p>
    <w:p>
      <w:pPr>
        <w:pStyle w:val="TextBody"/>
        <w:bidi w:val="0"/>
        <w:spacing w:before="120" w:after="200"/>
        <w:ind w:left="0" w:right="0" w:hanging="0"/>
        <w:jc w:val="left"/>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August 10, 2020, the Company granted 34,626 incentive stock options to a member of senior management at an exercise price of $14.44 per share. The options vest at a rate of 20.0% annually, beginning on August 10, 2021, and become fully vested on August 10, 2025. All options expire ten years after the date of grant. Weighted-average assumptions used in the Black-Scholes option pricing model for stock options granted were as follows: risk free interest rate of 0.24%, dividend yield of 0.00%, expected volatility of common stock of 75.0% and expected life of options of 6.5 years. During the first quarter of 2022, 27,701 of these options were forfeited due to the individual’s departure.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September 23, 2021, the Company granted 55,490 incentive stock options to a member of management at an exercise price of $18.02 per share. The options vest at a rate of 10.0% annually, beginning on September 23, 2022, and become fully vested on September 23, 2031. All options expire ten years after the date of grant. Weighted-average assumptions used in the Black-Scholes option pricing model for stock options granted were as follows: risk free interest rate of 1.41%, dividend yield of 0.00%, expected volatility of common stock of 75.0% and expected life of options of 7.8 years. During the fourth quarter of </w:t>
      </w:r>
      <w:r>
        <w:rPr>
          <w:rFonts w:ascii="Times New Roman;Times;serif" w:hAnsi="Times New Roman;Times;serif"/>
          <w:b w:val="false"/>
          <w:i w:val="false"/>
          <w:caps w:val="false"/>
          <w:smallCaps w:val="false"/>
          <w:sz w:val="20"/>
        </w:rPr>
        <w:t>2022</w:t>
      </w:r>
      <w:r>
        <w:rPr>
          <w:rFonts w:ascii="Times New Roman;Times;serif" w:hAnsi="Times New Roman;Times;serif"/>
          <w:sz w:val="20"/>
        </w:rPr>
        <w:t>, these options were forfeited due to the individual’s departure.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June 7, 2022, the Company granted 62,460 incentive stock options to the Chief Executive Officer at an exercise price of $16.01 per share. The options vest at a rate of 10.0% annually, beginning on June 7, 2023, and become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June 7, 2022, the Company granted options to purchase 900,000 shares of the Company’s stock to the Chief Executive Officer. This grant included an option to purchase 300,000 shares of the Company’s stock at an exercise price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879" w:name="Tc_AVoZ1fzT8EaTxF2Dxv0iJQ_14_12"/>
      <w:bookmarkStart w:id="880" w:name="Tc_L5aNb3mkAU-rHH2S63aOUQ_14_7"/>
      <w:bookmarkStart w:id="881" w:name="Tc_6n-GH8H47USKMkUE-YUh4Q_14_4"/>
      <w:bookmarkStart w:id="882" w:name="Tc_Dhj90_38YUOrVqjauYVFmQ_14_0"/>
      <w:bookmarkStart w:id="883" w:name="Tc_aU_1UDpshEuQqIo-Xyon5A_13_13"/>
      <w:bookmarkStart w:id="884" w:name="Tc_jC6H39SSl0aR9aNtibcbyA_13_12"/>
      <w:bookmarkStart w:id="885" w:name="Tc_Y22kPFYWe0q0tJQuzRiOJQ_13_7"/>
      <w:bookmarkStart w:id="886" w:name="Tc_ZyqLgIpnHke1EMLNwCGmJA_13_4"/>
      <w:bookmarkStart w:id="887" w:name="Tc_8jvUyEo1z0G8TaRyAwYDmg_13_0"/>
      <w:bookmarkStart w:id="888" w:name="Tc_Irqz5Uf7uEu-M9euHKEOWw_12_10"/>
      <w:bookmarkStart w:id="889" w:name="Tc_CKES9oHfhECJD4_kNPMaXA_12_7"/>
      <w:bookmarkStart w:id="890" w:name="Tc_WFhgfKxkqUuG8nUFPWDNhA_12_4"/>
      <w:bookmarkStart w:id="891" w:name="Tc_8DuIW-cglkCF43YGsNS9lw_12_0"/>
      <w:bookmarkStart w:id="892" w:name="Tc_4BO4evn6CECOZrTkb7NmUA_11_10"/>
      <w:bookmarkStart w:id="893" w:name="Tc_dDqTeEa0tkmxzma0C5MeEQ_11_7"/>
      <w:bookmarkStart w:id="894" w:name="Tc_YsFFTAqRbkWTE9aHTreTzA_11_4"/>
      <w:bookmarkStart w:id="895" w:name="Tc_bXXJMHIEEkG2ZBDoQ3CtIw_11_0"/>
      <w:bookmarkStart w:id="896" w:name="Tc_AqpKpo776E-KfnFMMYvdOA_10_7"/>
      <w:bookmarkStart w:id="897" w:name="Tc_RL5kkdrD9k2aCTae-3R__w_10_4"/>
      <w:bookmarkStart w:id="898" w:name="Tc_1aglBc54XUiwfY8u0Kwwew_10_0"/>
      <w:bookmarkStart w:id="899" w:name="Tc_ENCiPn09-Uu_gTwhXauEaQ_9_7"/>
      <w:bookmarkStart w:id="900" w:name="Tc_K-4M-VBwuEKLzFz8jeq2pw_9_4"/>
      <w:bookmarkStart w:id="901" w:name="Tc_IldhBIVJW027ATQXC6noRg_9_0"/>
      <w:bookmarkStart w:id="902" w:name="Tc_UngY1DIetkuXNtwWY8zbVw_7_13"/>
      <w:bookmarkStart w:id="903" w:name="Tc_Rsxn6KEgqUCuEpczp0i2VA_7_12"/>
      <w:bookmarkStart w:id="904" w:name="Tc_OR6qPZnFDkOlXFAaDTAAnQ_7_7"/>
      <w:bookmarkStart w:id="905" w:name="Tc_8GyZgUiaukmbFHMYzne-sQ_7_4"/>
      <w:bookmarkStart w:id="906" w:name="Tc_Ct6RLYdtSUiQiRQKryzQVQ_7_0"/>
      <w:bookmarkStart w:id="907" w:name="Tc_Hqm1f9uG20uipsPCBhgwsg_6_13"/>
      <w:bookmarkStart w:id="908" w:name="Tc_tw_ScHQmqUmQloybwXRVcg_6_12"/>
      <w:bookmarkStart w:id="909" w:name="Tc_ujAoIRkYg0GbyOXsTROqaQ_6_7"/>
      <w:bookmarkStart w:id="910" w:name="Tc_8Uudc8yafUCiPG8B6nDeug_6_4"/>
      <w:bookmarkStart w:id="911" w:name="Tc_ykNtxxIIS06Qwt1VjThE0g_6_0"/>
      <w:bookmarkStart w:id="912" w:name="Tc_a0Z3CANNLEmUi5BbsJvqNw_5_10"/>
      <w:bookmarkStart w:id="913" w:name="Tc_h72JpCB02EKqqscfhhE3Hw_5_7"/>
      <w:bookmarkStart w:id="914" w:name="Tc_awD3ymT9pk--domrIayfuA_5_4"/>
      <w:bookmarkStart w:id="915" w:name="Tc_gNaunFJCoEO6_4t_7VenqQ_5_0"/>
      <w:bookmarkStart w:id="916" w:name="Tc_YdaXaE3yykO0Nbhd3_ex3g_4_10"/>
      <w:bookmarkStart w:id="917" w:name="Tc_RwTy_TZfbUuEqAUiSlo_EA_4_8"/>
      <w:bookmarkStart w:id="918" w:name="Tc_dwNznO98GESDXEkeocLl4w_4_7"/>
      <w:bookmarkStart w:id="919" w:name="Tc_n83vma_dhUGwle3Ww0GtQw_4_5"/>
      <w:bookmarkStart w:id="920" w:name="Tc__jWZuh4OAEa33d9sP2CG1w_4_4"/>
      <w:bookmarkStart w:id="921" w:name="Tc_KyF26-7LhkC7MBvBXsySBw_4_2"/>
      <w:bookmarkStart w:id="922" w:name="Tc_xwl5v5yMm0m8T9hSW9F5Dg_4_0"/>
      <w:bookmarkStart w:id="923" w:name="Tc_ot7TJU0JzUm_sr98h5464g_3_7"/>
      <w:bookmarkStart w:id="924" w:name="Tc_Mowzqbdlq0uNdYZSJkoJVg_3_4"/>
      <w:bookmarkStart w:id="925" w:name="Tc_mvQXJxlShE2jcTd90ML58Q_3_0"/>
      <w:bookmarkStart w:id="926" w:name="Tc_G6spnJ_goka4dgmGvUDdwA_2_7"/>
      <w:bookmarkStart w:id="927" w:name="Tc_sxkMcWL__kW5qo0BAcTAcA_2_4"/>
      <w:bookmarkStart w:id="928" w:name="Tc_lwNX6q74H0i2mEr1FecyPA_2_0"/>
      <w:bookmarkStart w:id="929" w:name="Tc__J0ynn0ffEaRJJbYTc7Qeg_1_12"/>
      <w:bookmarkStart w:id="930" w:name="Tc_q2uwizxcNUixZUltPmzHsg_1_10"/>
      <w:bookmarkStart w:id="931" w:name="Tc_O8fEN4mqHU61h9rNV66jfA_1_7"/>
      <w:bookmarkStart w:id="932" w:name="Tc_z1mdZwqZhUmZo_iRhYAQvA_1_4"/>
      <w:bookmarkStart w:id="933" w:name="Tc_gRf5UsENI0KsHmE6oDjRtQ_1_2"/>
      <w:bookmarkStart w:id="934" w:name="_1c252a45_39b5_4113_bca2_d77d8cb739c4"/>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r>
        <w:rPr>
          <w:rFonts w:ascii="Times New Roman;Times;serif" w:hAnsi="Times New Roman;Times;serif"/>
          <w:sz w:val="20"/>
        </w:rPr>
        <w:t>of $36.00 per share and an option to purchase 600,000 shares of the Company’s stock at an exercise price of $48.00 per share. The options vest at a rate of 10.0% annually, beginning on June 7, 2023, and become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June 7, 2022, the Company granted 62,460 incentive stock options to the Chief Financial Officer at an exercise price of $16.01 per share. The options vest at a rate of 10.0% annually, beginning on June 7, 2023, and become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 During the third quarter of 2023, the unvested options were forfeited due to the individual’s departure.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June 22, 2023, the Company granted 22,104 incentive stock options to a member of management at an exercise price of $22.62 per share. The options vest at a rate of 20.0% annually, beginning on June 22, 2023, and become fully vested on June 22, 2028. All options expire five years after the date of grant. Weighted-average assumptions used in the Black-Scholes option pricing model for stock options granted were as follows: risk free interest rate of 4.03%, dividend yield of 0.00%, expected volatility of common stock of 85.0% and expected life of options of 4.0 years.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following is a summary of option activity (number of units in thousands): </w:t>
      </w:r>
    </w:p>
    <w:tbl>
      <w:tblPr>
        <w:tblW w:w="10205" w:type="dxa"/>
        <w:jc w:val="left"/>
        <w:tblInd w:w="0" w:type="dxa"/>
        <w:tblLayout w:type="fixed"/>
        <w:tblCellMar>
          <w:top w:w="0" w:type="dxa"/>
          <w:left w:w="0" w:type="dxa"/>
          <w:bottom w:w="0" w:type="dxa"/>
          <w:right w:w="0" w:type="dxa"/>
        </w:tblCellMar>
      </w:tblPr>
      <w:tblGrid>
        <w:gridCol w:w="2101"/>
        <w:gridCol w:w="326"/>
        <w:gridCol w:w="1229"/>
        <w:gridCol w:w="326"/>
        <w:gridCol w:w="434"/>
        <w:gridCol w:w="1134"/>
        <w:gridCol w:w="326"/>
        <w:gridCol w:w="395"/>
        <w:gridCol w:w="1031"/>
        <w:gridCol w:w="326"/>
        <w:gridCol w:w="1285"/>
        <w:gridCol w:w="326"/>
        <w:gridCol w:w="320"/>
        <w:gridCol w:w="64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4135" cy="175260"/>
                      <wp:effectExtent l="0" t="0" r="0" b="0"/>
                      <wp:wrapNone/>
                      <wp:docPr id="171" name="Frame17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780415" cy="175260"/>
                      <wp:effectExtent l="0" t="0" r="0" b="0"/>
                      <wp:wrapNone/>
                      <wp:docPr id="173" name="Frame173"/>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75590" cy="175260"/>
                      <wp:effectExtent l="0" t="0" r="0" b="0"/>
                      <wp:wrapNone/>
                      <wp:docPr id="175" name="Frame175"/>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20090" cy="175260"/>
                      <wp:effectExtent l="0" t="0" r="0" b="0"/>
                      <wp:wrapNone/>
                      <wp:docPr id="176" name="Frame176"/>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50825" cy="175260"/>
                      <wp:effectExtent l="0" t="0" r="0" b="0"/>
                      <wp:wrapNone/>
                      <wp:docPr id="178" name="Frame178"/>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54685" cy="175260"/>
                      <wp:effectExtent l="0" t="0" r="0" b="0"/>
                      <wp:wrapNone/>
                      <wp:docPr id="179" name="Frame179"/>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815975" cy="175260"/>
                      <wp:effectExtent l="0" t="0" r="0" b="0"/>
                      <wp:wrapNone/>
                      <wp:docPr id="181" name="Frame181"/>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3200" cy="175260"/>
                      <wp:effectExtent l="0" t="0" r="0" b="0"/>
                      <wp:wrapNone/>
                      <wp:docPr id="183" name="Frame183"/>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10210" cy="175260"/>
                      <wp:effectExtent l="0" t="0" r="0" b="0"/>
                      <wp:wrapNone/>
                      <wp:docPr id="184" name="Frame18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 Units</w:t>
            </w:r>
          </w:p>
        </w:tc>
        <w:tc>
          <w:tcPr>
            <w:tcW w:w="326" w:type="dxa"/>
            <w:tcBorders/>
            <w:vAlign w:val="center"/>
          </w:tcPr>
          <w:p>
            <w:pPr>
              <w:pStyle w:val="TableContents"/>
              <w:bidi w:val="0"/>
              <w:spacing w:before="0" w:after="0"/>
              <w:ind w:left="0" w:right="0" w:hanging="0"/>
              <w:jc w:val="left"/>
              <w:rPr/>
            </w:pPr>
            <w:r>
              <w:rPr/>
              <w:t>    </w:t>
            </w:r>
          </w:p>
        </w:tc>
        <w:tc>
          <w:tcPr>
            <w:tcW w:w="15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Weighted </w:t>
              <w:br/>
              <w:t xml:space="preserve">Average </w:t>
              <w:br/>
              <w:t>Exercise Price Per Unit</w:t>
            </w:r>
          </w:p>
        </w:tc>
        <w:tc>
          <w:tcPr>
            <w:tcW w:w="326" w:type="dxa"/>
            <w:tcBorders/>
            <w:vAlign w:val="center"/>
          </w:tcPr>
          <w:p>
            <w:pPr>
              <w:pStyle w:val="TableContents"/>
              <w:bidi w:val="0"/>
              <w:spacing w:before="0" w:after="0"/>
              <w:ind w:left="0" w:right="0" w:hanging="0"/>
              <w:jc w:val="left"/>
              <w:rPr/>
            </w:pPr>
            <w:r>
              <w:rPr/>
              <w:t>    </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Weighted </w:t>
              <w:br/>
              <w:t>Average Grant Date</w:t>
              <w:br/>
              <w:t>Fair Value Per Unit</w:t>
            </w:r>
          </w:p>
        </w:tc>
        <w:tc>
          <w:tcPr>
            <w:tcW w:w="326" w:type="dxa"/>
            <w:tcBorders/>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Weighted </w:t>
              <w:br/>
              <w:t xml:space="preserve">Average </w:t>
              <w:br/>
              <w:t xml:space="preserve">Remaining </w:t>
              <w:br/>
              <w:t>Contractual Life</w:t>
            </w:r>
          </w:p>
        </w:tc>
        <w:tc>
          <w:tcPr>
            <w:tcW w:w="326" w:type="dxa"/>
            <w:tcBorders/>
            <w:vAlign w:val="center"/>
          </w:tcPr>
          <w:p>
            <w:pPr>
              <w:pStyle w:val="TableContents"/>
              <w:bidi w:val="0"/>
              <w:spacing w:before="0" w:after="0"/>
              <w:ind w:left="0" w:right="0" w:hanging="0"/>
              <w:jc w:val="left"/>
              <w:rPr/>
            </w:pPr>
            <w:r>
              <w:rPr/>
              <w:t>    </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Aggregate </w:t>
              <w:br/>
              <w:t xml:space="preserve">Intrinsic </w:t>
              <w:br/>
              <w:t>Value</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January 1, 2022</w:t>
            </w:r>
          </w:p>
        </w:tc>
        <w:tc>
          <w:tcPr>
            <w:tcW w:w="326" w:type="dxa"/>
            <w:tcBorders/>
            <w:shd w:fill="CCEEFF" w:val="clear"/>
            <w:vAlign w:val="center"/>
          </w:tcPr>
          <w:p>
            <w:pPr>
              <w:pStyle w:val="TableContents"/>
              <w:bidi w:val="0"/>
              <w:spacing w:before="0" w:after="0"/>
              <w:ind w:left="0" w:right="0" w:hanging="0"/>
              <w:jc w:val="left"/>
              <w:rPr/>
            </w:pPr>
            <w:r>
              <w:rPr/>
              <w:t>​</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32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16.83</w:t>
            </w:r>
          </w:p>
        </w:tc>
        <w:tc>
          <w:tcPr>
            <w:tcW w:w="32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12.27</w:t>
            </w:r>
          </w:p>
        </w:tc>
        <w:tc>
          <w:tcPr>
            <w:tcW w:w="326"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9.36</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326" w:type="dxa"/>
            <w:tcBorders/>
            <w:vAlign w:val="center"/>
          </w:tcPr>
          <w:p>
            <w:pPr>
              <w:pStyle w:val="TableContents"/>
              <w:bidi w:val="0"/>
              <w:spacing w:before="0" w:after="0"/>
              <w:ind w:left="0" w:right="0" w:hanging="0"/>
              <w:jc w:val="left"/>
              <w:rPr/>
            </w:pPr>
            <w:r>
              <w:rPr/>
              <w:t>​</w:t>
            </w:r>
          </w:p>
        </w:tc>
        <w:tc>
          <w:tcPr>
            <w:tcW w:w="12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1,025</w:t>
            </w:r>
          </w:p>
        </w:tc>
        <w:tc>
          <w:tcPr>
            <w:tcW w:w="32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40.59</w:t>
            </w:r>
          </w:p>
        </w:tc>
        <w:tc>
          <w:tcPr>
            <w:tcW w:w="326"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w:t>
            </w:r>
          </w:p>
        </w:tc>
        <w:tc>
          <w:tcPr>
            <w:tcW w:w="326"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9.94</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12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vAlign w:val="center"/>
          </w:tcPr>
          <w:p>
            <w:pPr>
              <w:pStyle w:val="TableContents"/>
              <w:bidi w:val="0"/>
              <w:spacing w:before="0" w:after="0"/>
              <w:ind w:left="0" w:right="0" w:hanging="0"/>
              <w:jc w:val="left"/>
              <w:rPr/>
            </w:pPr>
            <w:r>
              <w:rPr/>
              <w:t>​</w:t>
            </w:r>
          </w:p>
        </w:tc>
        <w:tc>
          <w:tcPr>
            <w:tcW w:w="12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2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14.44</w:t>
            </w:r>
          </w:p>
        </w:tc>
        <w:tc>
          <w:tcPr>
            <w:tcW w:w="326"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8.67</w:t>
            </w:r>
          </w:p>
        </w:tc>
        <w:tc>
          <w:tcPr>
            <w:tcW w:w="326"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September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1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1,080</w:t>
            </w:r>
          </w:p>
        </w:tc>
        <w:tc>
          <w:tcPr>
            <w:tcW w:w="32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39.54</w:t>
            </w:r>
          </w:p>
        </w:tc>
        <w:tc>
          <w:tcPr>
            <w:tcW w:w="32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w:t>
            </w:r>
          </w:p>
        </w:tc>
        <w:tc>
          <w:tcPr>
            <w:tcW w:w="326"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Exercisable, September 30, 2022</w:t>
            </w:r>
          </w:p>
        </w:tc>
        <w:tc>
          <w:tcPr>
            <w:tcW w:w="326" w:type="dxa"/>
            <w:tcBorders/>
            <w:vAlign w:val="center"/>
          </w:tcPr>
          <w:p>
            <w:pPr>
              <w:pStyle w:val="TableContents"/>
              <w:bidi w:val="0"/>
              <w:spacing w:before="0" w:after="0"/>
              <w:ind w:left="0" w:right="0" w:hanging="0"/>
              <w:jc w:val="left"/>
              <w:rPr/>
            </w:pPr>
            <w:r>
              <w:rPr/>
              <w:t>​</w:t>
            </w:r>
          </w:p>
        </w:tc>
        <w:tc>
          <w:tcPr>
            <w:tcW w:w="12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18.02</w:t>
            </w:r>
          </w:p>
        </w:tc>
        <w:tc>
          <w:tcPr>
            <w:tcW w:w="326"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14.07</w:t>
            </w:r>
          </w:p>
        </w:tc>
        <w:tc>
          <w:tcPr>
            <w:tcW w:w="326"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8.99</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pPr>
            <w:r>
              <w:rPr/>
              <w:t>—</w:t>
            </w:r>
          </w:p>
        </w:tc>
      </w:tr>
      <w:tr>
        <w:trPr/>
        <w:tc>
          <w:tcPr>
            <w:tcW w:w="21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2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center"/>
              <w:rPr/>
            </w:pPr>
            <w:r>
              <w:rPr/>
              <w:t>​</w:t>
            </w:r>
          </w:p>
        </w:tc>
        <w:tc>
          <w:tcPr>
            <w:tcW w:w="113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center"/>
              <w:rPr/>
            </w:pPr>
            <w:r>
              <w:rPr/>
              <w:t>​</w:t>
            </w:r>
          </w:p>
        </w:tc>
        <w:tc>
          <w:tcPr>
            <w:tcW w:w="10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January 1, 2023</w:t>
            </w:r>
          </w:p>
        </w:tc>
        <w:tc>
          <w:tcPr>
            <w:tcW w:w="326" w:type="dxa"/>
            <w:tcBorders/>
            <w:vAlign w:val="center"/>
          </w:tcPr>
          <w:p>
            <w:pPr>
              <w:pStyle w:val="TableContents"/>
              <w:bidi w:val="0"/>
              <w:spacing w:before="0" w:after="0"/>
              <w:ind w:left="0" w:right="0" w:hanging="0"/>
              <w:jc w:val="left"/>
              <w:rPr/>
            </w:pPr>
            <w:r>
              <w:rPr/>
              <w:t>​</w:t>
            </w:r>
          </w:p>
        </w:tc>
        <w:tc>
          <w:tcPr>
            <w:tcW w:w="12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1,025</w:t>
            </w:r>
          </w:p>
        </w:tc>
        <w:tc>
          <w:tcPr>
            <w:tcW w:w="32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40.59</w:t>
            </w:r>
          </w:p>
        </w:tc>
        <w:tc>
          <w:tcPr>
            <w:tcW w:w="326"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w:t>
            </w:r>
          </w:p>
        </w:tc>
        <w:tc>
          <w:tcPr>
            <w:tcW w:w="326"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9.44</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326" w:type="dxa"/>
            <w:tcBorders/>
            <w:shd w:fill="CCEEFF" w:val="clear"/>
            <w:vAlign w:val="center"/>
          </w:tcPr>
          <w:p>
            <w:pPr>
              <w:pStyle w:val="TableContents"/>
              <w:bidi w:val="0"/>
              <w:spacing w:before="0" w:after="0"/>
              <w:ind w:left="0" w:right="0" w:hanging="0"/>
              <w:jc w:val="left"/>
              <w:rPr/>
            </w:pPr>
            <w:r>
              <w:rPr/>
              <w:t>​</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22.62</w:t>
            </w:r>
          </w:p>
        </w:tc>
        <w:tc>
          <w:tcPr>
            <w:tcW w:w="32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14.39</w:t>
            </w:r>
          </w:p>
        </w:tc>
        <w:tc>
          <w:tcPr>
            <w:tcW w:w="326"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26" w:type="dxa"/>
            <w:tcBorders/>
            <w:vAlign w:val="center"/>
          </w:tcPr>
          <w:p>
            <w:pPr>
              <w:pStyle w:val="TableContents"/>
              <w:bidi w:val="0"/>
              <w:spacing w:before="0" w:after="0"/>
              <w:ind w:left="0" w:right="0" w:hanging="0"/>
              <w:jc w:val="left"/>
              <w:rPr/>
            </w:pPr>
            <w:r>
              <w:rPr/>
              <w:t>​</w:t>
            </w:r>
          </w:p>
        </w:tc>
        <w:tc>
          <w:tcPr>
            <w:tcW w:w="12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w:t>
            </w:r>
          </w:p>
        </w:tc>
        <w:tc>
          <w:tcPr>
            <w:tcW w:w="326"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w:t>
            </w:r>
          </w:p>
        </w:tc>
        <w:tc>
          <w:tcPr>
            <w:tcW w:w="326"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w:t>
            </w:r>
          </w:p>
        </w:tc>
        <w:tc>
          <w:tcPr>
            <w:tcW w:w="32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w:t>
            </w:r>
          </w:p>
        </w:tc>
        <w:tc>
          <w:tcPr>
            <w:tcW w:w="326"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September 30, 2023</w:t>
            </w:r>
          </w:p>
        </w:tc>
        <w:tc>
          <w:tcPr>
            <w:tcW w:w="326" w:type="dxa"/>
            <w:tcBorders/>
            <w:vAlign w:val="center"/>
          </w:tcPr>
          <w:p>
            <w:pPr>
              <w:pStyle w:val="TableContents"/>
              <w:bidi w:val="0"/>
              <w:spacing w:before="0" w:after="0"/>
              <w:ind w:left="0" w:right="0" w:hanging="0"/>
              <w:jc w:val="left"/>
              <w:rPr/>
            </w:pPr>
            <w:r>
              <w:rPr/>
              <w:t>​</w:t>
            </w:r>
          </w:p>
        </w:tc>
        <w:tc>
          <w:tcPr>
            <w:tcW w:w="12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985</w:t>
            </w:r>
          </w:p>
        </w:tc>
        <w:tc>
          <w:tcPr>
            <w:tcW w:w="32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41.74</w:t>
            </w:r>
          </w:p>
        </w:tc>
        <w:tc>
          <w:tcPr>
            <w:tcW w:w="326"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w:t>
            </w:r>
          </w:p>
        </w:tc>
        <w:tc>
          <w:tcPr>
            <w:tcW w:w="326"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8.60</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Exercisable,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1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w:t>
            </w:r>
          </w:p>
        </w:tc>
        <w:tc>
          <w:tcPr>
            <w:tcW w:w="32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w:t>
            </w:r>
          </w:p>
        </w:tc>
        <w:tc>
          <w:tcPr>
            <w:tcW w:w="326"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8.69</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21</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September 30, 2023, approximately 985,000 options remained nonvested. Unrecognized compensation expense related to these options at September 30, 2023 was $4,279 and is expected to be recognized over 8.6 years.</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13. INCOME TAXES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provision for income tax expense for the three months ended September 30, 2023 and 2022 was $3,380 and $2,836 respectively and $9,885 and $10,210 for the nine months ended September 30, 2023 and 2022, respectively. The effective tax rate for the three and nine months ended September 30, 2023 was 17.4% and 17.3%, respectively. These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rates differ from the federal statutory rate of 21% primarily due to a federal tax credit for energy efficient construction, partially offset by state income taxes. The effective tax rates for the three and nine months ended September 30, 2022 were 16.1% and 17.5%, respectively, and differs from the federal statutory rate of 21% primarily due to a federal tax credit for energy efficient construction, partially offset by state income taxes.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14. COMMITMENTS AND CONTINGENCIES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January 1, 2020, the Company instituted a self-insured health benefits plan with a stop-loss policy, which provides medical benefits to employees electing coverage under the plan. The Company reserves estimated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As of September 30, 2023 and December 31, 2022, the Company had accrued a $260 and $149 liability for incurred but not reported claims, respectively. These accrued amounts are included in accrued liabilities on the condensed balance sheets.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is contingently liable under the terms of repurchase agreements with financial institutions that provide inventory financing for independent retailers that sell the Company’s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totaled $4,767 and $8,925 at September 30, 2023 and December 31, 2022, respectively, without reduction for the resale value of the homes. The Company considers its obligations on current contracts to be insignificant and accordingly has not recorded any reserve for repurchase commitment as of September 30, 2023 and December 31, 2022.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Leases. </w:t>
      </w:r>
      <w:r>
        <w:rPr>
          <w:rFonts w:ascii="Times New Roman;Times;serif" w:hAnsi="Times New Roman;Times;serif"/>
          <w:sz w:val="20"/>
        </w:rPr>
        <w:t xml:space="preserve">The Company leases facilities under operating leases that typically have </w:t>
      </w:r>
      <w:r>
        <w:rPr>
          <w:rFonts w:ascii="Times New Roman;Times;serif" w:hAnsi="Times New Roman;Times;serif"/>
          <w:b w:val="false"/>
          <w:i w:val="false"/>
          <w:caps w:val="false"/>
          <w:smallCaps w:val="false"/>
          <w:sz w:val="20"/>
        </w:rPr>
        <w:t>10-year</w:t>
      </w:r>
      <w:r>
        <w:rPr>
          <w:rFonts w:ascii="Times New Roman;Times;serif" w:hAnsi="Times New Roman;Times;serif"/>
          <w:sz w:val="20"/>
        </w:rPr>
        <w:t xml:space="preserve"> terms. These leases usually offer the Company a right of first refusal that affords the Company the option to purchase the leased premises under certain terms in the event the landlord attempts to sell the leased premises to a third party. Rent expense was $159 and $180 for the three months ended September 30, 2023 and 2022, respectively, and $482 and $530 for the nine months ended September 30, 2023 and 2022, respectively. The Company also subleases properties to third parties, ranging from </w:t>
      </w:r>
      <w:r>
        <w:rPr>
          <w:rFonts w:ascii="Times New Roman;Times;serif" w:hAnsi="Times New Roman;Times;serif"/>
          <w:b w:val="false"/>
          <w:i w:val="false"/>
          <w:caps w:val="false"/>
          <w:smallCaps w:val="false"/>
          <w:sz w:val="20"/>
        </w:rPr>
        <w:t>3-year</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11-year</w:t>
      </w:r>
      <w:r>
        <w:rPr>
          <w:rFonts w:ascii="Times New Roman;Times;serif" w:hAnsi="Times New Roman;Times;serif"/>
          <w:sz w:val="20"/>
        </w:rPr>
        <w:t xml:space="preserve"> terms with various renewal options. Rental income from the subleased properties was approximately $59 and $55 for the three months ended September 30, 2023 and 2022, respectively, and $184 and $165 for the nine months ended September 30, 2023 and 2022, respectively. See Note 5 – Leases, for a schedule of the Company’s future minimum lease commitments.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Legal Matters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The Company has determined that it is probable that it has some liability related to some of these claims. The Company has included legal reserves of $660 and $753 as of September 30, 2023 and December 31, 2022, respectively, in accrued liabilities on the accompanying condensed balance sheets. Although litigation is inherently uncertain, based on past experience and the information currently available, management does not believe that pending or threatened litigation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15. FAIR VALUE MEASUREMENTS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accounts for its financial instruments in accordance with ASC 820-10, </w:t>
      </w:r>
      <w:r>
        <w:rPr>
          <w:rFonts w:ascii="Times New Roman;Times;serif" w:hAnsi="Times New Roman;Times;serif"/>
          <w:i/>
          <w:sz w:val="20"/>
        </w:rPr>
        <w:t>Fair Value Measurement,</w:t>
      </w:r>
      <w:r>
        <w:rPr>
          <w:rFonts w:ascii="Times New Roman;Times;serif" w:hAnsi="Times New Roman;Times;serif"/>
          <w:sz w:val="20"/>
        </w:rPr>
        <w:t xml:space="preserve"> which among other things provides the framework for measuring fair value. This framework provides a fair value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820-10, </w:t>
      </w:r>
      <w:r>
        <w:rPr>
          <w:rFonts w:ascii="Times New Roman;Times;serif" w:hAnsi="Times New Roman;Times;serif"/>
          <w:i/>
          <w:sz w:val="20"/>
        </w:rPr>
        <w:t>Fair Value Measurement</w:t>
      </w:r>
      <w:r>
        <w:rPr>
          <w:rFonts w:ascii="Times New Roman;Times;serif" w:hAnsi="Times New Roman;Times;serif"/>
          <w:sz w:val="20"/>
        </w:rPr>
        <w:t>, are as follows:</w:t>
      </w:r>
    </w:p>
    <w:p>
      <w:pPr>
        <w:pStyle w:val="TextBody"/>
        <w:pBdr/>
        <w:bidi w:val="0"/>
        <w:spacing w:before="0" w:after="0"/>
        <w:ind w:left="720" w:right="0" w:hanging="936"/>
        <w:jc w:val="left"/>
        <w:rPr>
          <w:rFonts w:ascii="Times New Roman;Times;serif" w:hAnsi="Times New Roman;Times;serif"/>
          <w:sz w:val="20"/>
        </w:rPr>
      </w:pPr>
      <w:r>
        <w:rPr>
          <w:rFonts w:ascii="Times New Roman;Times;serif" w:hAnsi="Times New Roman;Times;serif"/>
          <w:sz w:val="20"/>
        </w:rPr>
        <w:t>Level I       Quoted prices are available in active markets for identical assets or liabilities that the reporting entity has the ability to access at the measurement date.</w:t>
      </w:r>
    </w:p>
    <w:p>
      <w:pPr>
        <w:pStyle w:val="TextBody"/>
        <w:pBdr/>
        <w:bidi w:val="0"/>
        <w:spacing w:before="0" w:after="0"/>
        <w:ind w:left="720" w:right="0" w:hanging="936"/>
        <w:jc w:val="left"/>
        <w:rPr>
          <w:rFonts w:ascii="Times New Roman;Times;serif" w:hAnsi="Times New Roman;Times;serif"/>
          <w:sz w:val="20"/>
        </w:rPr>
      </w:pPr>
      <w:r>
        <w:rPr>
          <w:rFonts w:ascii="Times New Roman;Times;serif" w:hAnsi="Times New Roman;Times;serif"/>
          <w:sz w:val="20"/>
        </w:rPr>
        <w:t>Level II      Significant observable inputs other than quoted prices in active markets for which inputs to the valuation methodology include: (1) Quoted prices for similar assets or liabilities in active markets; (2) Quoted prices for identical or similar assets or liabilities in inactive markets; (3) Inputs other than quoted prices that are observable; and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pStyle w:val="TextBody"/>
        <w:pBdr/>
        <w:bidi w:val="0"/>
        <w:spacing w:before="0" w:after="200"/>
        <w:ind w:left="720" w:right="0" w:hanging="936"/>
        <w:jc w:val="left"/>
        <w:rPr>
          <w:rFonts w:ascii="Times New Roman;Times;serif" w:hAnsi="Times New Roman;Times;serif"/>
          <w:sz w:val="20"/>
        </w:rPr>
      </w:pPr>
      <w:r>
        <w:rPr>
          <w:rFonts w:ascii="Times New Roman;Times;serif" w:hAnsi="Times New Roman;Times;serif"/>
          <w:sz w:val="20"/>
        </w:rPr>
        <w:t>Level III     Significant unobservable inputs that reflect an entity’s own assumptions that market participants would use in pricing the assets or liabilities.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asset or liability fair value measurement level within the fair value hierarchy is based on the lowest level of any input that is significant to the fair value measurement.</w:t>
      </w:r>
    </w:p>
    <w:p>
      <w:pPr>
        <w:pStyle w:val="TextBody"/>
        <w:bidi w:val="0"/>
        <w:spacing w:before="0" w:after="20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Company’s financial instruments consist primarily of cash and cash equivalents, investments in US Treasury Notes, accounts receivable, consumer loans, MHP Notes, other notes, accounts payable, lines of credit, notes payable, and the dealer portion of consumer loans.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carrying amounts of cash and cash equivalents, accounts receivable, and accounts payable approximate their respective fair values because of the short-term maturities or expected settlement dates of these instruments. This is considered a Level I valuation technique. The investment in US Treasury Notes has quoted prices available in active markets that the Company can access at measurement dates. The US Treasury Notes were sold by the Company on June 22, 2023. The Company determined that the fair value of the investment in US Treasury Notes was approximately $8,409 compared to the book value of $8,412 as of December 31, 2022. This was considered a Level I valuation technique. The lines of credit, notes payable, part of the MHP Notes and part of the other notes receivables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 receivables with fixed rates based on the discounted value of the remaining principal and interest cash flows. The Company determined that the fair value of the consumer loan portfolio was approximately $150,603 compared to the book value of $151,528 as of September 30, 2023, and a fair value of approximately $138,800 compared to the book value of $139,009 as of December 31, 2022. The Company determined that the fair value of the fixed rate MHP Notes was approximately $169,538 compared to the book value of $172,178 as of September 30, 2023, and a fair value of approximately $128,400 compared to the book value of $129,966 as of December 31, 2022. The difference between the book value and fair value as of September 30, 2023 primarily is due to the Company’s current average discount rate of 8.5% compared to the average coupon rate on the notes of 7.8%. The Company determined that the fair value of the fixed rate other notes was approximately $35,026 compared to the book value of $35,448 as of September 30, 2023, and a fair value of approximately $21,600 compared to the book value of $22,722 as of December 31, 2022. This is a Level II valuation technique.</w:t>
      </w:r>
    </w:p>
    <w:p>
      <w:pPr>
        <w:pStyle w:val="TextBody"/>
        <w:bidi w:val="0"/>
        <w:spacing w:before="0" w:after="20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935" w:name="Tc_pXV3zcVggka-FmhySgsfkg_14_11"/>
      <w:bookmarkStart w:id="936" w:name="Tc_2HXWzM7bp0-99b_cpbO61A_14_8"/>
      <w:bookmarkStart w:id="937" w:name="Tc_EL13YHfLmkSm0_P2qhhZDw_14_5"/>
      <w:bookmarkStart w:id="938" w:name="Tc_9XSvzO0WKkejToTBe4RiVA_14_2"/>
      <w:bookmarkStart w:id="939" w:name="Tc_WzzxWrNfxUqoG28jyAcS_g_14_0"/>
      <w:bookmarkStart w:id="940" w:name="Tc_6lAa8dOaq06g6ir0C38omg_13_11"/>
      <w:bookmarkStart w:id="941" w:name="Tc_WMQWc-7Yz0acHYQGVK89Vw_13_8"/>
      <w:bookmarkStart w:id="942" w:name="Tc_jPq2Of1EpEe5YVVNmMQAYQ_13_5"/>
      <w:bookmarkStart w:id="943" w:name="Tc__9IA8IalbEuuAr8mW-96CQ_13_2"/>
      <w:bookmarkStart w:id="944" w:name="Tc_eD6bnUSCQUGLP6R39u8TBQ_13_0"/>
      <w:bookmarkStart w:id="945" w:name="Tc_XMJ0W6mVs0G-ciKK6GTUqw_12_0"/>
      <w:bookmarkStart w:id="946" w:name="Tc_Eg4tEriS_UeXswhoFiL6rw_11_0"/>
      <w:bookmarkStart w:id="947" w:name="Tc_j-fT2yFf3EC9Hn9MV27KoQ_10_0"/>
      <w:bookmarkStart w:id="948" w:name="Tc_h1ZxYKNmK0qr9DBH3LiDCA_9_0"/>
      <w:bookmarkStart w:id="949" w:name="Tc_jIkIbZUbrkO6prHm5UKIrw_8_0"/>
      <w:bookmarkStart w:id="950" w:name="Tc_vTCuNSTwAUejAE1DuHKi5Q_7_0"/>
      <w:bookmarkStart w:id="951" w:name="Tc_JZ1Il_wRy0OajR59vNgTWw_6_0"/>
      <w:bookmarkStart w:id="952" w:name="Tc_hwvetfkBrkSn8OSobg1PMQ_5_11"/>
      <w:bookmarkStart w:id="953" w:name="Tc_YBryO0nJPkC2kSLrUhW-CA_5_8"/>
      <w:bookmarkStart w:id="954" w:name="Tc_vKjwsN5bekSgz_2-_HZEMg_5_5"/>
      <w:bookmarkStart w:id="955" w:name="Tc_Sd2JIqzJUEeLbft6vGaLGw_5_2"/>
      <w:bookmarkStart w:id="956" w:name="Tc_WCfa25tjOkW7awVUqFUQbQ_5_0"/>
      <w:bookmarkStart w:id="957" w:name="Tc_Z0q7exZt_EiS8aYlGb_jTw_4_0"/>
      <w:bookmarkStart w:id="958" w:name="Tc_-J0Zc-5dXk6qa4gqItQu5Q_3_11"/>
      <w:bookmarkStart w:id="959" w:name="Tc_Q-pP4Lh-ikCih0WkpBLGKg_3_8"/>
      <w:bookmarkStart w:id="960" w:name="Tc_J6Mb5q0CUk-Hs2xeDzwaRw_3_5"/>
      <w:bookmarkStart w:id="961" w:name="Tc_ajkITvh4Sk--Qw_a-udTKA_3_2"/>
      <w:bookmarkStart w:id="962" w:name="Tc_Uo_nwJ6Pj0uF-FLcUMxuzw_2_8"/>
      <w:bookmarkStart w:id="963" w:name="Tc_t5mXqchYgEuoBNLpeIIk2A_2_2"/>
      <w:bookmarkStart w:id="964" w:name="Tc_vRg-vNUvOUmbkF5Mp64QXQ_1_8"/>
      <w:bookmarkStart w:id="965" w:name="Tc_9DuO93m51UClJJVUmjw_vQ_1_2"/>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r>
        <w:rPr>
          <w:rFonts w:ascii="Times New Roman;Times;serif" w:hAnsi="Times New Roman;Times;serif"/>
          <w:b/>
          <w:sz w:val="20"/>
        </w:rPr>
        <w:t>16. EARNINGS PER SHARE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Basic earnings per common share (“EPS”) is computed based on the weighted-average number of common shares outstanding during each reporting period.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02"/>
        <w:gridCol w:w="109"/>
        <w:gridCol w:w="211"/>
        <w:gridCol w:w="1036"/>
        <w:gridCol w:w="326"/>
        <w:gridCol w:w="211"/>
        <w:gridCol w:w="1036"/>
        <w:gridCol w:w="109"/>
        <w:gridCol w:w="211"/>
        <w:gridCol w:w="1036"/>
        <w:gridCol w:w="326"/>
        <w:gridCol w:w="211"/>
        <w:gridCol w:w="1081"/>
      </w:tblGrid>
      <w:tr>
        <w:trPr/>
        <w:tc>
          <w:tcPr>
            <w:tcW w:w="4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731770" cy="175260"/>
                      <wp:effectExtent l="0" t="0" r="0" b="0"/>
                      <wp:wrapNone/>
                      <wp:docPr id="185" name="Frame185"/>
                      <a:graphic xmlns:a="http://schemas.openxmlformats.org/drawingml/2006/main">
                        <a:graphicData uri="http://schemas.microsoft.com/office/word/2010/wordprocessingShape">
                          <wps:wsp>
                            <wps:cNvSpPr txBox="1"/>
                            <wps:spPr>
                              <a:xfrm>
                                <a:off x="0" y="0"/>
                                <a:ext cx="273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57860" cy="175260"/>
                      <wp:effectExtent l="0" t="0" r="0" b="0"/>
                      <wp:wrapNone/>
                      <wp:docPr id="188" name="Frame18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57860" cy="175260"/>
                      <wp:effectExtent l="0" t="0" r="0" b="0"/>
                      <wp:wrapNone/>
                      <wp:docPr id="191" name="Frame19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57860" cy="175260"/>
                      <wp:effectExtent l="0" t="0" r="0" b="0"/>
                      <wp:wrapNone/>
                      <wp:docPr id="194" name="Frame19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86435" cy="175260"/>
                      <wp:effectExtent l="0" t="0" r="0" b="0"/>
                      <wp:wrapNone/>
                      <wp:docPr id="197" name="Frame19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8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3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1"/>
              <w:ind w:left="0" w:right="0" w:hanging="0"/>
              <w:jc w:val="left"/>
              <w:rPr/>
            </w:pPr>
            <w:r>
              <w:rPr/>
              <w:t>​</w:t>
            </w:r>
          </w:p>
        </w:tc>
        <w:tc>
          <w:tcPr>
            <w:tcW w:w="28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3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(in 000's)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16,088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47,384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48,088</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weighted-average common shares outstanding</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24,391,797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24,406,020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24,382,519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24,356,809</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260,114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267,796</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723,127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712,982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707,260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399,883</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weighted-average common shares outstanding</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25,128,679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25,379,116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25,099,985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25,024,488</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per share attributable to Legacy Housing Corporation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1.92</w:t>
            </w:r>
          </w:p>
        </w:tc>
      </w:tr>
    </w:tbl>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966" w:name="_Hlk112061027"/>
      <w:bookmarkStart w:id="967" w:name="_Hlk47698333"/>
      <w:bookmarkStart w:id="968" w:name="_Hlk112060996"/>
      <w:bookmarkEnd w:id="966"/>
      <w:bookmarkEnd w:id="967"/>
      <w:bookmarkEnd w:id="968"/>
      <w:r>
        <w:rPr>
          <w:rFonts w:ascii="Times New Roman;Times;serif" w:hAnsi="Times New Roman;Times;serif"/>
          <w:b/>
          <w:sz w:val="20"/>
        </w:rPr>
        <w:t>17. RELATED PARTY TRANSACTIONS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Bell Mobile Homes (“Bell”), a retailer owned by one of the Company’s significant stockholders, purchases manufactured homes from the Company. Accounts receivable balances due from Bell were $242 and $0 as of September 30, 2023 and December 31, 2022, respectively. Accounts payable balances due to Bell for maintenance and related services were $62 and $132 as of September 30, 2023 and December 31, 2022, respectively. Home sales to Bell were $1,163 and $695 for the three months ended September 30, 2023 and 2022, respectively, and $3,150 and $2,550 for the nine months ended September 30, 2023 and 2022, respectively.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Shipley Bros., Ltd. (“Shipley”), a retailer owned by one of the Company’s significant stockholders, purchases manufactured homes from the Company. Home sales to Shipley were $207 and $524 for the three months ended September 30, 2023 and 2022, respectively, and $830 and $2,235 for the nine months ended September 30, 2023 and 2022, respectively. Accounts receivable balances due from Shipley were $0 as of September 30, 2023 and December 31, 2022. There were no accounts payable balances due to Shipley as of September 30, 2023 and December 31, 2022.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At September 30, 2023, the Company had a payable of $4 to a principal shareholder.  This amount is included in the Company’s accounts payable balance as of September 30, 2023.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969" w:name="_768a908f_d087_4c0e_946c_fa20b59db1c1"/>
      <w:bookmarkEnd w:id="969"/>
      <w:r>
        <w:rPr>
          <w:rFonts w:ascii="Times New Roman;Times;serif" w:hAnsi="Times New Roman;Times;serif"/>
          <w:b/>
          <w:sz w:val="20"/>
        </w:rPr>
        <w:t>18. SUBSEQUENT EVENTS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Legacy evaluated events after September 30, 2023, and through the date the financial statements were issued, and determined any events or transactions occurring during this period that would require recognition or disclosure are appropriately addressed in these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970" w:name="Item2ManagementsDiscussionandAnalysisofF"/>
      <w:bookmarkStart w:id="971" w:name="_b360f727_1f31_4199_b56a_b3f569f467f4"/>
      <w:bookmarkEnd w:id="970"/>
      <w:bookmarkEnd w:id="971"/>
      <w:r>
        <w:rPr>
          <w:rFonts w:ascii="Times New Roman;Times;serif" w:hAnsi="Times New Roman;Times;serif"/>
          <w:b/>
          <w:sz w:val="20"/>
        </w:rPr>
        <w:t>Item 2. Management’s Discussion and Analysis of Financial Condition and Results of Operations.</w:t>
      </w:r>
    </w:p>
    <w:p>
      <w:pPr>
        <w:pStyle w:val="TextBody"/>
        <w:bidi w:val="0"/>
        <w:spacing w:before="0" w:after="264"/>
        <w:ind w:left="0" w:right="0" w:firstLine="792"/>
        <w:jc w:val="left"/>
        <w:rPr>
          <w:rFonts w:ascii="Times New Roman;Times;serif" w:hAnsi="Times New Roman;Times;serif"/>
          <w:i/>
          <w:sz w:val="20"/>
        </w:rPr>
      </w:pPr>
      <w:r>
        <w:rPr>
          <w:rFonts w:ascii="Times New Roman;Times;serif" w:hAnsi="Times New Roman;Times;serif"/>
          <w:i/>
          <w:sz w:val="20"/>
        </w:rPr>
        <w:t>The following discussion should be read in conjunction with the financial statements and accompanying notes and the information contained in other sections of this Form 10-Q. It contains forward-looking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forward-looking statements as a result of various factors, including those discussed in this Form 10-Q and in our Registration Statement on Form S-1, particularly under the heading “Risk Factors.”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Legacy Housing Corporation builds, sells and finances manufactured homes and “tiny houses” that are distributed through a network of independent retailers and company-owned stores to consumers and manufactured housing communities. We are the fifth largest producer of manufactured homes in the United States as ranked by the number of homes manufactured based on information available from the Manufactured Housing Institute and the Institute for Building Technology and Safety for the twelve month period ending June 30, 2023. With current operations focused primarily in the southern United States, we offer our customers an array of quality homes ranging in size from approximately 395 to 2,667 square feet consisting of 1 to 5 bedrooms, with 1 to 3 1/2 bathrooms. Our homes range in price, at retail, from approximately $33,000 to $180,000. For the three and nine months ended September 30, 2023, we sold 643 and 2,246 home sections, respectively (which are entire homes or single floors that are combined to create complete homes). For the three and nine months ended September 30, 2022, we sold 944 and 2,947 home sections, respectively.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the sale of homes. In addition, the sale of homes is directly related to financing provided by us. Accordingly, all significant operating and strategic decisions by the Company are based upon analyses of our company as one segment or unit.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believe our Company is one of the most vertically integrated in the manufactured housing industry, allowing us to offer a complete solution to our customers, from manufacturing custom-made homes using quality materials and distributing those homes through our expansive network of independent retailers and company-owned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on average, approximately 70 home sections, or 60 fully-completed homes depending on product mix,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state-of-the-art kitchens.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homes are marketed under our premier “Legacy” brand name and currently are sold primarily across 15 states through a network of 146 independent retail locations, 13 company-owned retail locations and through direct sales to owners of manufactured home communities. Our 13 company-owned retail locations, including 11 Heritage Housing stores and two Tiny House Outlet stores exclusively sell our homes. For the nine months ended September 30, 2023, approximately 49% of our manufactured homes were sold in Texas, followed by 15% in Georgia, 9% in Louisiana, 4% in Oklahoma, and 3% in Florida. For the nine months ended September 30, 2022, approximately 51% of our manufactured homes were sold in Texas, followed by 11% in Georgia, 6% in Florida, 5% in Louisiana and 5% in Arizona.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offer three types of financing solutions to our customers. We provide floor plan financing for our independent retailers, which takes the form of a consignment arrangement or a financed sale between the retailer and us. We also provide consumer financing for our products which are sold to end-users through both independent and company-owned retail locations, and we provide financing solutions to manufactured housing community owners that buy our products for use in their manufactured housing communities. Our ability to offer competitive financing options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at our retail locations provides us with several competitive advantages and allows us to capture sales which may not have otherwise occurred without our ability to offer consumer financing.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Factors Affecting Our Performance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believe that the growth of our business and our future success depend on various opportunities, challenges, trends and other factors,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purchased several properties in our market area for the purpose of developing manufactured housing communities and subdivisions. As of September 30, 2023, the cost of these properties include the following (dollars in thousands):</w:t>
            </w:r>
          </w:p>
        </w:tc>
      </w:tr>
    </w:tbl>
    <w:tbl>
      <w:tblPr>
        <w:tblW w:w="9520" w:type="dxa"/>
        <w:jc w:val="left"/>
        <w:tblInd w:w="0" w:type="dxa"/>
        <w:tblLayout w:type="fixed"/>
        <w:tblCellMar>
          <w:top w:w="0" w:type="dxa"/>
          <w:left w:w="0" w:type="dxa"/>
          <w:bottom w:w="0" w:type="dxa"/>
          <w:right w:w="0" w:type="dxa"/>
        </w:tblCellMar>
      </w:tblPr>
      <w:tblGrid>
        <w:gridCol w:w="2026"/>
        <w:gridCol w:w="326"/>
        <w:gridCol w:w="1051"/>
        <w:gridCol w:w="386"/>
        <w:gridCol w:w="1696"/>
        <w:gridCol w:w="109"/>
        <w:gridCol w:w="326"/>
        <w:gridCol w:w="676"/>
        <w:gridCol w:w="109"/>
        <w:gridCol w:w="326"/>
        <w:gridCol w:w="1261"/>
        <w:gridCol w:w="109"/>
        <w:gridCol w:w="326"/>
        <w:gridCol w:w="793"/>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286510" cy="175260"/>
                      <wp:effectExtent l="0" t="0" r="0" b="0"/>
                      <wp:wrapNone/>
                      <wp:docPr id="198" name="Frame198"/>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67385" cy="175260"/>
                      <wp:effectExtent l="0" t="0" r="0" b="0"/>
                      <wp:wrapNone/>
                      <wp:docPr id="200" name="Frame20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45110" cy="175260"/>
                      <wp:effectExtent l="0" t="0" r="0" b="0"/>
                      <wp:wrapNone/>
                      <wp:docPr id="201" name="Frame20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076960" cy="175260"/>
                      <wp:effectExtent l="0" t="0" r="0" b="0"/>
                      <wp:wrapNone/>
                      <wp:docPr id="202" name="Frame202"/>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29260" cy="175260"/>
                      <wp:effectExtent l="0" t="0" r="0" b="0"/>
                      <wp:wrapNone/>
                      <wp:docPr id="205" name="Frame2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00735" cy="175260"/>
                      <wp:effectExtent l="0" t="0" r="0" b="0"/>
                      <wp:wrapNone/>
                      <wp:docPr id="208" name="Frame20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03555" cy="175260"/>
                      <wp:effectExtent l="0" t="0" r="0" b="0"/>
                      <wp:wrapNone/>
                      <wp:docPr id="211" name="Frame211"/>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c>
          <w:tcPr>
            <w:tcW w:w="386" w:type="dxa"/>
            <w:tcBorders/>
            <w:vAlign w:val="center"/>
          </w:tcPr>
          <w:p>
            <w:pPr>
              <w:pStyle w:val="TableContents"/>
              <w:bidi w:val="0"/>
              <w:spacing w:before="0" w:after="0"/>
              <w:ind w:left="0" w:right="0" w:hanging="0"/>
              <w:jc w:val="left"/>
              <w:rPr/>
            </w:pPr>
            <w:r>
              <w:rPr/>
              <w:t>​</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of Acquisition</w:t>
            </w:r>
          </w:p>
        </w:tc>
        <w:tc>
          <w:tcPr>
            <w:tcW w:w="109" w:type="dxa"/>
            <w:tcBorders/>
            <w:vAlign w:val="center"/>
          </w:tcPr>
          <w:p>
            <w:pPr>
              <w:pStyle w:val="TableContents"/>
              <w:bidi w:val="0"/>
              <w:spacing w:before="0" w:after="0"/>
              <w:ind w:left="0" w:right="0" w:hanging="0"/>
              <w:jc w:val="left"/>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Land</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Improvements</w:t>
            </w:r>
          </w:p>
        </w:tc>
        <w:tc>
          <w:tcPr>
            <w:tcW w:w="109" w:type="dxa"/>
            <w:tcBorders/>
            <w:vAlign w:val="center"/>
          </w:tcPr>
          <w:p>
            <w:pPr>
              <w:pStyle w:val="TableContents"/>
              <w:bidi w:val="0"/>
              <w:spacing w:before="0" w:after="0"/>
              <w:ind w:left="0" w:right="0" w:hanging="0"/>
              <w:jc w:val="left"/>
              <w:rPr/>
            </w:pPr>
            <w:r>
              <w:rPr/>
              <w:t>​</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Bastrop County, Texas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368 Acres</w:t>
            </w:r>
          </w:p>
        </w:tc>
        <w:tc>
          <w:tcPr>
            <w:tcW w:w="386" w:type="dxa"/>
            <w:tcBorders/>
            <w:shd w:fill="CCEEFF" w:val="clear"/>
            <w:vAlign w:val="center"/>
          </w:tcPr>
          <w:p>
            <w:pPr>
              <w:pStyle w:val="TableContents"/>
              <w:bidi w:val="0"/>
              <w:spacing w:before="0" w:after="0"/>
              <w:ind w:left="0" w:right="0" w:hanging="0"/>
              <w:jc w:val="right"/>
              <w:rPr/>
            </w:pPr>
            <w:r>
              <w:rPr/>
              <w:t> </w:t>
            </w:r>
          </w:p>
        </w:tc>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2018</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4,215</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5,616</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9,831</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Bexar County, Texas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69 Acres</w:t>
            </w:r>
          </w:p>
        </w:tc>
        <w:tc>
          <w:tcPr>
            <w:tcW w:w="386" w:type="dxa"/>
            <w:tcBorders/>
            <w:vAlign w:val="center"/>
          </w:tcPr>
          <w:p>
            <w:pPr>
              <w:pStyle w:val="TableContents"/>
              <w:bidi w:val="0"/>
              <w:spacing w:before="0" w:after="0"/>
              <w:ind w:left="0" w:right="0" w:hanging="0"/>
              <w:jc w:val="right"/>
              <w:rPr/>
            </w:pPr>
            <w:r>
              <w:rPr/>
              <w:t>     </w:t>
            </w:r>
          </w:p>
        </w:tc>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2018</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Horseshoe Bay, Texas</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133 Acres</w:t>
            </w:r>
          </w:p>
        </w:tc>
        <w:tc>
          <w:tcPr>
            <w:tcW w:w="386" w:type="dxa"/>
            <w:tcBorders/>
            <w:shd w:fill="CCEEFF" w:val="clear"/>
            <w:vAlign w:val="center"/>
          </w:tcPr>
          <w:p>
            <w:pPr>
              <w:pStyle w:val="TableContents"/>
              <w:bidi w:val="0"/>
              <w:spacing w:before="0" w:after="0"/>
              <w:ind w:left="0" w:right="0" w:hanging="0"/>
              <w:jc w:val="right"/>
              <w:rPr/>
            </w:pPr>
            <w:r>
              <w:rPr/>
              <w:t> </w:t>
            </w:r>
          </w:p>
        </w:tc>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Various 2018-2019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4,663</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Johnson County, Texas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91.5 Acres</w:t>
            </w:r>
          </w:p>
        </w:tc>
        <w:tc>
          <w:tcPr>
            <w:tcW w:w="386" w:type="dxa"/>
            <w:tcBorders/>
            <w:vAlign w:val="center"/>
          </w:tcPr>
          <w:p>
            <w:pPr>
              <w:pStyle w:val="TableContents"/>
              <w:bidi w:val="0"/>
              <w:spacing w:before="0" w:after="0"/>
              <w:ind w:left="0" w:right="0" w:hanging="0"/>
              <w:jc w:val="right"/>
              <w:rPr/>
            </w:pPr>
            <w:r>
              <w:rPr/>
              <w:t> </w:t>
            </w:r>
          </w:p>
        </w:tc>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2019</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Venus, Texas</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 Acres</w:t>
            </w:r>
          </w:p>
        </w:tc>
        <w:tc>
          <w:tcPr>
            <w:tcW w:w="386" w:type="dxa"/>
            <w:tcBorders/>
            <w:shd w:fill="CCEEFF" w:val="clear"/>
            <w:vAlign w:val="center"/>
          </w:tcPr>
          <w:p>
            <w:pPr>
              <w:pStyle w:val="TableContents"/>
              <w:bidi w:val="0"/>
              <w:spacing w:before="0" w:after="0"/>
              <w:ind w:left="0" w:right="0" w:hanging="0"/>
              <w:jc w:val="right"/>
              <w:rPr/>
            </w:pPr>
            <w:r>
              <w:rPr/>
              <w:t> </w:t>
            </w:r>
          </w:p>
        </w:tc>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2019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Wise County, Texas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81.5 Acres</w:t>
            </w:r>
          </w:p>
        </w:tc>
        <w:tc>
          <w:tcPr>
            <w:tcW w:w="386" w:type="dxa"/>
            <w:tcBorders/>
            <w:vAlign w:val="center"/>
          </w:tcPr>
          <w:p>
            <w:pPr>
              <w:pStyle w:val="TableContents"/>
              <w:bidi w:val="0"/>
              <w:spacing w:before="0" w:after="0"/>
              <w:ind w:left="0" w:right="0" w:hanging="0"/>
              <w:jc w:val="right"/>
              <w:rPr/>
            </w:pPr>
            <w:r>
              <w:rPr/>
              <w:t>​</w:t>
            </w:r>
          </w:p>
        </w:tc>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2020</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Bexar County, Texas</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233 Acres</w:t>
            </w:r>
          </w:p>
        </w:tc>
        <w:tc>
          <w:tcPr>
            <w:tcW w:w="386" w:type="dxa"/>
            <w:tcBorders/>
            <w:shd w:fill="CCEEFF" w:val="clear"/>
            <w:vAlign w:val="center"/>
          </w:tcPr>
          <w:p>
            <w:pPr>
              <w:pStyle w:val="TableContents"/>
              <w:bidi w:val="0"/>
              <w:spacing w:before="0" w:after="0"/>
              <w:ind w:left="0" w:right="0" w:hanging="0"/>
              <w:jc w:val="right"/>
              <w:rPr/>
            </w:pPr>
            <w:r>
              <w:rPr/>
              <w:t>​</w:t>
            </w:r>
          </w:p>
        </w:tc>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2021</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pPr>
            <w:r>
              <w:rPr/>
              <w:t>​</w:t>
            </w:r>
          </w:p>
        </w:tc>
        <w:tc>
          <w:tcPr>
            <w:tcW w:w="1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11,006</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8,154</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19,160</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to provide financing solutions to a select group of our manufactured housing community-owner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most recently has been at or near its highest rate in the U.S. over the last 30 years. Our ability to maintain gross margins can be adversely impacted by sudden increases in specific costs, such as the increases in material and labor. In addition, measures used to combat inflation, such as increases in interest rates, could also have an impact on the ability of home buyers to obtain affordable financing. We continue to explore opportunities to minimize the impact of inflation on our future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Finally, our financial performance will be impacted by our ability to fulfill current orders for our manufactured homes from dealers and customers.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Florida and the Carolinas. In order to maintain long term growth, we must 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 We are actively reviewing organic and inorganic opportunities to add production capacity in attractive regions to meet future demand.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discussion should be read in conjunction with the information set forth in the financial statements and the accompanying notes appearing elsewhere in this Form 10-Q.</w:t>
      </w:r>
    </w:p>
    <w:p>
      <w:pPr>
        <w:pStyle w:val="TextBody"/>
        <w:bidi w:val="0"/>
        <w:spacing w:before="0" w:after="200"/>
        <w:ind w:left="0" w:right="0" w:firstLine="720"/>
        <w:jc w:val="left"/>
        <w:rPr/>
      </w:pPr>
      <w:r>
        <w:rPr/>
        <w:t>​</w:t>
      </w:r>
    </w:p>
    <w:p>
      <w:pPr>
        <w:pStyle w:val="TextBody"/>
        <w:bidi w:val="0"/>
        <w:spacing w:before="0" w:after="200"/>
        <w:ind w:left="720" w:right="0" w:hanging="0"/>
        <w:jc w:val="left"/>
        <w:rPr>
          <w:rFonts w:ascii="Times New Roman;Times;serif" w:hAnsi="Times New Roman;Times;serif"/>
          <w:b/>
          <w:i/>
          <w:sz w:val="20"/>
        </w:rPr>
      </w:pPr>
      <w:r>
        <w:rPr>
          <w:rFonts w:ascii="Times New Roman;Times;serif" w:hAnsi="Times New Roman;Times;serif"/>
          <w:b/>
          <w:i/>
          <w:sz w:val="20"/>
        </w:rPr>
        <w:t>Comparison of Three Months ended September 30, 2023 and 2022 (in thousands)</w:t>
      </w:r>
    </w:p>
    <w:tbl>
      <w:tblPr>
        <w:tblW w:w="8763" w:type="dxa"/>
        <w:jc w:val="left"/>
        <w:tblInd w:w="0" w:type="dxa"/>
        <w:tblLayout w:type="fixed"/>
        <w:tblCellMar>
          <w:top w:w="0" w:type="dxa"/>
          <w:left w:w="0" w:type="dxa"/>
          <w:bottom w:w="0" w:type="dxa"/>
          <w:right w:w="0" w:type="dxa"/>
        </w:tblCellMar>
      </w:tblPr>
      <w:tblGrid>
        <w:gridCol w:w="3391"/>
        <w:gridCol w:w="326"/>
        <w:gridCol w:w="211"/>
        <w:gridCol w:w="691"/>
        <w:gridCol w:w="326"/>
        <w:gridCol w:w="211"/>
        <w:gridCol w:w="691"/>
        <w:gridCol w:w="326"/>
        <w:gridCol w:w="326"/>
        <w:gridCol w:w="796"/>
        <w:gridCol w:w="326"/>
        <w:gridCol w:w="826"/>
        <w:gridCol w:w="316"/>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53285" cy="175260"/>
                      <wp:effectExtent l="0" t="0" r="0" b="0"/>
                      <wp:wrapNone/>
                      <wp:docPr id="212" name="Frame212"/>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38785" cy="175260"/>
                      <wp:effectExtent l="0" t="0" r="0" b="0"/>
                      <wp:wrapNone/>
                      <wp:docPr id="215" name="Frame2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38785" cy="175260"/>
                      <wp:effectExtent l="0" t="0" r="0" b="0"/>
                      <wp:wrapNone/>
                      <wp:docPr id="218" name="Frame2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05460" cy="175260"/>
                      <wp:effectExtent l="0" t="0" r="0" b="0"/>
                      <wp:wrapNone/>
                      <wp:docPr id="221" name="Frame22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24510" cy="175260"/>
                      <wp:effectExtent l="0" t="0" r="0" b="0"/>
                      <wp:wrapNone/>
                      <wp:docPr id="223" name="Frame22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0660" cy="175260"/>
                      <wp:effectExtent l="0" t="0" r="0" b="0"/>
                      <wp:wrapNone/>
                      <wp:docPr id="224" name="Frame22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48,678</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(11,670)</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and MHP loans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1,801</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1,645</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2,481</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57,325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(7,388)</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33,510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(8,690)</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6,727</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Dealer incentive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19,014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16,862</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2,152</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w:t>
              <w:noBreakHyphen/>
              <w:t>operating 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Miscellaneous,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19,468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17,571</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1,897</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16,088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14,735</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Product sales primarily consist of direct sales, commercial sales, inventory finance sales and retail store sales. Product sales decreased $11.7 million, or 24%, during the three months ended September 30, 2023 as compared to the same period in 2022. This decrease was driven by an industry wide decrease in unit volumes ($11.0 million), a decrease in net revenue per unit ($0.2 million) and a decrease in the conversion of certain independent dealer consignment arrangements to financing arrangements and other market factors ($0.5 million).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revenue attributable to our factory-built housing consisted of the following during the three months of 2023 and 2022:</w:t>
      </w:r>
    </w:p>
    <w:tbl>
      <w:tblPr>
        <w:tblW w:w="7433" w:type="dxa"/>
        <w:jc w:val="left"/>
        <w:tblInd w:w="0" w:type="dxa"/>
        <w:tblLayout w:type="fixed"/>
        <w:tblCellMar>
          <w:top w:w="0" w:type="dxa"/>
          <w:left w:w="0" w:type="dxa"/>
          <w:bottom w:w="0" w:type="dxa"/>
          <w:right w:w="0" w:type="dxa"/>
        </w:tblCellMar>
      </w:tblPr>
      <w:tblGrid>
        <w:gridCol w:w="2161"/>
        <w:gridCol w:w="326"/>
        <w:gridCol w:w="211"/>
        <w:gridCol w:w="676"/>
        <w:gridCol w:w="326"/>
        <w:gridCol w:w="211"/>
        <w:gridCol w:w="676"/>
        <w:gridCol w:w="326"/>
        <w:gridCol w:w="211"/>
        <w:gridCol w:w="796"/>
        <w:gridCol w:w="326"/>
        <w:gridCol w:w="871"/>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72235" cy="175260"/>
                      <wp:effectExtent l="0" t="0" r="0" b="0"/>
                      <wp:wrapNone/>
                      <wp:docPr id="225" name="Frame225"/>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29260" cy="175260"/>
                      <wp:effectExtent l="0" t="0" r="0" b="0"/>
                      <wp:wrapNone/>
                      <wp:docPr id="228" name="Frame2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29260" cy="175260"/>
                      <wp:effectExtent l="0" t="0" r="0" b="0"/>
                      <wp:wrapNone/>
                      <wp:docPr id="231" name="Frame2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05460" cy="175260"/>
                      <wp:effectExtent l="0" t="0" r="0" b="0"/>
                      <wp:wrapNone/>
                      <wp:docPr id="234" name="Frame23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53085" cy="175260"/>
                      <wp:effectExtent l="0" t="0" r="0" b="0"/>
                      <wp:wrapNone/>
                      <wp:docPr id="236" name="Frame23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0660" cy="175260"/>
                      <wp:effectExtent l="0" t="0" r="0" b="0"/>
                      <wp:wrapNone/>
                      <wp:docPr id="237" name="Frame23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48,678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(11,670)</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units sold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 per unit sold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2023, our net revenue per unit sold decreased primarily due to changes in our product sales mix slightly offset by increases in unit prices over the same period in 2022, as rising material and labor costs were passed on to our customers. We had decreases in direct sales, inventory finance sales and retail store sales, partially offset by an increase in commercial sales and other product sales. Our commercial sales have lower margins than sales through our company-owned retail stores and our inventory financed sales.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Consumer and MHP loans interest income grew $1.8 million, or 25.7%, during the three months ended September 30, 2023 as compared to the same period in 2022 and is related to our increase in average outstanding MHP note portfolio balance and average outstanding consumer loan portfolio balance. Between September 30, 2023 and September 30, 2022 our MHP note portfolio increased by $47.8 million and our consumer loan portfolio increased by $16.8 million.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revenue primarily consists of contract deposit forfeitures, dealer finance fees and commercial lease rents and increased $2.5 million, or 150.8%, during the three months ended September 30, 2023 as compared to the same period in 2022. This increase was primarily due to $2.4 million increase in forfeited deposits, a $0.2 million increase in dealer finance fees, partially offset by a $0.1 million decrease in commercial lease rents.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cost of product sales decreased $8.7 million, or 25.9%, during the three months ended September 30, 2023 as compared to the same period in 2022. The decrease in costs is primarily related to the decrease in units sold.</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 xml:space="preserve">Selling, general and administrative expenses decreased $0.6 million, or 9.2%, during the three months ended September 30, 2023 as compared to the same period in 2022. This decrease was primarily due to a $0.6 million decrease in warranty costs and a net $0.4 million decrease in other miscellaneous costs, partially offset by a $0.2 million increase in legal expense, and a $0.2 million increase in loan loss provision. </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Dealer incentive expense decreased $0.2 million, or 102.2%, during the three months ended September 30, 2023 as compared to the same period in 2022.</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Other income (expense) decreased $0.3 million, or 36.0%, during the three months ended September 30, 2023 as compared to the same period in 2022.  There was an increase of $0.2 million in non-operating interest income, offset by a decrease of $0.2 million in miscellaneous income, net, and an increase of $0.2 million in interest expense.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Income tax expense was $3.4 million during the three months ended September 30, 2023 compared to $2.8 million for the same period in 2022. The effective tax rate for the three months ended September 30, 2023 was 17.4% and differs from the federal statutory rate of 21% primarily due to a federal tax credit for energy efficient construction, partially offset by state income taxes. The effective tax rate for the three months ended September 30, 2022 was 16.1% and differs from the federal statutory rate of 21% primarily due to a federal tax credit for energy efficient construction, partially offset by state income taxes.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720" w:right="0" w:hanging="0"/>
        <w:jc w:val="left"/>
        <w:rPr>
          <w:rFonts w:ascii="Times New Roman;Times;serif" w:hAnsi="Times New Roman;Times;serif"/>
          <w:b/>
          <w:i/>
          <w:sz w:val="20"/>
        </w:rPr>
      </w:pPr>
      <w:r>
        <w:rPr>
          <w:rFonts w:ascii="Times New Roman;Times;serif" w:hAnsi="Times New Roman;Times;serif"/>
          <w:b/>
          <w:i/>
          <w:sz w:val="20"/>
        </w:rPr>
        <w:t>Comparison of Nine Months ended September 30, 2023 and 2022 (in thousands)</w:t>
      </w:r>
    </w:p>
    <w:tbl>
      <w:tblPr>
        <w:tblW w:w="8958" w:type="dxa"/>
        <w:jc w:val="left"/>
        <w:tblInd w:w="0" w:type="dxa"/>
        <w:tblLayout w:type="fixed"/>
        <w:tblCellMar>
          <w:top w:w="0" w:type="dxa"/>
          <w:left w:w="0" w:type="dxa"/>
          <w:bottom w:w="0" w:type="dxa"/>
          <w:right w:w="0" w:type="dxa"/>
        </w:tblCellMar>
      </w:tblPr>
      <w:tblGrid>
        <w:gridCol w:w="3391"/>
        <w:gridCol w:w="326"/>
        <w:gridCol w:w="211"/>
        <w:gridCol w:w="781"/>
        <w:gridCol w:w="326"/>
        <w:gridCol w:w="211"/>
        <w:gridCol w:w="796"/>
        <w:gridCol w:w="326"/>
        <w:gridCol w:w="326"/>
        <w:gridCol w:w="796"/>
        <w:gridCol w:w="326"/>
        <w:gridCol w:w="826"/>
        <w:gridCol w:w="316"/>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53285" cy="175260"/>
                      <wp:effectExtent l="0" t="0" r="0" b="0"/>
                      <wp:wrapNone/>
                      <wp:docPr id="238" name="Frame238"/>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95935" cy="175260"/>
                      <wp:effectExtent l="0" t="0" r="0" b="0"/>
                      <wp:wrapNone/>
                      <wp:docPr id="241" name="Frame2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05460" cy="175260"/>
                      <wp:effectExtent l="0" t="0" r="0" b="0"/>
                      <wp:wrapNone/>
                      <wp:docPr id="244" name="Frame24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05460" cy="175260"/>
                      <wp:effectExtent l="0" t="0" r="0" b="0"/>
                      <wp:wrapNone/>
                      <wp:docPr id="247" name="Frame2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24510" cy="175260"/>
                      <wp:effectExtent l="0" t="0" r="0" b="0"/>
                      <wp:wrapNone/>
                      <wp:docPr id="249" name="Frame24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0660" cy="175260"/>
                      <wp:effectExtent l="0" t="0" r="0" b="0"/>
                      <wp:wrapNone/>
                      <wp:docPr id="250" name="Frame25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155,563</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(33,058)</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and MHP loans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21,264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3,732</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4,637</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3,292</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155,430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181,464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(26,034)</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104,648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(21,158)</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20,287</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(3,241)</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Dealer incentive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54,867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55,590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w:t>
              <w:noBreakHyphen/>
              <w:t>operating 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2,246</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Miscellaneous,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58,298</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(1,029)</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47,384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48,088</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Product sales primarily consist of direct sales, commercial sales, inventory finance sales and retail store sales. Product sales decreased $33.0 million, or 21.3%, during the nine months ended September 30, 2023 as compared to the same period in 2022. This decrease was driven by an industry wide decrease in unit volumes ($26.6 million), a decrease in net revenue per unit ($1.3 million) and a decrease in the conversion of certain independent dealer consignment arrangements to financing arrangements and other market factors ($5.1 million).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revenue attributable to our factory-built housing consisted of the following during the nine months of 2023 and 2022:</w:t>
      </w:r>
    </w:p>
    <w:tbl>
      <w:tblPr>
        <w:tblW w:w="7643" w:type="dxa"/>
        <w:jc w:val="left"/>
        <w:tblInd w:w="0" w:type="dxa"/>
        <w:tblLayout w:type="fixed"/>
        <w:tblCellMar>
          <w:top w:w="0" w:type="dxa"/>
          <w:left w:w="0" w:type="dxa"/>
          <w:bottom w:w="0" w:type="dxa"/>
          <w:right w:w="0" w:type="dxa"/>
        </w:tblCellMar>
      </w:tblPr>
      <w:tblGrid>
        <w:gridCol w:w="2161"/>
        <w:gridCol w:w="326"/>
        <w:gridCol w:w="211"/>
        <w:gridCol w:w="781"/>
        <w:gridCol w:w="326"/>
        <w:gridCol w:w="211"/>
        <w:gridCol w:w="781"/>
        <w:gridCol w:w="326"/>
        <w:gridCol w:w="211"/>
        <w:gridCol w:w="796"/>
        <w:gridCol w:w="326"/>
        <w:gridCol w:w="871"/>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72235" cy="175260"/>
                      <wp:effectExtent l="0" t="0" r="0" b="0"/>
                      <wp:wrapNone/>
                      <wp:docPr id="251" name="Frame251"/>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95935" cy="175260"/>
                      <wp:effectExtent l="0" t="0" r="0" b="0"/>
                      <wp:wrapNone/>
                      <wp:docPr id="254" name="Frame2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95935" cy="175260"/>
                      <wp:effectExtent l="0" t="0" r="0" b="0"/>
                      <wp:wrapNone/>
                      <wp:docPr id="257" name="Frame2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05460" cy="175260"/>
                      <wp:effectExtent l="0" t="0" r="0" b="0"/>
                      <wp:wrapNone/>
                      <wp:docPr id="260" name="Frame2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53085" cy="175260"/>
                      <wp:effectExtent l="0" t="0" r="0" b="0"/>
                      <wp:wrapNone/>
                      <wp:docPr id="262" name="Frame26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0660" cy="175260"/>
                      <wp:effectExtent l="0" t="0" r="0" b="0"/>
                      <wp:wrapNone/>
                      <wp:docPr id="263" name="Frame2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155,563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(33,058)</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units sold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 per unit sold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2023, our net revenue per unit sold decreased primarily due to changes in our product sales mix slightly offset by increases in unit prices over the first nine months of 2022, as rising material and labor costs were passed on to our customers. We had decreases in inventory finance sales, direct sales, retail store sales, and other product sales, and commercial sales were flat. Our commercial sales have lower margins than sales through our company-owned retail stores and our inventory financed sales. For the nine months ending September 30, 2023, we experienced a decrease in net revenue attributable to product sales in our Eatonton facility. We have remediated the quality and consistency issues in this facility and are increasing our sales efforts in Eatonton. We plan to meet or exceed historical levels in 2024, pending market conditions.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Consumer and MHP loans interest income grew $3.7 million, or 17.6%, during the nine months ended September 30, 2023 as compared to the same period in 2022 and is related to our increase in average outstanding MHP note portfolio balance and average outstanding consumer loan portfolio balance. Between September 30, 2023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September 30, 2022, our MHP note portfolio increased by $47.8 million and our consumer loan portfolio increased by $16.8 million, both net of principal reduction.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revenue primarily consists of contract deposit forfeitures, dealer finance fees and commercial lease rents and increased $3.3 million, or 71.0%, during the nine months ended September 30, 2023 as compared to the same period in 2022. This increase was primarily due to $2.6 million increase in forfeited deposits, a $0.8 million increase in dealer finance fees and a $0.1 million increase in setup and service sales, partially offset by a $0.2 million decrease in portfolio fees &amp; servicer revenue.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cost of product sales decreased $21.2 million, or 20.2%, during the nine months ended September 30, 2023 as compared to the same period in 2022. The decrease in costs is primarily related to the decrease in units sold.</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Selling, general and administrative expenses decreased $3.2 million, or 16.0%, during the nine months ended September 30, 2023 as compared to the same period in 2022. This decrease was primarily due to a $3.2 million decrease in payroll &amp; related costs, a $0.3 million decrease in consulting and professional fees, a $0.2 million decrease in supplies and a net $0.6 million decrease in other miscellaneous costs, partially offset by a $1.1 million increase in loan loss provisions.</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Dealer incentive expense decreased $0.9 million, or 97.1%, during the nine months ended September 30, 2023 as compared to the same period in 2022.</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Other income (expense) decreased $0.3 million, or 11.3%, during the nine months ended September 30, 2023 as compared to the same period in 2022.  There was a decrease of $0.1 million in non-operating interest income and an increase of $0.3 million in interest expense, offset by an increase of $0.1 million in miscellaneous income, net.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Income tax expense was $9.9 million during the nine months ended September 30, 2023 compared to $10.2 million for the same period in 2022. The effective tax rate for the nine months ended September 30, 2023 was 17.3% and differs from the federal statutory rate of 21% primarily due to a federal tax credit for energy efficient construction, partially offset by state income taxes. The effective tax rate for the nine months ended September 30, 2022 was 17.5% and differs from the federal statutory rate of 21% primarily due to a federal tax credit for energy efficient construction and partially offset by state income taxes.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180"/>
        <w:ind w:left="72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believe that cash flow from operations, cash and cash equivalents at September 30, 2023, and availability on our lines of credit will be sufficient to fund our operations and provide for growth for the next 12 to 18 months and into the foreseeable future. On July 28, 2023, we terminated our credit agreement with Capital One, N.A. and entered into a new credit agreement with Prosperity Bank that expanded and extended our credit availability (see </w:t>
      </w:r>
      <w:r>
        <w:rPr>
          <w:rFonts w:ascii="Times New Roman;Times;serif" w:hAnsi="Times New Roman;Times;serif"/>
          <w:b/>
          <w:i/>
          <w:sz w:val="20"/>
        </w:rPr>
        <w:t>Indebtedness</w:t>
      </w:r>
      <w:r>
        <w:rPr>
          <w:rFonts w:ascii="Times New Roman;Times;serif" w:hAnsi="Times New Roman;Times;serif"/>
          <w:sz w:val="20"/>
        </w:rPr>
        <w:t xml:space="preserve">, below). </w:t>
      </w:r>
    </w:p>
    <w:p>
      <w:pPr>
        <w:pStyle w:val="TextBody"/>
        <w:bidi w:val="0"/>
        <w:spacing w:before="0" w:after="200"/>
        <w:ind w:left="0" w:right="0" w:firstLine="720"/>
        <w:jc w:val="left"/>
        <w:rPr/>
      </w:pPr>
      <w:r>
        <w:rPr/>
        <w:t>​</w:t>
      </w:r>
    </w:p>
    <w:p>
      <w:pPr>
        <w:pStyle w:val="TextBody"/>
        <w:bidi w:val="0"/>
        <w:spacing w:before="0" w:after="180"/>
        <w:ind w:left="720" w:right="0" w:hanging="0"/>
        <w:jc w:val="left"/>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As of September 30, 2023, we had approximately $0.5 million in cash and cash equivalents, compared to $2.8 million as of December 31, 2022.</w:t>
      </w:r>
    </w:p>
    <w:p>
      <w:pPr>
        <w:pStyle w:val="TextBody"/>
        <w:bidi w:val="0"/>
        <w:spacing w:before="0" w:after="200"/>
        <w:ind w:left="0" w:right="0" w:firstLine="720"/>
        <w:jc w:val="left"/>
        <w:rPr/>
      </w:pPr>
      <w:r>
        <w:rPr/>
        <w:t>​</w:t>
      </w:r>
    </w:p>
    <w:p>
      <w:pPr>
        <w:pStyle w:val="TextBody"/>
        <w:bidi w:val="0"/>
        <w:spacing w:before="0" w:after="160"/>
        <w:ind w:left="720" w:right="0" w:hanging="0"/>
        <w:jc w:val="left"/>
        <w:rPr>
          <w:rFonts w:ascii="Times New Roman;Times;serif" w:hAnsi="Times New Roman;Times;serif"/>
          <w:b/>
          <w:i/>
          <w:sz w:val="20"/>
        </w:rPr>
      </w:pPr>
      <w:r>
        <w:rPr>
          <w:rFonts w:ascii="Times New Roman;Times;serif" w:hAnsi="Times New Roman;Times;serif"/>
          <w:b/>
          <w:i/>
          <w:sz w:val="20"/>
        </w:rPr>
        <w:t>Cash Flow Activities</w:t>
      </w:r>
    </w:p>
    <w:tbl>
      <w:tblPr>
        <w:tblW w:w="6774" w:type="dxa"/>
        <w:jc w:val="left"/>
        <w:tblInd w:w="0" w:type="dxa"/>
        <w:tblLayout w:type="fixed"/>
        <w:tblCellMar>
          <w:top w:w="0" w:type="dxa"/>
          <w:left w:w="0" w:type="dxa"/>
          <w:bottom w:w="0" w:type="dxa"/>
          <w:right w:w="0" w:type="dxa"/>
        </w:tblCellMar>
      </w:tblPr>
      <w:tblGrid>
        <w:gridCol w:w="4216"/>
        <w:gridCol w:w="326"/>
        <w:gridCol w:w="211"/>
        <w:gridCol w:w="691"/>
        <w:gridCol w:w="326"/>
        <w:gridCol w:w="211"/>
        <w:gridCol w:w="793"/>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677160" cy="175260"/>
                      <wp:effectExtent l="0" t="0" r="0" b="0"/>
                      <wp:wrapNone/>
                      <wp:docPr id="264" name="Frame264"/>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38785" cy="175260"/>
                      <wp:effectExtent l="0" t="0" r="0" b="0"/>
                      <wp:wrapNone/>
                      <wp:docPr id="267" name="Frame2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03555" cy="175260"/>
                      <wp:effectExtent l="0" t="0" r="0" b="0"/>
                      <wp:wrapNone/>
                      <wp:docPr id="270" name="Frame27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3"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(used in)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(8,159)</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10,226</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single" w:sz="2"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11,268</w:t>
            </w:r>
          </w:p>
        </w:tc>
      </w:tr>
    </w:tbl>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Comparison of Cash Flow Activities from September 30, 2023 to September 30, 2022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Net cash used in operating activities increased $6.1 million during the nine months ended September 30, 2023, compared to the same period in 2022, primarily as a result of increased MHP originations net of collections, decreased dealer inventory loan originations net of collections, decrease in other assets, increase in prepaid expenses and other current assets, increased volume of consumer loan originations net of principal collections, decreased inventories, decrease in customer deposits, increase in accounts payable and accrued liabilities and a decrease in dealer incentive liability.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Net cash used in investing activities of $7.6 million during the nine months ended September 30, 2023 was primarily attributable to $13.9 million used for loans to third parties for the development of manufactured housing parks and $4.5M used for purchases of property, plant and equipment. This was offset by $8.5 million in proceeds from the sale of treasury notes, $1.1 million in proceeds from the sale of leased property, $1.1 million of collections related to loans to third parties for the development of manufactured housing parks and collections of $0.3 million from our purchased consumer loans.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of $10.6 million during the nine months ended September 30, 2023 was attributable to net proceeds of $10.5 million on our lines of credit and $0.1 million received from the exercise of stock options. Net cash used in financing activities of $8.2 million in 2022 was attributable to net payments of $8.2 million on our lines of credit.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720" w:right="0" w:hanging="0"/>
        <w:jc w:val="left"/>
        <w:rPr>
          <w:rFonts w:ascii="Times New Roman;Times;serif" w:hAnsi="Times New Roman;Times;serif"/>
          <w:b/>
          <w:i/>
          <w:sz w:val="20"/>
        </w:rPr>
      </w:pPr>
      <w:r>
        <w:rPr>
          <w:rFonts w:ascii="Times New Roman;Times;serif" w:hAnsi="Times New Roman;Times;serif"/>
          <w:b/>
          <w:i/>
          <w:sz w:val="20"/>
        </w:rPr>
        <w:t>Indebtedness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rPr>
        <w:t xml:space="preserve">Capital One Revolver. </w:t>
      </w:r>
      <w:r>
        <w:rPr>
          <w:rFonts w:ascii="Times New Roman;Times;serif" w:hAnsi="Times New Roman;Times;serif"/>
          <w:sz w:val="20"/>
        </w:rPr>
        <w:t xml:space="preserve">On March 30, 2020, we entered into an agreement with Capital One, N.A. (“Capital One”) for a revolving line of credit (“Revolver”). The Revolver had a maximum credit limit of $70,000 and a maturity date of March 30, 2024.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June 21, 2022, we received a Reservation of Rights notice from Capital One. The letter stated that our Revolver was in default. The default condition occurred due to our failure to timely file the Form 10-K and deliver certain financial statements to Capital One. On July 28, 2022, we entered into a Limited Waiver and First Amendment to Credit Agreement (the “Amendment”) with Capital One, N.A. The Amendment replaced the LIBOR borrowing rate with a secured overnight financing rate (“SOFR”) and waived a default arising out of a monetary judgement against the Company that exceeded the amount allowed in the Revolver.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August 24, 2022, we received a Notice of Default and Partial Suspension of Loan Commitments from Capital One. The notice stated that the July 28, 2022 forbearance agreement had been terminated and that Capital One was suspending $50,000 of the $70,000 loan commitment under the Revolver. As a result, the available line of credit in the Revolver was limited to $20,000.</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Revolver accrued interest at one-month SOFR plus 2.00%. Amounts available under the Revolver were subject to a formula based on eligible consumer loans and MHP Notes and were secured by all accounts receivable, consumer loans and MHP Notes. In connection with the Revolver, we paid certain arrangement fees and other fees of approximately $295, which were capitalized as unamortized debt issuance costs and were amortized to interest expense over the life of the Revolver. The Revolver required the Company to comply with certain financial and non-financial covenants.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July 28, 2023, upon entry into the New Revolver described below, the Capital One Revolver was repaid in full, and all commitments thereunder were terminated.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rPr>
        <w:t>Prosperity Revolver.</w:t>
      </w:r>
      <w:r>
        <w:rPr>
          <w:rFonts w:ascii="Times New Roman;Times;serif" w:hAnsi="Times New Roman;Times;serif"/>
          <w:sz w:val="20"/>
        </w:rPr>
        <w:t xml:space="preserve"> On July 28, 2023, the Company entered into a new Credit Agreement (the “New Revolver”), by and among the Company as borrower, the financial institutions from time to time party thereto, as lenders, and Prosperity Bank as administrative agent. The New Revolver provides for a four-year senior secured revolving credit facility with an initial commitment of $50,000,000 and an additional $25,000,000 commitment under an accordion feature. The New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New Revolving Credit Agreement or (ii) a base rate plus an applicable margin of 2.5% or 2.75% based upon the Company's average quarterly borrowings under the New Revolver. The Company paid certain arrangement fees and other fees in connection with the New Revolver of approximately $271, which were capitalized as unamortized debt issuance costs and are amortized to interest expense over the life of the New Revolver. The New Revolver matures July 28, 2027.</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2023, interest expense under the Revolver and New Revolver was $302, and for the three months ended September 30, 2022, interest expense under the Revolver was $87. For the nine months ended September 30, 2023, interest expense under the Revolver and New Revolver was $588 and for the nine months ended September 30, 2022, interest expense under the Revolver was $326, respectively. The outstanding balance of the New Revolver as of September 30, 2023 was $13,013, and the outstanding balance of the Revolver as of December 31, 2022 was $2,545. The interest rate in effect as of September 30, 2023 for the New Revolver was 7.95% and the interest rate in effect as of December 31, 2022 for the Revolver was 6.12%. The amount of available credit under the New Revolver was $36,987 as of September 30, 2023 and the amount of available credit under the Revolver was $17,400 as of December 31, 2022. The New Revolver requires the Company to comply with certain financial and non-financial covenants. As of September 30, 2023, the Company was in compliance with all financial covenants, including that it maintain a maximum leverage ratio of no more than 1.00 to 1.00 and a minimum fixed charge coverage ratio of no less than 1.75 to 1.00.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is a summary of contractual cash obligations as of September 30, 2023:</w:t>
      </w:r>
    </w:p>
    <w:tbl>
      <w:tblPr>
        <w:tblW w:w="8357" w:type="dxa"/>
        <w:jc w:val="left"/>
        <w:tblInd w:w="0" w:type="dxa"/>
        <w:tblLayout w:type="fixed"/>
        <w:tblCellMar>
          <w:top w:w="0" w:type="dxa"/>
          <w:left w:w="0" w:type="dxa"/>
          <w:bottom w:w="0" w:type="dxa"/>
          <w:right w:w="0" w:type="dxa"/>
        </w:tblCellMar>
      </w:tblPr>
      <w:tblGrid>
        <w:gridCol w:w="2356"/>
        <w:gridCol w:w="326"/>
        <w:gridCol w:w="211"/>
        <w:gridCol w:w="676"/>
        <w:gridCol w:w="386"/>
        <w:gridCol w:w="466"/>
        <w:gridCol w:w="326"/>
        <w:gridCol w:w="976"/>
        <w:gridCol w:w="326"/>
        <w:gridCol w:w="976"/>
        <w:gridCol w:w="386"/>
        <w:gridCol w:w="946"/>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96060" cy="175260"/>
                      <wp:effectExtent l="0" t="0" r="0" b="0"/>
                      <wp:wrapNone/>
                      <wp:docPr id="271" name="Frame271"/>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29260" cy="175260"/>
                      <wp:effectExtent l="0" t="0" r="0" b="0"/>
                      <wp:wrapNone/>
                      <wp:docPr id="274" name="Frame2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45110" cy="175260"/>
                      <wp:effectExtent l="0" t="0" r="0" b="0"/>
                      <wp:wrapNone/>
                      <wp:docPr id="275" name="Frame27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95910" cy="175260"/>
                      <wp:effectExtent l="0" t="0" r="0" b="0"/>
                      <wp:wrapNone/>
                      <wp:docPr id="276" name="Frame27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19760" cy="175260"/>
                      <wp:effectExtent l="0" t="0" r="0" b="0"/>
                      <wp:wrapNone/>
                      <wp:docPr id="278" name="Frame27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19760" cy="175260"/>
                      <wp:effectExtent l="0" t="0" r="0" b="0"/>
                      <wp:wrapNone/>
                      <wp:docPr id="280" name="Frame28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45110" cy="175260"/>
                      <wp:effectExtent l="0" t="0" r="0" b="0"/>
                      <wp:wrapNone/>
                      <wp:docPr id="281" name="Frame28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00710" cy="175260"/>
                      <wp:effectExtent l="0" t="0" r="0" b="0"/>
                      <wp:wrapNone/>
                      <wp:docPr id="282" name="Frame28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67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 (in thousands)</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pPr>
            <w:r>
              <w:rPr/>
              <w:t>​</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Contractual Obligations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8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2024 - 2025</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2026 - 2027</w:t>
            </w:r>
          </w:p>
        </w:tc>
        <w:tc>
          <w:tcPr>
            <w:tcW w:w="38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After 2027</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Lines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13,013</w:t>
            </w:r>
          </w:p>
        </w:tc>
        <w:tc>
          <w:tcPr>
            <w:tcW w:w="38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13,013</w:t>
            </w:r>
          </w:p>
        </w:tc>
        <w:tc>
          <w:tcPr>
            <w:tcW w:w="38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2,086</w:t>
            </w:r>
          </w:p>
        </w:tc>
        <w:tc>
          <w:tcPr>
            <w:tcW w:w="38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8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145</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 Balance Sheet Arrangements</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We did not have any off-balance sheet arrangements that are reasonably likely to have a current or future effect on our financial condition, net sales, results of operations, liquidity or capital expenditures. However, we do have a repurchase agreement with a financial institution that provides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$4,767 and $8,925 as of September 30, 2023 and December 31, 2022,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September 30, 2023.</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Critical accounting estimates are those that we believe are both significant and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2022. Subsequent to the filing of our Annual Report, we adopted FASB’s ASC 326 for determining Current Expected Credit Losses. In connection with this adoption, we implemented certain changes to our processes and controls related to our methods for estimating allowances for credit losses.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information regarding recent accounting pronouncements, see Note 1 – Nature of Operations, Recent Accounting Pronouncements to our September 30, 2023 Condensed Financial Statements, included in Part I, Item 1, Financial Statements (Unaudited), of this Quarterly Report.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 We expect our status as an emerging growth company to end on December 31, 2023, five years from our initial public offering.</w:t>
      </w:r>
    </w:p>
    <w:p>
      <w:pPr>
        <w:pStyle w:val="TextBody"/>
        <w:bidi w:val="0"/>
        <w:spacing w:before="0" w:after="200"/>
        <w:ind w:left="0" w:right="0" w:hanging="0"/>
        <w:jc w:val="left"/>
        <w:rPr>
          <w:rFonts w:ascii="Times New Roman;Times;serif" w:hAnsi="Times New Roman;Times;serif"/>
          <w:b/>
          <w:sz w:val="20"/>
        </w:rPr>
      </w:pPr>
      <w:bookmarkStart w:id="972" w:name="Item3QuantitativeandQualitativeDisclosur"/>
      <w:bookmarkStart w:id="973" w:name="_bc685e27_d8ba_49a0_a8fd_703555540090"/>
      <w:bookmarkEnd w:id="972"/>
      <w:bookmarkEnd w:id="973"/>
      <w:r>
        <w:rPr>
          <w:rFonts w:ascii="Times New Roman;Times;serif" w:hAnsi="Times New Roman;Times;serif"/>
          <w:b/>
          <w:sz w:val="20"/>
        </w:rPr>
        <w:t>Item 3. Quantitative and Qualitative Disclosures About Market Risk.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Not applicable.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974" w:name="Item4ControlsandProcedures_709968"/>
      <w:bookmarkStart w:id="975" w:name="_50f96c66_c25b_4c6b_a2c3_e4c3d2bb2316"/>
      <w:bookmarkEnd w:id="974"/>
      <w:bookmarkEnd w:id="975"/>
      <w:r>
        <w:rPr>
          <w:rFonts w:ascii="Times New Roman;Times;serif" w:hAnsi="Times New Roman;Times;serif"/>
          <w:b/>
          <w:sz w:val="20"/>
        </w:rPr>
        <w:t>Item 4. Controls and Procedures.</w:t>
      </w:r>
    </w:p>
    <w:p>
      <w:pPr>
        <w:pStyle w:val="TextBody"/>
        <w:bidi w:val="0"/>
        <w:spacing w:before="0" w:after="264"/>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are subject to the periodic reporting requirements as defined in Rule 13a-15(e) of the Exchange Act that require designing disclosure controls and procedures to provide reasonable assurance that the information we disclose in reports we file or submit with the SEC are recorded, processed, summarized, and reported within the time periods specified in the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the end of the period covered by this Quarterly Report on Form 10-Q, the Company’s management conducted an evaluation, under the supervision and with the participation of the Chief Executive Officer and the Chief Financial Officer, of the effectiveness of the design and operation of the Company’s disclosure controls and procedures of the Exchange Act). Based on this evaluation, the Chief Executive Officer and the Chief Financial Officer each concluded, as of the end of the period, that our disclosure controls and procedures were not effective as of September 30, 2023, due to material weaknesses in internal control over financial reporting that were disclosed in our Annual Report on Form 10-K for the fiscal year ended December 31, 2022, as described below.</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Material Weaknesses in Internal Control Over Financial Reporting</w:t>
      </w:r>
    </w:p>
    <w:p>
      <w:pPr>
        <w:pStyle w:val="TextBody"/>
        <w:bidi w:val="0"/>
        <w:spacing w:before="0" w:after="200"/>
        <w:ind w:left="0" w:right="0" w:firstLine="720"/>
        <w:jc w:val="left"/>
        <w:rPr>
          <w:rFonts w:ascii="Times New Roman;Times;serif" w:hAnsi="Times New Roman;Times;serif"/>
          <w:sz w:val="20"/>
        </w:rPr>
      </w:pPr>
      <w:bookmarkStart w:id="976" w:name="_Hlk139970600"/>
      <w:bookmarkEnd w:id="976"/>
      <w:r>
        <w:rPr>
          <w:rFonts w:ascii="Times New Roman;Times;serif" w:hAnsi="Times New Roman;Times;serif"/>
          <w:sz w:val="20"/>
        </w:rPr>
        <w:t>As previously disclosed in our Annual report on Form 10-K filed with the SEC for the year ended December 31, 2022 we identified material weaknesses in our internal control over financial reporting during the preparation of our financial statements.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material weaknesses in financial reporting as of September 30, 2023 are summarized as follows:</w:t>
      </w:r>
    </w:p>
    <w:p>
      <w:pPr>
        <w:pStyle w:val="TextBody"/>
        <w:bidi w:val="0"/>
        <w:spacing w:before="0" w:after="200"/>
        <w:ind w:left="0" w:right="0" w:hanging="0"/>
        <w:jc w:val="left"/>
        <w:rPr/>
      </w:pPr>
      <w:r>
        <w:rPr>
          <w:caps w:val="false"/>
          <w:smallCaps w:val="false"/>
        </w:rPr>
        <w:t xml:space="preserve">● </w:t>
      </w:r>
      <w:r>
        <w:rPr>
          <w:rFonts w:ascii="Times New Roman;Times;serif" w:hAnsi="Times New Roman;Times;serif"/>
          <w:sz w:val="20"/>
        </w:rPr>
        <w:t>We determined that we did not have sufficient accounting systems and procedures in-place, particularly in the areas of revenue recognition, processing of accounts payable, prepaid expenses, and inventory costing and management.</w:t>
      </w:r>
    </w:p>
    <w:p>
      <w:pPr>
        <w:pStyle w:val="TextBody"/>
        <w:bidi w:val="0"/>
        <w:spacing w:before="0" w:after="200"/>
        <w:ind w:left="0" w:right="0" w:hanging="0"/>
        <w:jc w:val="left"/>
        <w:rPr/>
      </w:pPr>
      <w:r>
        <w:rPr>
          <w:caps w:val="false"/>
          <w:smallCaps w:val="false"/>
        </w:rPr>
        <w:t xml:space="preserve">● </w:t>
      </w:r>
      <w:r>
        <w:rPr>
          <w:rFonts w:ascii="Times New Roman;Times;serif" w:hAnsi="Times New Roman;Times;serif"/>
          <w:sz w:val="20"/>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pStyle w:val="TextBody"/>
        <w:bidi w:val="0"/>
        <w:spacing w:before="0" w:after="200"/>
        <w:ind w:left="0" w:right="0" w:hanging="0"/>
        <w:jc w:val="left"/>
        <w:rPr/>
      </w:pPr>
      <w:r>
        <w:rPr>
          <w:caps w:val="false"/>
          <w:smallCaps w:val="false"/>
        </w:rPr>
        <w:t xml:space="preserve">● </w:t>
      </w:r>
      <w:r>
        <w:rPr>
          <w:rFonts w:ascii="Times New Roman;Times;serif" w:hAnsi="Times New Roman;Times;serif"/>
          <w:sz w:val="20"/>
        </w:rPr>
        <w:t>We determined that our information technology infrastructure does not provide sufficient safeguards required by the COBIT framework.</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Remediation Efforts to Address Previously-Identified Material Weaknesses</w:t>
      </w:r>
      <w:r>
        <w:rPr>
          <w:rFonts w:ascii="Times New Roman;Times;serif" w:hAnsi="Times New Roman;Times;serif"/>
          <w:sz w:val="20"/>
        </w:rPr>
        <w: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previously described in Item 9A of our Annual Report on Form 10-K for the year ended December 31, 2022, Management has evaluated the material weaknesses described above and implemented a remediation plan to address its material weaknesses. During the three-month period ending September 30, 2023 we continued implementing a broad range of remedial procedures to address the material weaknesses in our internal control over financial reporting and accounting functions.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While significant actions to improve our internal processes continue to be implemented, the enhanced controls have not operated for a sufficient period-of-time to demonstrate that the material weakness have been remediated as of September 30, 2023. Our material weaknesses will not be considered remediated until the applicable controls operate for a sufficient period-of-time and management has concluded, through testing, that the controls operate effectively.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are committed to improving our internal control processes and will continue to diligently and vigorously review our financial reporting controls and procedures. We are working to complete the remediation of our material weaknesses by the end of fiscal year 2023.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Changes in Internal Control over Financial Reporting</w:t>
      </w:r>
      <w:r>
        <w:rPr>
          <w:rFonts w:ascii="Times New Roman;Times;serif" w:hAnsi="Times New Roman;Times;serif"/>
          <w:sz w:val="20"/>
        </w:rPr>
        <w: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Under the applicable SEC rules, management is required to evaluate any changes in internal control over financial reporting that occurred during each fiscal quarter that materially affected, or are reasonably likely to materially affect, our internal control over financial reporting.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As discussed in “Item 9A. Controls and Procedures” of the 2022 Report, we have undertaken a broad range of remedial procedures to address material weaknesses in our internal control over financial reporting. These remedial procedures continued throughout the three months ended September 30, 2023 and will continue throughout the remainder of 2023.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While we continue to implement remediation efforts and design enhancements to our internal control procedures, we believe there were no other changes to our internal control over financial reporting identified in connection with the evaluation required by Rule 13a-15(d) under the Exchange Act during the third quarter of 2023 that materially affected, or are reasonably likely to materially affect, our internal control over financial reporting.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Limitations on Effectiveness of Controls and Procedures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disclosure controls and procedures are designed to provide reasonable assurance of achieving their objectives, as specified above. Our management recognizes that any control system, no matter how well designed and operated, is based upon certain judgments and assumptions and cannot provide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b/>
          <w:sz w:val="20"/>
        </w:rPr>
      </w:pPr>
      <w:bookmarkStart w:id="977" w:name="PARTIIOTHERINFORMATION_170690"/>
      <w:bookmarkStart w:id="978" w:name="_a0681c18_5d7f_4235_8e12_23530139cdae"/>
      <w:bookmarkEnd w:id="977"/>
      <w:bookmarkEnd w:id="978"/>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979" w:name="Item1LegalProceedings_348887"/>
      <w:bookmarkEnd w:id="979"/>
      <w:r>
        <w:rPr>
          <w:rFonts w:ascii="Times New Roman;Times;serif" w:hAnsi="Times New Roman;Times;serif"/>
          <w:b/>
          <w:sz w:val="20"/>
        </w:rPr>
        <w:t>Item 1. Legal Proceedings.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See Note 14 - Commitments and Contingencies in our September 30, 2023 Condensed Financial Statements, included in Part I, Item 1, Financial Statements (Unaudited), of this Quarterly Report. </w:t>
      </w:r>
    </w:p>
    <w:p>
      <w:pPr>
        <w:pStyle w:val="TextBody"/>
        <w:bidi w:val="0"/>
        <w:spacing w:before="0" w:after="200"/>
        <w:ind w:left="0" w:right="0" w:hanging="0"/>
        <w:jc w:val="left"/>
        <w:rPr>
          <w:rFonts w:ascii="Times New Roman;Times;serif" w:hAnsi="Times New Roman;Times;serif"/>
          <w:b/>
          <w:sz w:val="20"/>
        </w:rPr>
      </w:pPr>
      <w:bookmarkStart w:id="980" w:name="Item2UnregisteredSalesofEquitySecurities"/>
      <w:bookmarkStart w:id="981" w:name="_bfd5697b_7b91_490c_a4cd_9971fdc5143f"/>
      <w:bookmarkEnd w:id="980"/>
      <w:bookmarkEnd w:id="981"/>
      <w:r>
        <w:rPr>
          <w:rFonts w:ascii="Times New Roman;Times;serif" w:hAnsi="Times New Roman;Times;serif"/>
          <w:b/>
          <w:sz w:val="20"/>
        </w:rPr>
        <w:t>Item 2. Unregistered Sales of Equity Securities and Use of Proceeds.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982" w:name="DefaultsUpon_535854"/>
      <w:bookmarkStart w:id="983" w:name="_5b9c53d3_ce4c_4d1c_bc2c_f21ee70bbe99"/>
      <w:bookmarkEnd w:id="982"/>
      <w:bookmarkEnd w:id="983"/>
      <w:r>
        <w:rPr>
          <w:rFonts w:ascii="Times New Roman;Times;serif" w:hAnsi="Times New Roman;Times;serif"/>
          <w:b/>
          <w:sz w:val="20"/>
        </w:rPr>
        <w:t>Item 3. Defaults Upon Senior Securities.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984" w:name="MineSafety_773765"/>
      <w:bookmarkStart w:id="985" w:name="_33057aea_c9b8_47c7_aa18_a4b0c835156f"/>
      <w:bookmarkEnd w:id="984"/>
      <w:bookmarkEnd w:id="985"/>
      <w:r>
        <w:rPr>
          <w:rFonts w:ascii="Times New Roman;Times;serif" w:hAnsi="Times New Roman;Times;serif"/>
          <w:b/>
          <w:sz w:val="20"/>
        </w:rPr>
        <w:t>Item 4. Mine Safety Disclosures.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986" w:name="OtherInformation_946294"/>
      <w:bookmarkStart w:id="987" w:name="_211059ad_55ee_4c10_9392_ada967b0ad2f"/>
      <w:bookmarkEnd w:id="986"/>
      <w:bookmarkEnd w:id="987"/>
      <w:r>
        <w:rPr>
          <w:rFonts w:ascii="Times New Roman;Times;serif" w:hAnsi="Times New Roman;Times;serif"/>
          <w:b/>
          <w:sz w:val="20"/>
        </w:rPr>
        <w:t>Item 5. Other Information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988" w:name="Item6Exhibits_809988"/>
      <w:bookmarkStart w:id="989" w:name="_284602d1_fc96_4429_8bc6_b9648848db15"/>
      <w:bookmarkEnd w:id="988"/>
      <w:bookmarkEnd w:id="989"/>
      <w:r>
        <w:rPr>
          <w:rFonts w:ascii="Times New Roman;Times;serif" w:hAnsi="Times New Roman;Times;serif"/>
          <w:b/>
          <w:sz w:val="20"/>
        </w:rPr>
        <w:t>Item 6. Exhibits.</w:t>
      </w:r>
    </w:p>
    <w:tbl>
      <w:tblPr>
        <w:tblW w:w="9498" w:type="dxa"/>
        <w:jc w:val="left"/>
        <w:tblInd w:w="0" w:type="dxa"/>
        <w:tblLayout w:type="fixed"/>
        <w:tblCellMar>
          <w:top w:w="0" w:type="dxa"/>
          <w:left w:w="0" w:type="dxa"/>
          <w:bottom w:w="0" w:type="dxa"/>
          <w:right w:w="0" w:type="dxa"/>
        </w:tblCellMar>
      </w:tblPr>
      <w:tblGrid>
        <w:gridCol w:w="1876"/>
        <w:gridCol w:w="166"/>
        <w:gridCol w:w="7456"/>
      </w:tblGrid>
      <w:tr>
        <w:trPr/>
        <w:tc>
          <w:tcPr>
            <w:tcW w:w="187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876" w:type="dxa"/>
            <w:tcBorders/>
            <w:vAlign w:val="center"/>
          </w:tcPr>
          <w:p>
            <w:pPr>
              <w:pStyle w:val="TableContents"/>
              <w:pBdr/>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31.1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pPr>
            <w:hyperlink w:anchor="legh-20230930xex31d1.htm">
              <w:r>
                <w:rPr>
                  <w:rStyle w:val="InternetLink"/>
                  <w:rFonts w:ascii="Times New Roman;Times;serif" w:hAnsi="Times New Roman;Times;serif"/>
                  <w:b w:val="false"/>
                  <w:i w:val="false"/>
                  <w:caps w:val="false"/>
                  <w:smallCaps w:val="false"/>
                  <w:sz w:val="20"/>
                </w:rPr>
                <w:t>Rule 13a—14(a) / 15d—14(a) Certifications — Chief Executive Officer.</w:t>
              </w:r>
            </w:hyperlink>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31.2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pPr>
            <w:hyperlink w:anchor="legh-20230930xex31d2.htm">
              <w:r>
                <w:rPr>
                  <w:rStyle w:val="InternetLink"/>
                  <w:rFonts w:ascii="Times New Roman;Times;serif" w:hAnsi="Times New Roman;Times;serif"/>
                  <w:b w:val="false"/>
                  <w:i w:val="false"/>
                  <w:caps w:val="false"/>
                  <w:smallCaps w:val="false"/>
                  <w:sz w:val="20"/>
                </w:rPr>
                <w:t>Rule 13a—14(a) / 15d—14(a) Certifications — Chief Financial Officer.</w:t>
              </w:r>
            </w:hyperlink>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32.1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pPr>
            <w:hyperlink w:anchor="legh-20230930xex32d1.htm">
              <w:r>
                <w:rPr>
                  <w:rStyle w:val="InternetLink"/>
                  <w:rFonts w:ascii="Times New Roman;Times;serif" w:hAnsi="Times New Roman;Times;serif"/>
                  <w:b w:val="false"/>
                  <w:i w:val="false"/>
                  <w:caps w:val="false"/>
                  <w:smallCaps w:val="false"/>
                  <w:sz w:val="20"/>
                </w:rPr>
                <w:t>Section 1350 Certification.</w:t>
              </w:r>
            </w:hyperlink>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32.2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pPr>
            <w:hyperlink w:anchor="legh-20230930xex32d2.htm">
              <w:r>
                <w:rPr>
                  <w:rStyle w:val="InternetLink"/>
                  <w:rFonts w:ascii="Times New Roman;Times;serif" w:hAnsi="Times New Roman;Times;serif"/>
                  <w:b w:val="false"/>
                  <w:i w:val="false"/>
                  <w:caps w:val="false"/>
                  <w:smallCaps w:val="false"/>
                  <w:sz w:val="20"/>
                </w:rPr>
                <w:t>Section 1350 Certification.</w:t>
              </w:r>
            </w:hyperlink>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101.INS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101.SCH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101.CAL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101.DEF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101.LAB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101.PRE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876" w:type="dxa"/>
            <w:tcBorders/>
            <w:vAlign w:val="center"/>
          </w:tcPr>
          <w:p>
            <w:pPr>
              <w:pStyle w:val="TableContents"/>
              <w:pBdr/>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990" w:name="SIGNATURES_65971"/>
      <w:bookmarkStart w:id="991" w:name="_142e6cdf_4c26_41e7_9e38_b422728524f9"/>
      <w:bookmarkEnd w:id="990"/>
      <w:bookmarkEnd w:id="991"/>
      <w:r>
        <w:rPr>
          <w:rFonts w:ascii="Times New Roman;Times;serif" w:hAnsi="Times New Roman;Times;serif"/>
          <w:b/>
          <w:sz w:val="20"/>
        </w:rPr>
        <w:t>SIGNATURES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728" w:type="dxa"/>
        <w:jc w:val="left"/>
        <w:tblInd w:w="0" w:type="dxa"/>
        <w:tblLayout w:type="fixed"/>
        <w:tblCellMar>
          <w:top w:w="0" w:type="dxa"/>
          <w:left w:w="0" w:type="dxa"/>
          <w:bottom w:w="0" w:type="dxa"/>
          <w:right w:w="0" w:type="dxa"/>
        </w:tblCellMar>
      </w:tblPr>
      <w:tblGrid>
        <w:gridCol w:w="2251"/>
        <w:gridCol w:w="406"/>
        <w:gridCol w:w="5071"/>
      </w:tblGrid>
      <w:tr>
        <w:trPr/>
        <w:tc>
          <w:tcPr>
            <w:tcW w:w="2251" w:type="dxa"/>
            <w:tcBorders/>
            <w:vAlign w:val="center"/>
          </w:tcPr>
          <w:p>
            <w:pPr>
              <w:pStyle w:val="TableContents"/>
              <w:bidi w:val="0"/>
              <w:spacing w:before="0" w:after="0"/>
              <w:ind w:left="0" w:right="0" w:hanging="0"/>
              <w:jc w:val="left"/>
              <w:rPr/>
            </w:pPr>
            <w:r>
              <w:rPr/>
              <w:t>​</w:t>
            </w:r>
          </w:p>
        </w:tc>
        <w:tc>
          <w:tcPr>
            <w:tcW w:w="54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LEGACY HOUSING CORPORATION</w:t>
            </w:r>
          </w:p>
        </w:tc>
      </w:tr>
      <w:tr>
        <w:trPr/>
        <w:tc>
          <w:tcPr>
            <w:tcW w:w="2251" w:type="dxa"/>
            <w:tcBorders/>
            <w:vAlign w:val="center"/>
          </w:tcPr>
          <w:p>
            <w:pPr>
              <w:pStyle w:val="TableContents"/>
              <w:bidi w:val="0"/>
              <w:spacing w:before="0" w:after="0"/>
              <w:ind w:left="0" w:right="0" w:hanging="0"/>
              <w:jc w:val="left"/>
              <w:rPr/>
            </w:pPr>
            <w:r>
              <w:rPr/>
              <w:t>​</w:t>
            </w:r>
          </w:p>
        </w:tc>
        <w:tc>
          <w:tcPr>
            <w:tcW w:w="5477" w:type="dxa"/>
            <w:gridSpan w:val="2"/>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9,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Fiedelman</w:t>
            </w:r>
          </w:p>
        </w:tc>
      </w:tr>
      <w:tr>
        <w:trPr/>
        <w:tc>
          <w:tcPr>
            <w:tcW w:w="22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Jeffrey Fiedelman</w:t>
            </w:r>
          </w:p>
        </w:tc>
      </w:tr>
      <w:tr>
        <w:trPr/>
        <w:tc>
          <w:tcPr>
            <w:tcW w:w="22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r>
        <w:trPr/>
        <w:tc>
          <w:tcPr>
            <w:tcW w:w="22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0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(On behalf of Registrant and as Principal Financial Officer)</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firstLine="720"/>
        <w:jc w:val="right"/>
        <w:rPr>
          <w:rFonts w:ascii="Times New Roman;Times;serif" w:hAnsi="Times New Roman;Times;serif"/>
          <w:b/>
          <w:sz w:val="20"/>
        </w:rPr>
      </w:pPr>
      <w:bookmarkStart w:id="992" w:name="legh-20230930xex31d1.htm"/>
      <w:bookmarkStart w:id="993" w:name="kslegh20230930xex31d1"/>
      <w:bookmarkEnd w:id="992"/>
      <w:bookmarkEnd w:id="993"/>
      <w:r>
        <w:rPr>
          <w:rFonts w:ascii="Times New Roman;Times;serif" w:hAnsi="Times New Roman;Times;serif"/>
          <w:b/>
          <w:sz w:val="20"/>
        </w:rPr>
        <w:t>Exhibit 31.1</w:t>
      </w:r>
      <w:r>
        <w:br w:type="page"/>
      </w:r>
    </w:p>
    <w:p>
      <w:pPr>
        <w:pStyle w:val="TextBody"/>
        <w:bidi w:val="0"/>
        <w:spacing w:before="0" w:after="0"/>
        <w:ind w:left="0" w:right="0" w:firstLine="72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 Duncan Bates, certify that: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Legacy Housing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5807" w:type="dxa"/>
        <w:jc w:val="center"/>
        <w:tblInd w:w="0" w:type="dxa"/>
        <w:tblLayout w:type="fixed"/>
        <w:tblCellMar>
          <w:top w:w="0" w:type="dxa"/>
          <w:left w:w="0" w:type="dxa"/>
          <w:bottom w:w="0" w:type="dxa"/>
          <w:right w:w="0" w:type="dxa"/>
        </w:tblCellMar>
      </w:tblPr>
      <w:tblGrid>
        <w:gridCol w:w="2101"/>
        <w:gridCol w:w="370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4135" cy="175260"/>
                      <wp:effectExtent l="0" t="0" r="0" b="0"/>
                      <wp:wrapNone/>
                      <wp:docPr id="283" name="Frame283"/>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353310" cy="175260"/>
                      <wp:effectExtent l="0" t="0" r="0" b="0"/>
                      <wp:wrapNone/>
                      <wp:docPr id="284" name="Frame284"/>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Duncan Bates</w:t>
            </w:r>
          </w:p>
        </w:tc>
      </w:tr>
      <w:tr>
        <w:trPr/>
        <w:tc>
          <w:tcPr>
            <w:tcW w:w="2101"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Duncan Bates</w:t>
            </w:r>
          </w:p>
        </w:tc>
      </w:tr>
      <w:tr>
        <w:trPr/>
        <w:tc>
          <w:tcPr>
            <w:tcW w:w="2101"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right"/>
        <w:rPr>
          <w:rFonts w:ascii="Times New Roman;Times;serif" w:hAnsi="Times New Roman;Times;serif"/>
          <w:b/>
          <w:sz w:val="20"/>
        </w:rPr>
      </w:pPr>
      <w:bookmarkStart w:id="994" w:name="legh-20230930xex31d2.htm"/>
      <w:bookmarkStart w:id="995" w:name="kslegh20230930xex31d2"/>
      <w:bookmarkEnd w:id="994"/>
      <w:bookmarkEnd w:id="995"/>
      <w:r>
        <w:rPr>
          <w:rFonts w:ascii="Times New Roman;Times;serif" w:hAnsi="Times New Roman;Times;serif"/>
          <w:b/>
          <w:sz w:val="20"/>
        </w:rPr>
        <w:t>Exhibit 31.2</w:t>
      </w:r>
      <w:r>
        <w:br w:type="page"/>
      </w:r>
    </w:p>
    <w:p>
      <w:pPr>
        <w:pStyle w:val="TextBody"/>
        <w:bidi w:val="0"/>
        <w:spacing w:before="0" w:after="0"/>
        <w:ind w:left="0" w:right="0" w:firstLine="72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 Jeffrey Fiedelman, certify that: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Legacy Housing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607" w:type="dxa"/>
        <w:jc w:val="center"/>
        <w:tblInd w:w="0" w:type="dxa"/>
        <w:tblLayout w:type="fixed"/>
        <w:tblCellMar>
          <w:top w:w="0" w:type="dxa"/>
          <w:left w:w="0" w:type="dxa"/>
          <w:bottom w:w="0" w:type="dxa"/>
          <w:right w:w="0" w:type="dxa"/>
        </w:tblCellMar>
      </w:tblPr>
      <w:tblGrid>
        <w:gridCol w:w="2101"/>
        <w:gridCol w:w="250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4135" cy="175260"/>
                      <wp:effectExtent l="0" t="0" r="0" b="0"/>
                      <wp:wrapNone/>
                      <wp:docPr id="285" name="Frame285"/>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591310" cy="175260"/>
                      <wp:effectExtent l="0" t="0" r="0" b="0"/>
                      <wp:wrapNone/>
                      <wp:docPr id="286" name="Frame28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Fiedelman</w:t>
            </w:r>
            <w:r>
              <w:rPr>
                <w:rFonts w:ascii="Times New Roman;Times;serif" w:hAnsi="Times New Roman;Times;serif"/>
                <w:sz w:val="20"/>
                <w:shd w:fill="FFFF00" w:val="clear"/>
              </w:rPr>
              <w:t xml:space="preserve"> </w:t>
            </w:r>
          </w:p>
        </w:tc>
      </w:tr>
      <w:tr>
        <w:trPr/>
        <w:tc>
          <w:tcPr>
            <w:tcW w:w="2101"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Jeffrey Fiedelman</w:t>
            </w:r>
            <w:r>
              <w:rPr>
                <w:rFonts w:ascii="Times New Roman;Times;serif" w:hAnsi="Times New Roman;Times;serif"/>
                <w:sz w:val="20"/>
                <w:shd w:fill="FFFF00" w:val="clear"/>
              </w:rPr>
              <w:t xml:space="preserve"> </w:t>
            </w:r>
          </w:p>
        </w:tc>
      </w:tr>
      <w:tr>
        <w:trPr/>
        <w:tc>
          <w:tcPr>
            <w:tcW w:w="210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right"/>
        <w:rPr>
          <w:rFonts w:ascii="Times New Roman;Times;serif" w:hAnsi="Times New Roman;Times;serif"/>
          <w:b/>
          <w:sz w:val="20"/>
        </w:rPr>
      </w:pPr>
      <w:bookmarkStart w:id="996" w:name="legh-20230930xex32d1.htm"/>
      <w:bookmarkStart w:id="997" w:name="kslegh20230930xex32d1"/>
      <w:bookmarkEnd w:id="996"/>
      <w:bookmarkEnd w:id="997"/>
      <w:r>
        <w:rPr>
          <w:rFonts w:ascii="Times New Roman;Times;serif" w:hAnsi="Times New Roman;Times;serif"/>
          <w:b/>
          <w:sz w:val="20"/>
        </w:rPr>
        <w:t>Exhibit 32.1</w:t>
      </w:r>
      <w:r>
        <w:br w:type="page"/>
      </w:r>
    </w:p>
    <w:p>
      <w:pPr>
        <w:pStyle w:val="TextBody"/>
        <w:bidi w:val="0"/>
        <w:spacing w:before="0" w:after="6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of Legacy Housing Corporation (the “Company”) on Form 10-Q for the quarter ended September 30, 2023, as filed with the Securities and Exchange Commission on the date hereof (the “Report”), I, Duncan Bates, President and Chief Executive Officer of the Company, certify, pursuant to 18 U.S.C. §1350, as adopted pursuant to Section 906 of the Sarbanes-Oxley Act of 2002, that:</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and</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pPr>
      <w:r>
        <w:rPr/>
        <w:t>​</w:t>
      </w:r>
    </w:p>
    <w:tbl>
      <w:tblPr>
        <w:tblW w:w="5807" w:type="dxa"/>
        <w:jc w:val="center"/>
        <w:tblInd w:w="0" w:type="dxa"/>
        <w:tblLayout w:type="fixed"/>
        <w:tblCellMar>
          <w:top w:w="0" w:type="dxa"/>
          <w:left w:w="0" w:type="dxa"/>
          <w:bottom w:w="0" w:type="dxa"/>
          <w:right w:w="0" w:type="dxa"/>
        </w:tblCellMar>
      </w:tblPr>
      <w:tblGrid>
        <w:gridCol w:w="2101"/>
        <w:gridCol w:w="3706"/>
      </w:tblGrid>
      <w:tr>
        <w:trPr/>
        <w:tc>
          <w:tcPr>
            <w:tcW w:w="21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Duncan Bates </w:t>
            </w:r>
          </w:p>
        </w:tc>
      </w:tr>
      <w:tr>
        <w:trPr/>
        <w:tc>
          <w:tcPr>
            <w:tcW w:w="2101"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Duncan Bates</w:t>
            </w:r>
          </w:p>
        </w:tc>
      </w:tr>
      <w:tr>
        <w:trPr/>
        <w:tc>
          <w:tcPr>
            <w:tcW w:w="2101"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right"/>
        <w:rPr>
          <w:rFonts w:ascii="Times New Roman;Times;serif" w:hAnsi="Times New Roman;Times;serif"/>
          <w:b/>
          <w:sz w:val="20"/>
        </w:rPr>
      </w:pPr>
      <w:bookmarkStart w:id="998" w:name="legh-20230930xex32d2.htm"/>
      <w:bookmarkStart w:id="999" w:name="kslegh20230930xex32d2"/>
      <w:bookmarkEnd w:id="998"/>
      <w:bookmarkEnd w:id="999"/>
      <w:r>
        <w:rPr>
          <w:rFonts w:ascii="Times New Roman;Times;serif" w:hAnsi="Times New Roman;Times;serif"/>
          <w:b/>
          <w:sz w:val="20"/>
        </w:rPr>
        <w:t>Exhibit 32.2</w:t>
      </w:r>
      <w:r>
        <w:br w:type="page"/>
      </w:r>
    </w:p>
    <w:p>
      <w:pPr>
        <w:pStyle w:val="TextBody"/>
        <w:bidi w:val="0"/>
        <w:spacing w:before="0" w:after="6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of Legacy Housing Corporation (the “Company”) on Form 10-Q for the quarter ended September 30, 2023, as filed with the Securities and Exchange Commission on the date hereof (the “Report”), I, Jeffrey Fiedelman, Chief Financial Officer of the Company, certify, pursuant to 18 U.S.C. §1350, as adopted pursuant to Section 906 of the Sarbanes-Oxley Act of 2002, that:</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and</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pPr>
      <w:r>
        <w:rPr/>
        <w:t>​</w:t>
      </w:r>
    </w:p>
    <w:tbl>
      <w:tblPr>
        <w:tblW w:w="4607" w:type="dxa"/>
        <w:jc w:val="center"/>
        <w:tblInd w:w="0" w:type="dxa"/>
        <w:tblLayout w:type="fixed"/>
        <w:tblCellMar>
          <w:top w:w="0" w:type="dxa"/>
          <w:left w:w="0" w:type="dxa"/>
          <w:bottom w:w="0" w:type="dxa"/>
          <w:right w:w="0" w:type="dxa"/>
        </w:tblCellMar>
      </w:tblPr>
      <w:tblGrid>
        <w:gridCol w:w="2101"/>
        <w:gridCol w:w="2506"/>
      </w:tblGrid>
      <w:tr>
        <w:trPr/>
        <w:tc>
          <w:tcPr>
            <w:tcW w:w="21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Jeffrey Fiedelman </w:t>
            </w:r>
          </w:p>
        </w:tc>
      </w:tr>
      <w:tr>
        <w:trPr/>
        <w:tc>
          <w:tcPr>
            <w:tcW w:w="2101"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Jeffrey Fiedelman</w:t>
            </w:r>
          </w:p>
        </w:tc>
      </w:tr>
      <w:tr>
        <w:trPr/>
        <w:tc>
          <w:tcPr>
            <w:tcW w:w="210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19141</Words>
  <Characters>102703</Characters>
  <CharactersWithSpaces>122941</CharactersWithSpaces>
  <Paragraphs>4765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