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77470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88265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1" w:lineRule="exact"/>
        <w:rPr>
          <w:sz w:val="24"/>
          <w:szCs w:val="24"/>
          <w:color w:val="auto"/>
        </w:rPr>
      </w:pPr>
    </w:p>
    <w:p>
      <w:pPr>
        <w:ind w:left="460" w:hanging="457"/>
        <w:spacing w:after="0" w:line="267" w:lineRule="auto"/>
        <w:tabs>
          <w:tab w:leader="none" w:pos="627"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-295275</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460" w:right="320" w:hanging="457"/>
        <w:spacing w:after="0" w:line="267" w:lineRule="auto"/>
        <w:tabs>
          <w:tab w:leader="none" w:pos="627"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-295275</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ind w:left="3780"/>
        <w:spacing w:after="0"/>
        <w:tabs>
          <w:tab w:leader="none" w:pos="63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9"/>
        <w:spacing w:after="0" w:line="184" w:lineRule="exact"/>
        <w:rPr>
          <w:sz w:val="20"/>
          <w:szCs w:val="20"/>
          <w:color w:val="auto"/>
        </w:rPr>
      </w:pPr>
      <w:r>
        <w:rPr>
          <w:rFonts w:ascii="Arial" w:cs="Arial" w:eastAsia="Arial" w:hAnsi="Arial"/>
          <w:sz w:val="16"/>
          <w:szCs w:val="16"/>
          <w:b w:val="1"/>
          <w:bCs w:val="1"/>
          <w:color w:val="auto"/>
        </w:rPr>
        <w:t>Commission file number 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88900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77470</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sectPr>
      </w:pPr>
    </w:p>
    <w:p>
      <w:pPr>
        <w:spacing w:after="0" w:line="365"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Texas</w:t>
      </w:r>
    </w:p>
    <w:p>
      <w:pPr>
        <w:spacing w:after="0" w:line="26" w:lineRule="exact"/>
        <w:rPr>
          <w:sz w:val="24"/>
          <w:szCs w:val="24"/>
          <w:color w:val="auto"/>
        </w:rPr>
      </w:pPr>
    </w:p>
    <w:p>
      <w:pPr>
        <w:ind w:left="166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2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1920"/>
        <w:spacing w:after="0" w:line="184" w:lineRule="exact"/>
        <w:rPr>
          <w:sz w:val="20"/>
          <w:szCs w:val="20"/>
          <w:color w:val="auto"/>
        </w:rPr>
      </w:pPr>
      <w:r>
        <w:rPr>
          <w:rFonts w:ascii="Arial" w:cs="Arial" w:eastAsia="Arial" w:hAnsi="Arial"/>
          <w:sz w:val="16"/>
          <w:szCs w:val="16"/>
          <w:b w:val="1"/>
          <w:bCs w:val="1"/>
          <w:color w:val="auto"/>
        </w:rPr>
        <w:t>20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2897516</w:t>
      </w:r>
    </w:p>
    <w:p>
      <w:pPr>
        <w:spacing w:after="0" w:line="26"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400" w:space="720"/>
            <w:col w:w="3120"/>
          </w:cols>
          <w:pgMar w:left="820" w:top="233" w:right="8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10240"/>
          </w:cols>
          <w:pgMar w:left="820" w:top="233" w:right="839" w:bottom="1440" w:gutter="0" w:footer="0" w:header="0"/>
          <w:type w:val="continuous"/>
        </w:sectPr>
      </w:pPr>
    </w:p>
    <w:p>
      <w:pPr>
        <w:spacing w:after="0" w:line="119" w:lineRule="exact"/>
        <w:rPr>
          <w:sz w:val="24"/>
          <w:szCs w:val="24"/>
          <w:color w:val="auto"/>
        </w:rPr>
      </w:pPr>
    </w:p>
    <w:p>
      <w:pPr>
        <w:jc w:val="center"/>
        <w:ind w:right="-19"/>
        <w:spacing w:after="0" w:line="184" w:lineRule="exact"/>
        <w:rPr>
          <w:sz w:val="20"/>
          <w:szCs w:val="20"/>
          <w:color w:val="auto"/>
        </w:rPr>
      </w:pPr>
      <w:r>
        <w:rPr>
          <w:rFonts w:ascii="Arial" w:cs="Arial" w:eastAsia="Arial" w:hAnsi="Arial"/>
          <w:sz w:val="16"/>
          <w:szCs w:val="16"/>
          <w:b w:val="1"/>
          <w:bCs w:val="1"/>
          <w:color w:val="auto"/>
        </w:rPr>
        <w:t>(817) 799</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4900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84455</wp:posOffset>
            </wp:positionV>
            <wp:extent cx="162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4" w:lineRule="exact"/>
        <w:rPr>
          <w:sz w:val="24"/>
          <w:szCs w:val="24"/>
          <w:color w:val="auto"/>
        </w:rPr>
      </w:pPr>
    </w:p>
    <w:p>
      <w:pPr>
        <w:ind w:right="3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4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10240"/>
          </w:cols>
          <w:pgMar w:left="820" w:top="233" w:right="839" w:bottom="1440" w:gutter="0" w:footer="0" w:header="0"/>
          <w:type w:val="continuous"/>
        </w:sectPr>
      </w:pPr>
    </w:p>
    <w:p>
      <w:pPr>
        <w:spacing w:after="0" w:line="22" w:lineRule="exact"/>
        <w:rPr>
          <w:sz w:val="24"/>
          <w:szCs w:val="24"/>
          <w:color w:val="auto"/>
        </w:rPr>
      </w:pPr>
    </w:p>
    <w:p>
      <w:pPr>
        <w:ind w:left="17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560" w:space="720"/>
            <w:col w:w="2960"/>
          </w:cols>
          <w:pgMar w:left="820" w:top="233" w:right="839" w:bottom="1440" w:gutter="0" w:footer="0" w:header="0"/>
          <w:type w:val="continuous"/>
        </w:sectPr>
      </w:pPr>
    </w:p>
    <w:p>
      <w:pPr>
        <w:spacing w:after="0" w:line="44" w:lineRule="exact"/>
        <w:rPr>
          <w:sz w:val="24"/>
          <w:szCs w:val="24"/>
          <w:color w:val="auto"/>
        </w:rPr>
      </w:pPr>
    </w:p>
    <w:p>
      <w:pPr>
        <w:ind w:left="17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220" w:space="720"/>
            <w:col w:w="3300"/>
          </w:cols>
          <w:pgMar w:left="820" w:top="233" w:right="839" w:bottom="1440" w:gutter="0" w:footer="0" w:header="0"/>
          <w:type w:val="continuous"/>
        </w:sectPr>
      </w:pPr>
    </w:p>
    <w:p>
      <w:pPr>
        <w:spacing w:after="0" w:line="3" w:lineRule="exact"/>
        <w:rPr>
          <w:sz w:val="24"/>
          <w:szCs w:val="24"/>
          <w:color w:val="auto"/>
        </w:rPr>
      </w:pPr>
    </w:p>
    <w:p>
      <w:pPr>
        <w:ind w:right="10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3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Trading Symbol</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($0.001 par value)</w:t>
            </w:r>
          </w:p>
        </w:tc>
        <w:tc>
          <w:tcPr>
            <w:tcW w:w="200" w:type="dxa"/>
            <w:vAlign w:val="bottom"/>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LEGH</w:t>
            </w:r>
          </w:p>
        </w:tc>
        <w:tc>
          <w:tcPr>
            <w:tcW w:w="18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1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There were 24,764,206 shares of Common Stock ($0.001 par value) outstanding as of May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112395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686435</wp:posOffset>
            </wp:positionV>
            <wp:extent cx="64979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20"/>
        </w:trPr>
        <w:tc>
          <w:tcPr>
            <w:tcW w:w="7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9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5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960" w:type="dxa"/>
            <w:vAlign w:val="bottom"/>
            <w:gridSpan w:val="2"/>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960" w:type="dxa"/>
            <w:vAlign w:val="bottom"/>
            <w:gridSpan w:val="2"/>
          </w:tcPr>
          <w:p>
            <w:pPr>
              <w:ind w:left="240"/>
              <w:spacing w:after="0"/>
              <w:rPr>
                <w:rFonts w:ascii="Arial" w:cs="Arial" w:eastAsia="Arial" w:hAnsi="Arial"/>
                <w:sz w:val="18"/>
                <w:szCs w:val="18"/>
                <w:u w:val="single" w:color="auto"/>
                <w:color w:val="0000EE"/>
                <w:w w:val="98"/>
              </w:rPr>
            </w:pPr>
            <w:hyperlink w:anchor="page23">
              <w:r>
                <w:rPr>
                  <w:rFonts w:ascii="Arial" w:cs="Arial" w:eastAsia="Arial" w:hAnsi="Arial"/>
                  <w:sz w:val="18"/>
                  <w:szCs w:val="18"/>
                  <w:u w:val="single" w:color="auto"/>
                  <w:color w:val="0000EE"/>
                  <w:w w:val="98"/>
                </w:rPr>
                <w:t>Item 2.   Management’s Discussion and Analysis of Financial Condition and Results of Operations</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7960" w:type="dxa"/>
            <w:vAlign w:val="bottom"/>
            <w:gridSpan w:val="2"/>
          </w:tcPr>
          <w:p>
            <w:pPr>
              <w:ind w:left="2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3.   Quantitative and Qualitative Disclosures About Market Risk</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7960" w:type="dxa"/>
            <w:vAlign w:val="bottom"/>
            <w:gridSpan w:val="2"/>
          </w:tcPr>
          <w:p>
            <w:pPr>
              <w:ind w:left="2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4.   Controls and Procedures</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796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PART II - OTHER INFORMATION</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860" w:type="dxa"/>
            <w:vAlign w:val="bottom"/>
          </w:tcPr>
          <w:p>
            <w:pPr>
              <w:ind w:left="2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w:t>
              </w:r>
            </w:hyperlink>
          </w:p>
        </w:tc>
        <w:tc>
          <w:tcPr>
            <w:tcW w:w="7100" w:type="dxa"/>
            <w:vAlign w:val="bottom"/>
          </w:tcPr>
          <w:p>
            <w:pPr>
              <w:ind w:left="1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7960" w:type="dxa"/>
            <w:vAlign w:val="bottom"/>
            <w:gridSpan w:val="2"/>
          </w:tcPr>
          <w:p>
            <w:pPr>
              <w:ind w:left="2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   Unregistered Sales of Equity Securities and Use of Proceeds</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7960" w:type="dxa"/>
            <w:vAlign w:val="bottom"/>
            <w:gridSpan w:val="2"/>
          </w:tcPr>
          <w:p>
            <w:pPr>
              <w:ind w:left="2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   Defaults Upon Senior Securities</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860" w:type="dxa"/>
            <w:vAlign w:val="bottom"/>
          </w:tcPr>
          <w:p>
            <w:pPr>
              <w:ind w:left="2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w:t>
              </w:r>
            </w:hyperlink>
          </w:p>
        </w:tc>
        <w:tc>
          <w:tcPr>
            <w:tcW w:w="710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Mine Safety Disclosures</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860" w:type="dxa"/>
            <w:vAlign w:val="bottom"/>
          </w:tcPr>
          <w:p>
            <w:pPr>
              <w:ind w:left="2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5.</w:t>
              </w:r>
            </w:hyperlink>
          </w:p>
        </w:tc>
        <w:tc>
          <w:tcPr>
            <w:tcW w:w="710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Information</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860" w:type="dxa"/>
            <w:vAlign w:val="bottom"/>
          </w:tcPr>
          <w:p>
            <w:pPr>
              <w:ind w:left="2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6.</w:t>
              </w:r>
            </w:hyperlink>
          </w:p>
        </w:tc>
        <w:tc>
          <w:tcPr>
            <w:tcW w:w="710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Exhibits</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7960" w:type="dxa"/>
            <w:vAlign w:val="bottom"/>
            <w:gridSpan w:val="2"/>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SIGNATURES</w:t>
              </w:r>
            </w:hyperlink>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1856"/>
        </w:trPr>
        <w:tc>
          <w:tcPr>
            <w:tcW w:w="8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 (in thousands, except share and per share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r>
      <w:tr>
        <w:trPr>
          <w:trHeight w:val="196"/>
        </w:trPr>
        <w:tc>
          <w:tcPr>
            <w:tcW w:w="6700" w:type="dxa"/>
            <w:vAlign w:val="bottom"/>
            <w:shd w:val="clear" w:color="auto" w:fill="CCEEFF"/>
          </w:tcPr>
          <w:p>
            <w:pPr>
              <w:ind w:left="302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rPr>
              <w:t>Accounts receivable, net of allowance for doubtful accounts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1,767</w:t>
            </w: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consumer loans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w:t>
            </w: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rPr>
              <w:t>Current portion of notes receivable from mobile home parks (“MHP”)</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10,969</w:t>
            </w: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other notes receivable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31,523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27,228</w:t>
            </w: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3,429</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4,857</w:t>
            </w:r>
          </w:p>
        </w:tc>
      </w:tr>
      <w:tr>
        <w:trPr>
          <w:trHeight w:val="196"/>
        </w:trPr>
        <w:tc>
          <w:tcPr>
            <w:tcW w:w="670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57,977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52,967</w:t>
            </w: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21,038</w:t>
            </w:r>
          </w:p>
        </w:tc>
      </w:tr>
      <w:tr>
        <w:trPr>
          <w:trHeight w:val="203"/>
        </w:trPr>
        <w:tc>
          <w:tcPr>
            <w:tcW w:w="6700" w:type="dxa"/>
            <w:vAlign w:val="bottom"/>
          </w:tcPr>
          <w:p>
            <w:pPr>
              <w:spacing w:after="0"/>
              <w:rPr>
                <w:sz w:val="20"/>
                <w:szCs w:val="20"/>
                <w:color w:val="auto"/>
              </w:rPr>
            </w:pPr>
            <w:r>
              <w:rPr>
                <w:rFonts w:ascii="Arial" w:cs="Arial" w:eastAsia="Arial" w:hAnsi="Arial"/>
                <w:sz w:val="17"/>
                <w:szCs w:val="17"/>
                <w:color w:val="auto"/>
              </w:rPr>
              <w:t>Consumer loans, net of deferred financing fees and allowance for loan losses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99,448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99,048</w:t>
            </w: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Notes receivable from mobile home parks (“MHP”)</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93,827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81,375</w:t>
            </w:r>
          </w:p>
        </w:tc>
      </w:tr>
      <w:tr>
        <w:trPr>
          <w:trHeight w:val="203"/>
        </w:trPr>
        <w:tc>
          <w:tcPr>
            <w:tcW w:w="6700" w:type="dxa"/>
            <w:vAlign w:val="bottom"/>
          </w:tcPr>
          <w:p>
            <w:pPr>
              <w:spacing w:after="0"/>
              <w:rPr>
                <w:sz w:val="20"/>
                <w:szCs w:val="20"/>
                <w:color w:val="auto"/>
              </w:rPr>
            </w:pPr>
            <w:r>
              <w:rPr>
                <w:rFonts w:ascii="Arial" w:cs="Arial" w:eastAsia="Arial" w:hAnsi="Arial"/>
                <w:sz w:val="17"/>
                <w:szCs w:val="17"/>
                <w:color w:val="auto"/>
              </w:rPr>
              <w:t>Other notes receivable, net of allowance for loan losses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13,050</w:t>
            </w: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w:t>
            </w:r>
          </w:p>
        </w:tc>
      </w:tr>
      <w:tr>
        <w:trPr>
          <w:trHeight w:val="203"/>
        </w:trPr>
        <w:tc>
          <w:tcPr>
            <w:tcW w:w="6700" w:type="dxa"/>
            <w:vAlign w:val="bottom"/>
            <w:tcBorders>
              <w:bottom w:val="single" w:sz="8" w:color="CCEEFF"/>
            </w:tcBorders>
          </w:tcPr>
          <w:p>
            <w:pPr>
              <w:spacing w:after="0" w:line="196" w:lineRule="exact"/>
              <w:rPr>
                <w:sz w:val="20"/>
                <w:szCs w:val="20"/>
                <w:color w:val="auto"/>
              </w:rPr>
            </w:pPr>
            <w:r>
              <w:rPr>
                <w:rFonts w:ascii="Arial" w:cs="Arial" w:eastAsia="Arial" w:hAnsi="Arial"/>
                <w:sz w:val="17"/>
                <w:szCs w:val="17"/>
                <w:color w:val="auto"/>
              </w:rPr>
              <w:t>Inventory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11,930</w:t>
            </w:r>
          </w:p>
        </w:tc>
      </w:tr>
      <w:tr>
        <w:trPr>
          <w:trHeight w:val="216"/>
        </w:trPr>
        <w:tc>
          <w:tcPr>
            <w:tcW w:w="6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301,618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r>
      <w:tr>
        <w:trPr>
          <w:trHeight w:val="189"/>
        </w:trPr>
        <w:tc>
          <w:tcPr>
            <w:tcW w:w="6700" w:type="dxa"/>
            <w:vAlign w:val="bottom"/>
          </w:tcPr>
          <w:p>
            <w:pPr>
              <w:ind w:left="1940"/>
              <w:spacing w:after="0" w:line="189" w:lineRule="exact"/>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3,464</w:t>
            </w:r>
          </w:p>
        </w:tc>
        <w:tc>
          <w:tcPr>
            <w:tcW w:w="20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5,168</w:t>
            </w: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liabilities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8,808</w:t>
            </w: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rPr>
              <w:t>Customer deposits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2,228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1,567</w:t>
            </w: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Escrow liability</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w:t>
            </w: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rPr>
              <w:t>Line of credit</w:t>
            </w:r>
          </w:p>
        </w:tc>
        <w:tc>
          <w:tcPr>
            <w:tcW w:w="1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28,860</w:t>
            </w:r>
          </w:p>
        </w:tc>
      </w:tr>
      <w:tr>
        <w:trPr>
          <w:trHeight w:val="196"/>
        </w:trPr>
        <w:tc>
          <w:tcPr>
            <w:tcW w:w="6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24,474</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51,933</w:t>
            </w:r>
          </w:p>
        </w:tc>
      </w:tr>
      <w:tr>
        <w:trPr>
          <w:trHeight w:val="203"/>
        </w:trPr>
        <w:tc>
          <w:tcPr>
            <w:tcW w:w="6700" w:type="dxa"/>
            <w:vAlign w:val="bottom"/>
          </w:tcPr>
          <w:p>
            <w:pPr>
              <w:spacing w:after="0" w:line="196" w:lineRule="exact"/>
              <w:rPr>
                <w:sz w:val="20"/>
                <w:szCs w:val="20"/>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liabilities: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Lines of credit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39,027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1,766</w:t>
            </w: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Dealer incentive liability</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5,531</w:t>
            </w:r>
          </w:p>
        </w:tc>
      </w:tr>
      <w:tr>
        <w:trPr>
          <w:trHeight w:val="196"/>
        </w:trPr>
        <w:tc>
          <w:tcPr>
            <w:tcW w:w="6700" w:type="dxa"/>
            <w:vAlign w:val="bottom"/>
          </w:tcPr>
          <w:p>
            <w:pPr>
              <w:ind w:left="34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70,789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61,231</w:t>
            </w: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Commitments and contingencies (Note 12)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Preferred stock, $.001 par value, 10,000,000 shares authorized: issued -0-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85"/>
        </w:trPr>
        <w:tc>
          <w:tcPr>
            <w:tcW w:w="6700" w:type="dxa"/>
            <w:vAlign w:val="bottom"/>
          </w:tcPr>
          <w:p>
            <w:pPr>
              <w:ind w:left="120"/>
              <w:spacing w:after="0" w:line="185" w:lineRule="exact"/>
              <w:rPr>
                <w:sz w:val="20"/>
                <w:szCs w:val="20"/>
                <w:color w:val="auto"/>
              </w:rPr>
            </w:pPr>
            <w:r>
              <w:rPr>
                <w:rFonts w:ascii="Arial" w:cs="Arial" w:eastAsia="Arial" w:hAnsi="Arial"/>
                <w:sz w:val="17"/>
                <w:szCs w:val="17"/>
                <w:color w:val="auto"/>
                <w:w w:val="94"/>
              </w:rPr>
              <w:t>Common stock, $.001 par value, 90,000,000 shares authorized; 24,637,222 and 24,620,079</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w w:val="97"/>
              </w:rPr>
              <w:t>issued and 24,274,279 and 24,320,079 outstanding at March 31, 2020 and December 31,</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8"/>
        </w:trPr>
        <w:tc>
          <w:tcPr>
            <w:tcW w:w="6700" w:type="dxa"/>
            <w:vAlign w:val="bottom"/>
          </w:tcPr>
          <w:p>
            <w:pPr>
              <w:ind w:left="120"/>
              <w:spacing w:after="0"/>
              <w:rPr>
                <w:sz w:val="20"/>
                <w:szCs w:val="20"/>
                <w:color w:val="auto"/>
              </w:rPr>
            </w:pPr>
            <w:r>
              <w:rPr>
                <w:rFonts w:ascii="Arial" w:cs="Arial" w:eastAsia="Arial" w:hAnsi="Arial"/>
                <w:sz w:val="17"/>
                <w:szCs w:val="17"/>
                <w:color w:val="auto"/>
              </w:rPr>
              <w:t>2019, respectively</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187"/>
        </w:trPr>
        <w:tc>
          <w:tcPr>
            <w:tcW w:w="670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w w:val="96"/>
              </w:rPr>
              <w:t>Treasury stock at cost, 362,943 and 300,000 shares at March 31, 2020 and December 31,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2019, respectively</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(3,742)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(3,060)</w:t>
            </w:r>
          </w:p>
        </w:tc>
      </w:tr>
      <w:tr>
        <w:trPr>
          <w:trHeight w:val="203"/>
        </w:trPr>
        <w:tc>
          <w:tcPr>
            <w:tcW w:w="6700" w:type="dxa"/>
            <w:vAlign w:val="bottom"/>
          </w:tcPr>
          <w:p>
            <w:pPr>
              <w:ind w:left="120"/>
              <w:spacing w:after="0"/>
              <w:rPr>
                <w:sz w:val="20"/>
                <w:szCs w:val="20"/>
                <w:color w:val="auto"/>
              </w:rPr>
            </w:pPr>
            <w:r>
              <w:rPr>
                <w:rFonts w:ascii="Arial" w:cs="Arial" w:eastAsia="Arial" w:hAnsi="Arial"/>
                <w:sz w:val="17"/>
                <w:szCs w:val="17"/>
                <w:color w:val="auto"/>
              </w:rPr>
              <w:t>Additional paid-in-capital</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175,164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175,067</w:t>
            </w:r>
          </w:p>
        </w:tc>
      </w:tr>
      <w:tr>
        <w:trPr>
          <w:trHeight w:val="203"/>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59,382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50,357</w:t>
            </w:r>
          </w:p>
        </w:tc>
      </w:tr>
      <w:tr>
        <w:trPr>
          <w:trHeight w:val="196"/>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230,829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222,389</w:t>
            </w:r>
          </w:p>
        </w:tc>
      </w:tr>
      <w:tr>
        <w:trPr>
          <w:trHeight w:val="203"/>
        </w:trPr>
        <w:tc>
          <w:tcPr>
            <w:tcW w:w="6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301,618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42"/>
        </w:trPr>
        <w:tc>
          <w:tcPr>
            <w:tcW w:w="6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31,195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31,550</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60" w:type="dxa"/>
            <w:vAlign w:val="bottom"/>
            <w:tcBorders>
              <w:bottom w:val="single" w:sz="8" w:color="CCEEFF"/>
            </w:tcBorders>
          </w:tcPr>
          <w:p>
            <w:pPr>
              <w:spacing w:after="0"/>
              <w:rPr>
                <w:sz w:val="18"/>
                <w:szCs w:val="18"/>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37,954</w:t>
            </w:r>
          </w:p>
        </w:tc>
        <w:tc>
          <w:tcPr>
            <w:tcW w:w="60" w:type="dxa"/>
            <w:vAlign w:val="bottom"/>
            <w:shd w:val="clear" w:color="auto" w:fill="CCEEFF"/>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6,491</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9,368</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Gain on settlement, net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r>
      <w:tr>
        <w:trPr>
          <w:trHeight w:val="209"/>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CCEEFF"/>
            </w:tcBorders>
          </w:tcPr>
          <w:p>
            <w:pPr>
              <w:spacing w:after="0"/>
              <w:rPr>
                <w:sz w:val="18"/>
                <w:szCs w:val="18"/>
                <w:color w:val="auto"/>
              </w:rPr>
            </w:pPr>
          </w:p>
        </w:tc>
      </w:tr>
      <w:tr>
        <w:trPr>
          <w:trHeight w:val="209"/>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(2,008)</w:t>
            </w:r>
          </w:p>
        </w:tc>
      </w:tr>
      <w:tr>
        <w:trPr>
          <w:trHeight w:val="23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6660" w:type="dxa"/>
            <w:vAlign w:val="bottom"/>
          </w:tcPr>
          <w:p>
            <w:pPr>
              <w:spacing w:after="0" w:line="203" w:lineRule="exact"/>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24,319,328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24,516,762</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24,361,083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24,571,088</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9,025</w:t>
            </w:r>
          </w:p>
        </w:tc>
        <w:tc>
          <w:tcPr>
            <w:tcW w:w="22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7,213</w:t>
            </w: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loan loss—consumer loans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based payment expense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Consumer loans originations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(5,053)</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loans principal collections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Notes receivable MHP originations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(17,205)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(12,849)</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principal collections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Dealer incentive liability</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09"/>
        </w:trPr>
        <w:tc>
          <w:tcPr>
            <w:tcW w:w="6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Issuance of notes receivable</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(1,400)</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collections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Purchases of consumer loans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from purchased consumer loans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r>
      <w:tr>
        <w:trPr>
          <w:trHeight w:val="210"/>
        </w:trPr>
        <w:tc>
          <w:tcPr>
            <w:tcW w:w="65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Proceeds from sale of over-allotment common stock in initial public offering</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Offering cost for over-allotment of initial public offering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Treasury stock purchase</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Escrow liability, net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Principal payments on note payable</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lines of credit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Payments on lines of credit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(7,999)</w:t>
            </w:r>
          </w:p>
        </w:tc>
      </w:tr>
      <w:tr>
        <w:trPr>
          <w:trHeight w:val="210"/>
        </w:trPr>
        <w:tc>
          <w:tcPr>
            <w:tcW w:w="6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Borders>
              <w:top w:val="single" w:sz="8" w:color="CCEEFF"/>
            </w:tcBorders>
            <w:shd w:val="clear" w:color="auto" w:fill="CCEEFF"/>
          </w:tcPr>
          <w:p>
            <w:pPr>
              <w:spacing w:after="0"/>
              <w:rPr>
                <w:sz w:val="18"/>
                <w:szCs w:val="18"/>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40" w:type="dxa"/>
            <w:vAlign w:val="bottom"/>
            <w:shd w:val="clear" w:color="auto" w:fill="CCEEFF"/>
          </w:tcPr>
          <w:p>
            <w:pPr>
              <w:spacing w:after="0"/>
              <w:rPr>
                <w:sz w:val="18"/>
                <w:szCs w:val="18"/>
                <w:color w:val="auto"/>
              </w:rPr>
            </w:pP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40" w:type="dxa"/>
            <w:vAlign w:val="bottom"/>
            <w:tcBorders>
              <w:bottom w:val="single" w:sz="8" w:color="CCEEFF"/>
            </w:tcBorders>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9"/>
                <w:szCs w:val="19"/>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7"/>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3"/>
            <w:vMerge w:val="restart"/>
          </w:tcPr>
          <w:p>
            <w:pPr>
              <w:jc w:val="right"/>
              <w:ind w:right="104"/>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24,000,000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$ 167,743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21,513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$ 189,280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46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Sale of over-allotment common stock in initial public</w:t>
            </w: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offering, net of offering costs of $505</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600,000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6,694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6,695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5"/>
              </w:rPr>
              <w:t>Share based compensation expense and stock units vested</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7,213</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7,213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24,617,143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$ 174,671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$ 203,422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1"/>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5"/>
          </w:tcPr>
          <w:p>
            <w:pPr>
              <w:jc w:val="right"/>
              <w:ind w:right="64"/>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7"/>
              </w:rPr>
              <w:t>stock</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9"/>
              </w:rPr>
              <w:t>earnings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24,620,079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(3,060)</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175,067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$ 50,357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222,389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20"/>
              <w:spacing w:after="0" w:line="182" w:lineRule="exact"/>
              <w:rPr>
                <w:sz w:val="20"/>
                <w:szCs w:val="20"/>
                <w:color w:val="auto"/>
              </w:rPr>
            </w:pPr>
            <w:r>
              <w:rPr>
                <w:rFonts w:ascii="Arial" w:cs="Arial" w:eastAsia="Arial" w:hAnsi="Arial"/>
                <w:sz w:val="18"/>
                <w:szCs w:val="18"/>
                <w:color w:val="auto"/>
                <w:w w:val="92"/>
              </w:rPr>
              <w:t>Share based compensation expense and stock</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17,143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9,025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24,637,222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(3,742)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175,164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$ 59,382</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230,829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40" w:right="119" w:firstLine="713"/>
        <w:spacing w:after="0" w:line="259" w:lineRule="auto"/>
        <w:rPr>
          <w:sz w:val="20"/>
          <w:szCs w:val="20"/>
          <w:color w:val="auto"/>
        </w:rPr>
      </w:pPr>
      <w:r>
        <w:rPr>
          <w:rFonts w:ascii="Arial" w:cs="Arial" w:eastAsia="Arial" w:hAnsi="Arial"/>
          <w:sz w:val="18"/>
          <w:szCs w:val="18"/>
          <w:color w:val="auto"/>
        </w:rPr>
        <w:t>Legacy Housing Corporation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60" w:lineRule="exact"/>
        <w:rPr>
          <w:sz w:val="20"/>
          <w:szCs w:val="20"/>
          <w:color w:val="auto"/>
        </w:rPr>
      </w:pPr>
    </w:p>
    <w:p>
      <w:pPr>
        <w:ind w:left="40" w:right="79" w:firstLine="713"/>
        <w:spacing w:after="0" w:line="275" w:lineRule="auto"/>
        <w:rPr>
          <w:sz w:val="20"/>
          <w:szCs w:val="20"/>
          <w:color w:val="auto"/>
        </w:rPr>
      </w:pPr>
      <w:r>
        <w:rPr>
          <w:rFonts w:ascii="Arial" w:cs="Arial" w:eastAsia="Arial" w:hAnsi="Arial"/>
          <w:sz w:val="17"/>
          <w:szCs w:val="17"/>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36" w:lineRule="exact"/>
        <w:rPr>
          <w:sz w:val="20"/>
          <w:szCs w:val="20"/>
          <w:color w:val="auto"/>
        </w:rPr>
      </w:pPr>
    </w:p>
    <w:p>
      <w:pPr>
        <w:ind w:left="40" w:right="119" w:firstLine="713"/>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7" w:lineRule="exact"/>
        <w:rPr>
          <w:sz w:val="20"/>
          <w:szCs w:val="20"/>
          <w:color w:val="auto"/>
        </w:rPr>
      </w:pPr>
    </w:p>
    <w:p>
      <w:pPr>
        <w:ind w:left="40" w:right="79" w:firstLine="713"/>
        <w:spacing w:after="0" w:line="271"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During the first quarter of 2020, the Company purchased 62,943 shares of its common stock at an average price of $10.83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40" w:right="59" w:firstLine="713"/>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21"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unaudited interim condensed financial statements as of March 31, 2020 and for the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three months ended March 31, 2020 and 2019, respectively, have been prepared in accordance with accounting principles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generally accepted in the United States of America ("GAAP") for interim financial information and pursuant to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rules and regulations of the U.S. Securities and Exchange Commission ("SEC") as required by Regulation S-X, Rule 8-03.</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the opinion of management, the unaudited interim consolidated financial statements have been prepared on the same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basis as the audited financial statements, and include all adjustments, consisting only of normal recurring adjustments,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necessary for the fair statement of the Company's financial position for the periods presented. The results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71" w:lineRule="exact"/>
        <w:rPr>
          <w:sz w:val="20"/>
          <w:szCs w:val="20"/>
          <w:color w:val="auto"/>
        </w:rPr>
      </w:pPr>
    </w:p>
    <w:p>
      <w:pPr>
        <w:ind w:left="40" w:right="259"/>
        <w:spacing w:after="0" w:line="273" w:lineRule="auto"/>
        <w:rPr>
          <w:sz w:val="20"/>
          <w:szCs w:val="20"/>
          <w:color w:val="auto"/>
        </w:rPr>
      </w:pPr>
      <w:r>
        <w:rPr>
          <w:rFonts w:ascii="Arial" w:cs="Arial" w:eastAsia="Arial" w:hAnsi="Arial"/>
          <w:sz w:val="17"/>
          <w:szCs w:val="17"/>
          <w:color w:val="auto"/>
        </w:rPr>
        <w:t>for the three months ended March 31, 2020 are not necessarily indicative of the results to be expected for the year ending December 31, 2020, or any other period. The accompanying consolidated balance sheet as of December 31, 2019 was derived from audited financial statements included in the Company's annual report on Form 10-K for the year ended December 31, 2019 (the "Form 10-K"). The accompanying consolidated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consumer loans and notes receivable, inventory obsolescence, income taxes, fair value of financial instruments and contingent liabilities. Actual results could differ from these estimates.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primarily consist of sales of mobile homes to consumers and mobile home parks through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in paid in cash.</w:t>
      </w:r>
    </w:p>
    <w:p>
      <w:pPr>
        <w:spacing w:after="0" w:line="181"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Revenue from product sales is recognized at a point in time when the performance obligation under the terms of a contract with our customers is satisfied which typically occurs upon delivery and transfer of title of the home, as this 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92" w:lineRule="exact"/>
        <w:rPr>
          <w:sz w:val="20"/>
          <w:szCs w:val="20"/>
          <w:color w:val="auto"/>
        </w:rPr>
      </w:pPr>
    </w:p>
    <w:p>
      <w:pPr>
        <w:ind w:left="40" w:right="49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71" w:lineRule="exact"/>
        <w:rPr>
          <w:sz w:val="20"/>
          <w:szCs w:val="20"/>
          <w:color w:val="auto"/>
        </w:rPr>
      </w:pPr>
    </w:p>
    <w:p>
      <w:pPr>
        <w:ind w:left="40" w:right="699" w:firstLine="648"/>
        <w:spacing w:after="0" w:line="277" w:lineRule="auto"/>
        <w:rPr>
          <w:sz w:val="20"/>
          <w:szCs w:val="20"/>
          <w:color w:val="auto"/>
        </w:rPr>
      </w:pPr>
      <w:r>
        <w:rPr>
          <w:rFonts w:ascii="Arial" w:cs="Arial" w:eastAsia="Arial" w:hAnsi="Arial"/>
          <w:sz w:val="18"/>
          <w:szCs w:val="18"/>
          <w:color w:val="auto"/>
        </w:rPr>
        <w:t>For the three months ended March 31, 2020 and 2019, sales to an independent third-party and its affiliates accounted for $11,986 or 37.2% and $4,803 or 15.9% of our product sales, respectively.</w:t>
      </w:r>
    </w:p>
    <w:p>
      <w:pPr>
        <w:spacing w:after="0" w:line="116" w:lineRule="exact"/>
        <w:rPr>
          <w:sz w:val="20"/>
          <w:szCs w:val="20"/>
          <w:color w:val="auto"/>
        </w:rPr>
      </w:pPr>
    </w:p>
    <w:p>
      <w:pPr>
        <w:ind w:left="40" w:right="279" w:firstLine="648"/>
        <w:spacing w:after="0" w:line="263" w:lineRule="auto"/>
        <w:rPr>
          <w:sz w:val="20"/>
          <w:szCs w:val="20"/>
          <w:color w:val="auto"/>
        </w:rPr>
      </w:pPr>
      <w:r>
        <w:rPr>
          <w:rFonts w:ascii="Arial" w:cs="Arial" w:eastAsia="Arial" w:hAnsi="Arial"/>
          <w:sz w:val="18"/>
          <w:szCs w:val="18"/>
          <w:color w:val="auto"/>
        </w:rPr>
        <w:t>For the three months ended March 31, 2020 and 2019, total cost of product sales included $4,907 and $4,327 of costs, mainly relating to up front dealer commission and reimbursed dealer expenses for consignment sales and certain other similar costs incurred for retail store and commercial sales.</w:t>
      </w:r>
    </w:p>
    <w:p>
      <w:pPr>
        <w:spacing w:after="0" w:line="130"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service fees and other miscellaneous income. Consignment fees are</w:t>
      </w:r>
      <w:r>
        <w:rPr>
          <w:rFonts w:ascii="Arial" w:cs="Arial" w:eastAsia="Arial" w:hAnsi="Arial"/>
          <w:sz w:val="17"/>
          <w:szCs w:val="17"/>
          <w:i w:val="1"/>
          <w:iCs w:val="1"/>
          <w:color w:val="auto"/>
        </w:rPr>
        <w:t xml:space="preserve"> </w:t>
      </w:r>
      <w:r>
        <w:rPr>
          <w:rFonts w:ascii="Arial" w:cs="Arial" w:eastAsia="Arial" w:hAnsi="Arial"/>
          <w:sz w:val="17"/>
          <w:szCs w:val="17"/>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520" w:right="160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71"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three months ended March 31, 2020 and 2019:</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w:t>
            </w:r>
          </w:p>
        </w:tc>
      </w:tr>
      <w:tr>
        <w:trPr>
          <w:trHeight w:val="215"/>
        </w:trPr>
        <w:tc>
          <w:tcPr>
            <w:tcW w:w="4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8"/>
                <w:szCs w:val="18"/>
                <w:color w:val="auto"/>
              </w:rPr>
            </w:pPr>
          </w:p>
        </w:tc>
      </w:tr>
      <w:tr>
        <w:trPr>
          <w:trHeight w:val="209"/>
        </w:trPr>
        <w:tc>
          <w:tcPr>
            <w:tcW w:w="4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22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4880" w:type="dxa"/>
            <w:vAlign w:val="bottom"/>
          </w:tcPr>
          <w:p>
            <w:pPr>
              <w:ind w:left="100"/>
              <w:spacing w:after="0"/>
              <w:rPr>
                <w:sz w:val="20"/>
                <w:szCs w:val="20"/>
                <w:color w:val="auto"/>
              </w:rPr>
            </w:pPr>
            <w:r>
              <w:rPr>
                <w:rFonts w:ascii="Arial" w:cs="Arial" w:eastAsia="Arial" w:hAnsi="Arial"/>
                <w:sz w:val="18"/>
                <w:szCs w:val="18"/>
                <w:color w:val="auto"/>
              </w:rPr>
              <w:t>Direct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2,225</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4,457</w:t>
            </w:r>
          </w:p>
        </w:tc>
      </w:tr>
      <w:tr>
        <w:trPr>
          <w:trHeight w:val="229"/>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sales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r>
      <w:tr>
        <w:trPr>
          <w:trHeight w:val="230"/>
        </w:trPr>
        <w:tc>
          <w:tcPr>
            <w:tcW w:w="4880" w:type="dxa"/>
            <w:vAlign w:val="bottom"/>
          </w:tcPr>
          <w:p>
            <w:pPr>
              <w:ind w:left="100"/>
              <w:spacing w:after="0"/>
              <w:rPr>
                <w:sz w:val="20"/>
                <w:szCs w:val="20"/>
                <w:color w:val="auto"/>
              </w:rPr>
            </w:pPr>
            <w:r>
              <w:rPr>
                <w:rFonts w:ascii="Arial" w:cs="Arial" w:eastAsia="Arial" w:hAnsi="Arial"/>
                <w:sz w:val="18"/>
                <w:szCs w:val="18"/>
                <w:color w:val="auto"/>
              </w:rPr>
              <w:t>Consignment 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8,840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10,037</w:t>
            </w:r>
          </w:p>
        </w:tc>
      </w:tr>
      <w:tr>
        <w:trPr>
          <w:trHeight w:val="229"/>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store sales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30"/>
        </w:trPr>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31,550</w:t>
            </w:r>
          </w:p>
        </w:tc>
      </w:tr>
      <w:tr>
        <w:trPr>
          <w:trHeight w:val="209"/>
        </w:trPr>
        <w:tc>
          <w:tcPr>
            <w:tcW w:w="488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 consumer installment notes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r>
      <w:tr>
        <w:trPr>
          <w:trHeight w:val="229"/>
        </w:trPr>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 MHP notes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r>
      <w:tr>
        <w:trPr>
          <w:trHeight w:val="21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17"/>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38,273</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37,954</w:t>
            </w: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 Other product sales revenue from ancillary products and services including parts, freight and other services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expense is recognized based on the award’s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47" w:lineRule="exact"/>
        <w:rPr>
          <w:sz w:val="20"/>
          <w:szCs w:val="20"/>
          <w:color w:val="auto"/>
        </w:rPr>
      </w:pPr>
    </w:p>
    <w:p>
      <w:pPr>
        <w:jc w:val="both"/>
        <w:ind w:left="40" w:right="599" w:firstLine="648"/>
        <w:spacing w:after="0" w:line="263" w:lineRule="auto"/>
        <w:rPr>
          <w:sz w:val="20"/>
          <w:szCs w:val="20"/>
          <w:color w:val="auto"/>
        </w:rPr>
      </w:pPr>
      <w:r>
        <w:rPr>
          <w:rFonts w:ascii="Arial" w:cs="Arial" w:eastAsia="Arial" w:hAnsi="Arial"/>
          <w:sz w:val="18"/>
          <w:szCs w:val="18"/>
          <w:color w:val="auto"/>
        </w:rPr>
        <w:t>The fair value of each option grant with only service-based conditions is estimated using the Black-Scholes pricing model. The fair value of each restricted stock unit (the”RSU”) is calculated based on the closing price of the Company’s common stock on the grant date.</w:t>
      </w:r>
    </w:p>
    <w:p>
      <w:pPr>
        <w:spacing w:after="0" w:line="157" w:lineRule="exact"/>
        <w:rPr>
          <w:sz w:val="20"/>
          <w:szCs w:val="20"/>
          <w:color w:val="auto"/>
        </w:rPr>
      </w:pPr>
    </w:p>
    <w:p>
      <w:pPr>
        <w:ind w:left="40" w:right="139" w:firstLine="648"/>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Included in accounts receivable are receivables from direct sales of mobile homes and sales of parts and supplies to customers, consignment fees and interest receivables.</w:t>
      </w:r>
    </w:p>
    <w:p>
      <w:pPr>
        <w:spacing w:after="0" w:line="130" w:lineRule="exact"/>
        <w:rPr>
          <w:sz w:val="20"/>
          <w:szCs w:val="20"/>
          <w:color w:val="auto"/>
        </w:rPr>
      </w:pPr>
    </w:p>
    <w:p>
      <w:pPr>
        <w:ind w:left="40" w:right="159" w:firstLine="648"/>
        <w:spacing w:after="0" w:line="273" w:lineRule="auto"/>
        <w:rPr>
          <w:sz w:val="20"/>
          <w:szCs w:val="20"/>
          <w:color w:val="auto"/>
        </w:rPr>
      </w:pPr>
      <w:r>
        <w:rPr>
          <w:rFonts w:ascii="Arial" w:cs="Arial" w:eastAsia="Arial" w:hAnsi="Arial"/>
          <w:sz w:val="17"/>
          <w:szCs w:val="17"/>
          <w:color w:val="auto"/>
        </w:rPr>
        <w:t>Accounts receivables are generally due within 30 days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March 31, 2020 and December 31, 2019, the allowance for doubtful accounts totaled $572 and $457, respectively.</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40" w:right="259" w:firstLine="648"/>
        <w:spacing w:after="0" w:line="223" w:lineRule="exact"/>
        <w:rPr>
          <w:sz w:val="20"/>
          <w:szCs w:val="20"/>
          <w:color w:val="auto"/>
        </w:rPr>
      </w:pPr>
      <w:r>
        <w:rPr>
          <w:rFonts w:ascii="Arial" w:cs="Arial" w:eastAsia="Arial" w:hAnsi="Arial"/>
          <w:sz w:val="18"/>
          <w:szCs w:val="18"/>
          <w:color w:val="auto"/>
        </w:rPr>
        <w:t>The Company has elected to use longer phase</w:t>
      </w:r>
      <w:r>
        <w:rPr>
          <w:rFonts w:ascii="MS PGothic" w:cs="MS PGothic" w:eastAsia="MS PGothic" w:hAnsi="MS PGothic"/>
          <w:sz w:val="18"/>
          <w:szCs w:val="18"/>
          <w:color w:val="auto"/>
        </w:rPr>
        <w:t>‑</w:t>
      </w:r>
      <w:r>
        <w:rPr>
          <w:rFonts w:ascii="Arial" w:cs="Arial" w:eastAsia="Arial" w:hAnsi="Arial"/>
          <w:sz w:val="18"/>
          <w:szCs w:val="18"/>
          <w:color w:val="auto"/>
        </w:rPr>
        <w:t>in periods for the adoption of new or revised financial accounting standards under the JOBS Act as an emerging growth company.</w:t>
      </w:r>
    </w:p>
    <w:p>
      <w:pPr>
        <w:spacing w:after="0" w:line="162"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w:t>
      </w:r>
      <w:r>
        <w:rPr>
          <w:rFonts w:ascii="MS PGothic" w:cs="MS PGothic" w:eastAsia="MS PGothic" w:hAnsi="MS PGothic"/>
          <w:sz w:val="16"/>
          <w:szCs w:val="16"/>
          <w:color w:val="auto"/>
        </w:rPr>
        <w:t>‑</w:t>
      </w:r>
      <w:r>
        <w:rPr>
          <w:rFonts w:ascii="Arial" w:cs="Arial" w:eastAsia="Arial" w:hAnsi="Arial"/>
          <w:sz w:val="16"/>
          <w:szCs w:val="16"/>
          <w:color w:val="auto"/>
        </w:rPr>
        <w:t>in period for adoption and accordingly this ASU is effective for the Company’s fiscal year beginning January 1, 2021.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64"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In June 2016, the FASB issued an accounting standards update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amends guidance on reporting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w:t>
      </w:r>
      <w:r>
        <w:rPr>
          <w:rFonts w:ascii="MS PGothic" w:cs="MS PGothic" w:eastAsia="MS PGothic" w:hAnsi="MS PGothic"/>
          <w:sz w:val="16"/>
          <w:szCs w:val="16"/>
          <w:color w:val="auto"/>
        </w:rPr>
        <w:t>‑</w:t>
      </w:r>
      <w:r>
        <w:rPr>
          <w:rFonts w:ascii="Arial" w:cs="Arial" w:eastAsia="Arial" w:hAnsi="Arial"/>
          <w:sz w:val="16"/>
          <w:szCs w:val="16"/>
          <w:color w:val="auto"/>
        </w:rPr>
        <w:t>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w:t>
      </w:r>
      <w:r>
        <w:rPr>
          <w:rFonts w:ascii="MS PGothic" w:cs="MS PGothic" w:eastAsia="MS PGothic" w:hAnsi="MS PGothic"/>
          <w:sz w:val="16"/>
          <w:szCs w:val="16"/>
          <w:color w:val="auto"/>
        </w:rPr>
        <w:t>‑</w:t>
      </w:r>
      <w:r>
        <w:rPr>
          <w:rFonts w:ascii="Arial" w:cs="Arial" w:eastAsia="Arial" w:hAnsi="Arial"/>
          <w:sz w:val="16"/>
          <w:szCs w:val="16"/>
          <w:color w:val="auto"/>
        </w:rPr>
        <w:t>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76" w:lineRule="exact"/>
        <w:rPr>
          <w:sz w:val="20"/>
          <w:szCs w:val="20"/>
          <w:color w:val="auto"/>
        </w:rPr>
      </w:pPr>
    </w:p>
    <w:p>
      <w:pPr>
        <w:ind w:left="40" w:right="23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CONSUMER LOANS RECEIVABLE</w:t>
      </w:r>
    </w:p>
    <w:p>
      <w:pPr>
        <w:spacing w:after="0" w:line="202" w:lineRule="exact"/>
        <w:rPr>
          <w:sz w:val="20"/>
          <w:szCs w:val="20"/>
          <w:color w:val="auto"/>
        </w:rPr>
      </w:pPr>
    </w:p>
    <w:p>
      <w:pPr>
        <w:jc w:val="both"/>
        <w:ind w:left="40" w:right="79" w:firstLine="648"/>
        <w:spacing w:after="0" w:line="296" w:lineRule="auto"/>
        <w:rPr>
          <w:sz w:val="20"/>
          <w:szCs w:val="20"/>
          <w:color w:val="auto"/>
        </w:rPr>
      </w:pPr>
      <w:r>
        <w:rPr>
          <w:rFonts w:ascii="Arial" w:cs="Arial" w:eastAsia="Arial" w:hAnsi="Arial"/>
          <w:sz w:val="16"/>
          <w:szCs w:val="16"/>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14.0% as of March 31, 2020 and December 31, 2019. Consumer loans receivable have maturities that range from 5 to 25 years.</w:t>
      </w:r>
    </w:p>
    <w:p>
      <w:pPr>
        <w:spacing w:after="0" w:line="121" w:lineRule="exact"/>
        <w:rPr>
          <w:sz w:val="20"/>
          <w:szCs w:val="20"/>
          <w:color w:val="auto"/>
        </w:rPr>
      </w:pPr>
    </w:p>
    <w:p>
      <w:pPr>
        <w:ind w:left="40" w:right="339" w:firstLine="648"/>
        <w:spacing w:after="0" w:line="263" w:lineRule="auto"/>
        <w:rPr>
          <w:sz w:val="20"/>
          <w:szCs w:val="20"/>
          <w:color w:val="auto"/>
        </w:rPr>
      </w:pPr>
      <w:r>
        <w:rPr>
          <w:rFonts w:ascii="Arial" w:cs="Arial" w:eastAsia="Arial" w:hAnsi="Arial"/>
          <w:sz w:val="18"/>
          <w:szCs w:val="18"/>
          <w:color w:val="auto"/>
        </w:rPr>
        <w:t>Loan applications go through an underwriting process that considers credit history to evaluate credit risk of the consumer. Interest rates on approved loans are determined based on consumer credit score, payment ability and down payment amount.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210" w:lineRule="exact"/>
        <w:rPr>
          <w:sz w:val="20"/>
          <w:szCs w:val="20"/>
          <w:color w:val="auto"/>
        </w:rPr>
      </w:pPr>
    </w:p>
    <w:p>
      <w:pPr>
        <w:ind w:left="40" w:right="239" w:firstLine="648"/>
        <w:spacing w:after="0" w:line="286" w:lineRule="auto"/>
        <w:rPr>
          <w:sz w:val="20"/>
          <w:szCs w:val="20"/>
          <w:color w:val="auto"/>
        </w:rPr>
      </w:pPr>
      <w:r>
        <w:rPr>
          <w:rFonts w:ascii="Arial" w:cs="Arial" w:eastAsia="Arial" w:hAnsi="Arial"/>
          <w:sz w:val="17"/>
          <w:szCs w:val="17"/>
          <w:color w:val="auto"/>
        </w:rPr>
        <w:t>The Company may also receive escrow payments for property taxes and insurance included in its consumer loan collections. The liabilities associated with these escrow collections totaled $6,964 and $7,530 as of March 31, 2020 and December 31, 2019, respectively, and are included in escrow liability in the balance sheets.</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185"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30"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31" w:lineRule="exact"/>
        <w:rPr>
          <w:sz w:val="20"/>
          <w:szCs w:val="20"/>
          <w:color w:val="auto"/>
        </w:rPr>
      </w:pPr>
    </w:p>
    <w:p>
      <w:pPr>
        <w:ind w:left="40" w:right="219" w:firstLine="648"/>
        <w:spacing w:after="0" w:line="291" w:lineRule="auto"/>
        <w:rPr>
          <w:sz w:val="20"/>
          <w:szCs w:val="20"/>
          <w:color w:val="auto"/>
        </w:rPr>
      </w:pPr>
      <w:r>
        <w:rPr>
          <w:rFonts w:ascii="Arial" w:cs="Arial" w:eastAsia="Arial" w:hAnsi="Arial"/>
          <w:sz w:val="16"/>
          <w:szCs w:val="16"/>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26" w:lineRule="exact"/>
        <w:rPr>
          <w:sz w:val="20"/>
          <w:szCs w:val="20"/>
          <w:color w:val="auto"/>
        </w:rPr>
      </w:pPr>
    </w:p>
    <w:p>
      <w:pPr>
        <w:ind w:left="40" w:right="79" w:firstLine="648"/>
        <w:spacing w:after="0" w:line="284" w:lineRule="auto"/>
        <w:rPr>
          <w:sz w:val="20"/>
          <w:szCs w:val="20"/>
          <w:color w:val="auto"/>
        </w:rPr>
      </w:pPr>
      <w:r>
        <w:rPr>
          <w:rFonts w:ascii="Arial" w:cs="Arial" w:eastAsia="Arial" w:hAnsi="Arial"/>
          <w:sz w:val="16"/>
          <w:szCs w:val="16"/>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spacing w:after="0" w:line="4" w:lineRule="exact"/>
        <w:rPr>
          <w:sz w:val="20"/>
          <w:szCs w:val="20"/>
          <w:color w:val="auto"/>
        </w:rPr>
      </w:pPr>
    </w:p>
    <w:p>
      <w:pPr>
        <w:ind w:left="40" w:right="79" w:firstLine="4"/>
        <w:spacing w:after="0" w:line="255"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71"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color w:val="auto"/>
        </w:rPr>
        <w:t>the borrower has lived in the house without making payments; (6) location, size, and market conditions; and (7) the experience and expertise of the particular dealer assisting in collection efforts.</w:t>
      </w:r>
    </w:p>
    <w:p>
      <w:pPr>
        <w:spacing w:after="0" w:line="143"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w:t>
      </w:r>
      <w:r>
        <w:rPr>
          <w:rFonts w:ascii="MS PGothic" w:cs="MS PGothic" w:eastAsia="MS PGothic" w:hAnsi="MS PGothic"/>
          <w:sz w:val="18"/>
          <w:szCs w:val="18"/>
          <w:color w:val="auto"/>
        </w:rPr>
        <w:t>‑</w:t>
      </w:r>
      <w:r>
        <w:rPr>
          <w:rFonts w:ascii="Arial" w:cs="Arial" w:eastAsia="Arial" w:hAnsi="Arial"/>
          <w:sz w:val="18"/>
          <w:szCs w:val="18"/>
          <w:color w:val="auto"/>
        </w:rPr>
        <w:t>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$1,840 and $1,846 as of March 31, 2020 and December 31, 2019, respectively, and are included in other assets in the balance sheets.</w:t>
      </w:r>
    </w:p>
    <w:p>
      <w:pPr>
        <w:spacing w:after="0" w:line="166" w:lineRule="exact"/>
        <w:rPr>
          <w:sz w:val="20"/>
          <w:szCs w:val="20"/>
          <w:color w:val="auto"/>
        </w:rPr>
      </w:pPr>
    </w:p>
    <w:p>
      <w:pPr>
        <w:ind w:left="40" w:right="779" w:firstLine="648"/>
        <w:spacing w:after="0" w:line="277" w:lineRule="auto"/>
        <w:rPr>
          <w:sz w:val="20"/>
          <w:szCs w:val="20"/>
          <w:color w:val="auto"/>
        </w:rPr>
      </w:pPr>
      <w:r>
        <w:rPr>
          <w:rFonts w:ascii="Arial" w:cs="Arial" w:eastAsia="Arial" w:hAnsi="Arial"/>
          <w:sz w:val="18"/>
          <w:szCs w:val="18"/>
          <w:color w:val="auto"/>
        </w:rPr>
        <w:t>Consumer loans receivable, net of allowance for loan losses and deferred financing fees, consisted of the following:</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720" w:type="dxa"/>
            <w:vAlign w:val="bottom"/>
          </w:tcPr>
          <w:p>
            <w:pPr>
              <w:jc w:val="center"/>
              <w:ind w:right="96"/>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522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March 31,</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5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2019</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Loan discount and deferred financing fees, net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17"/>
        </w:trPr>
        <w:tc>
          <w:tcPr>
            <w:tcW w:w="5220" w:type="dxa"/>
            <w:vAlign w:val="bottom"/>
          </w:tcPr>
          <w:p>
            <w:pPr>
              <w:spacing w:after="0"/>
              <w:rPr>
                <w:sz w:val="20"/>
                <w:szCs w:val="20"/>
                <w:color w:val="auto"/>
              </w:rPr>
            </w:pPr>
            <w:r>
              <w:rPr>
                <w:rFonts w:ascii="Arial" w:cs="Arial" w:eastAsia="Arial" w:hAnsi="Arial"/>
                <w:sz w:val="18"/>
                <w:szCs w:val="18"/>
                <w:color w:val="auto"/>
              </w:rPr>
              <w:t>Consumer loans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105,586</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105,042</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a detail of the activity in the allowance for loan losses: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5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80" w:type="dxa"/>
            <w:vAlign w:val="bottom"/>
            <w:gridSpan w:val="2"/>
          </w:tcPr>
          <w:p>
            <w:pPr>
              <w:jc w:val="right"/>
              <w:ind w:right="370"/>
              <w:spacing w:after="0"/>
              <w:rPr>
                <w:sz w:val="20"/>
                <w:szCs w:val="20"/>
                <w:color w:val="auto"/>
              </w:rPr>
            </w:pPr>
            <w:r>
              <w:rPr>
                <w:rFonts w:ascii="Arial" w:cs="Arial" w:eastAsia="Arial" w:hAnsi="Arial"/>
                <w:sz w:val="18"/>
                <w:szCs w:val="18"/>
                <w:color w:val="auto"/>
              </w:rPr>
              <w:t>The impaired and general reserve for allowance for loan losses: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109,635</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109,005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allowance for loan losses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107,707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107,328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5680" w:type="dxa"/>
            <w:vAlign w:val="bottom"/>
            <w:gridSpan w:val="2"/>
          </w:tcPr>
          <w:p>
            <w:pPr>
              <w:jc w:val="right"/>
              <w:ind w:right="103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71"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As of March 31, 2020 and December 31, 2019, the total principal outstanding for consumer loans on nonaccrual status was $1,928 and $1,677, respectively. A detailed aging of consumer loans receivable that are past due as of March 31, 2020 and December 31, 2019 were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2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109,635</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109,005</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3" w:lineRule="exact"/>
              <w:rPr>
                <w:sz w:val="20"/>
                <w:szCs w:val="20"/>
                <w:color w:val="auto"/>
              </w:rPr>
            </w:pPr>
            <w:r>
              <w:rPr>
                <w:rFonts w:ascii="Arial" w:cs="Arial" w:eastAsia="Arial" w:hAnsi="Arial"/>
                <w:sz w:val="18"/>
                <w:szCs w:val="18"/>
                <w:color w:val="auto"/>
              </w:rPr>
              <w:t>Past due consumer loans: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31</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0" w:type="dxa"/>
            <w:vAlign w:val="bottom"/>
          </w:tcPr>
          <w:p>
            <w:pPr>
              <w:ind w:left="120"/>
              <w:spacing w:after="0"/>
              <w:rPr>
                <w:sz w:val="20"/>
                <w:szCs w:val="20"/>
                <w:color w:val="auto"/>
              </w:rPr>
            </w:pPr>
            <w:r>
              <w:rPr>
                <w:rFonts w:ascii="Arial" w:cs="Arial" w:eastAsia="Arial" w:hAnsi="Arial"/>
                <w:sz w:val="18"/>
                <w:szCs w:val="18"/>
                <w:color w:val="auto"/>
                <w:w w:val="89"/>
              </w:rPr>
              <w:t>61</w:t>
            </w:r>
          </w:p>
        </w:tc>
        <w:tc>
          <w:tcPr>
            <w:tcW w:w="310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91</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Greater than 120 days past due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NOTES RECEIVABLE FROM MOBILE HOME PARKS (“MHP Notes”)</w:t>
      </w:r>
    </w:p>
    <w:p>
      <w:pPr>
        <w:spacing w:after="0" w:line="189"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w:t>
      </w:r>
    </w:p>
    <w:p>
      <w:pPr>
        <w:spacing w:after="0" w:line="146"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45.7% and 38.3% of the principal balance outstanding, all of which was secured, as of March 31, 2020 and December 31, 2019, respectively.</w:t>
      </w:r>
    </w:p>
    <w:p>
      <w:pPr>
        <w:spacing w:after="0" w:line="157" w:lineRule="exact"/>
        <w:rPr>
          <w:sz w:val="20"/>
          <w:szCs w:val="20"/>
          <w:color w:val="auto"/>
        </w:rPr>
      </w:pPr>
    </w:p>
    <w:p>
      <w:pPr>
        <w:ind w:left="40" w:right="239" w:firstLine="648"/>
        <w:spacing w:after="0" w:line="259" w:lineRule="auto"/>
        <w:rPr>
          <w:sz w:val="20"/>
          <w:szCs w:val="20"/>
          <w:color w:val="auto"/>
        </w:rPr>
      </w:pPr>
      <w:r>
        <w:rPr>
          <w:rFonts w:ascii="Arial" w:cs="Arial" w:eastAsia="Arial" w:hAnsi="Arial"/>
          <w:sz w:val="18"/>
          <w:szCs w:val="18"/>
          <w:color w:val="auto"/>
        </w:rPr>
        <w:t>There were minimal past due balances on the MHP Notes as of March 31, 2020 and December 31, 2019 and no charge offs were recorded for MHP Notes during the three months ended March 31, 2020 and 2019, respectively. Allowance for loan loss is considered immaterial and accordingly no loss is recorded against the MHP Notes as of March 31, 2020 and December 31, 2019.</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OTHER NOTES RECEIVABLE</w:t>
      </w:r>
    </w:p>
    <w:p>
      <w:pPr>
        <w:spacing w:after="0" w:line="189" w:lineRule="exact"/>
        <w:rPr>
          <w:sz w:val="20"/>
          <w:szCs w:val="20"/>
          <w:color w:val="auto"/>
        </w:rPr>
      </w:pPr>
    </w:p>
    <w:p>
      <w:pPr>
        <w:jc w:val="both"/>
        <w:ind w:left="40" w:right="79" w:firstLine="648"/>
        <w:spacing w:after="0" w:line="286" w:lineRule="auto"/>
        <w:rPr>
          <w:sz w:val="20"/>
          <w:szCs w:val="20"/>
          <w:color w:val="auto"/>
        </w:rPr>
      </w:pPr>
      <w:r>
        <w:rPr>
          <w:rFonts w:ascii="Arial" w:cs="Arial" w:eastAsia="Arial" w:hAnsi="Arial"/>
          <w:sz w:val="16"/>
          <w:szCs w:val="16"/>
          <w:color w:val="auto"/>
        </w:rPr>
        <w:t>Other notes receivable relate to various notes issued to mobile park owners and dealers, which are not directly tied to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w:t>
      </w:r>
    </w:p>
    <w:p>
      <w:pPr>
        <w:spacing w:after="0" w:line="1" w:lineRule="exact"/>
        <w:rPr>
          <w:sz w:val="20"/>
          <w:szCs w:val="20"/>
          <w:color w:val="auto"/>
        </w:rPr>
      </w:pPr>
    </w:p>
    <w:p>
      <w:pPr>
        <w:jc w:val="both"/>
        <w:ind w:left="40" w:right="99"/>
        <w:spacing w:after="0" w:line="323" w:lineRule="auto"/>
        <w:rPr>
          <w:sz w:val="20"/>
          <w:szCs w:val="20"/>
          <w:color w:val="auto"/>
        </w:rPr>
      </w:pPr>
      <w:r>
        <w:rPr>
          <w:rFonts w:ascii="Arial" w:cs="Arial" w:eastAsia="Arial" w:hAnsi="Arial"/>
          <w:sz w:val="16"/>
          <w:szCs w:val="16"/>
          <w:color w:val="auto"/>
        </w:rPr>
        <w:t>6.25% to 12.00%. The Company reserves for estimated losses on the other notes based on current economic conditions that may affect the borrower’s ability to pay, the borrower’s financial strength, and historical loss experience.</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r>
      <w:tr>
        <w:trPr>
          <w:trHeight w:val="148"/>
        </w:trPr>
        <w:tc>
          <w:tcPr>
            <w:tcW w:w="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900" w:type="dxa"/>
            <w:vAlign w:val="bottom"/>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900" w:type="dxa"/>
            <w:vAlign w:val="bottom"/>
          </w:tcPr>
          <w:p>
            <w:pPr>
              <w:spacing w:after="0"/>
              <w:rPr>
                <w:sz w:val="18"/>
                <w:szCs w:val="18"/>
                <w:color w:val="auto"/>
              </w:rPr>
            </w:pPr>
          </w:p>
        </w:tc>
      </w:tr>
      <w:tr>
        <w:trPr>
          <w:trHeight w:val="230"/>
        </w:trPr>
        <w:tc>
          <w:tcPr>
            <w:tcW w:w="900" w:type="dxa"/>
            <w:vAlign w:val="bottom"/>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900" w:type="dxa"/>
            <w:vAlign w:val="bottom"/>
          </w:tcPr>
          <w:p>
            <w:pPr>
              <w:spacing w:after="0"/>
              <w:rPr>
                <w:sz w:val="19"/>
                <w:szCs w:val="19"/>
                <w:color w:val="auto"/>
              </w:rPr>
            </w:pPr>
          </w:p>
        </w:tc>
      </w:tr>
      <w:tr>
        <w:trPr>
          <w:trHeight w:val="864"/>
        </w:trPr>
        <w:tc>
          <w:tcPr>
            <w:tcW w:w="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360" w:type="dxa"/>
            <w:vAlign w:val="bottom"/>
          </w:tcPr>
          <w:p>
            <w:pPr>
              <w:jc w:val="right"/>
              <w:ind w:right="14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INVENTORIES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r>
      <w:tr>
        <w:trPr>
          <w:trHeight w:val="149"/>
        </w:trPr>
        <w:tc>
          <w:tcPr>
            <w:tcW w:w="9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90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r>
      <w:tr>
        <w:trPr>
          <w:trHeight w:val="209"/>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r>
      <w:tr>
        <w:trPr>
          <w:trHeight w:val="216"/>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r>
      <w:tr>
        <w:trPr>
          <w:trHeight w:val="217"/>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39,158</w:t>
            </w:r>
          </w:p>
        </w:tc>
      </w:tr>
      <w:tr>
        <w:trPr>
          <w:trHeight w:val="445"/>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2"/>
        </w:trPr>
        <w:tc>
          <w:tcPr>
            <w:tcW w:w="6080" w:type="dxa"/>
            <w:vAlign w:val="bottom"/>
            <w:gridSpan w:val="2"/>
          </w:tcPr>
          <w:p>
            <w:pPr>
              <w:ind w:left="660"/>
              <w:spacing w:after="0"/>
              <w:rPr>
                <w:sz w:val="20"/>
                <w:szCs w:val="20"/>
                <w:color w:val="auto"/>
              </w:rPr>
            </w:pPr>
            <w:r>
              <w:rPr>
                <w:rFonts w:ascii="Arial" w:cs="Arial" w:eastAsia="Arial" w:hAnsi="Arial"/>
                <w:sz w:val="18"/>
                <w:szCs w:val="18"/>
                <w:color w:val="auto"/>
              </w:rPr>
              <w:t>Property, plant and equipment consisted of the following: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8"/>
        </w:trPr>
        <w:tc>
          <w:tcPr>
            <w:tcW w:w="9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r>
      <w:tr>
        <w:trPr>
          <w:trHeight w:val="148"/>
        </w:trPr>
        <w:tc>
          <w:tcPr>
            <w:tcW w:w="9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90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r>
      <w:tr>
        <w:trPr>
          <w:trHeight w:val="210"/>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11,671</w:t>
            </w:r>
          </w:p>
        </w:tc>
        <w:tc>
          <w:tcPr>
            <w:tcW w:w="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r>
      <w:tr>
        <w:trPr>
          <w:trHeight w:val="216"/>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10,059</w:t>
            </w:r>
          </w:p>
        </w:tc>
      </w:tr>
      <w:tr>
        <w:trPr>
          <w:trHeight w:val="216"/>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16"/>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3,653</w:t>
            </w:r>
          </w:p>
        </w:tc>
      </w:tr>
      <w:tr>
        <w:trPr>
          <w:trHeight w:val="216"/>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10"/>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27,165</w:t>
            </w:r>
          </w:p>
        </w:tc>
      </w:tr>
      <w:tr>
        <w:trPr>
          <w:trHeight w:val="216"/>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r>
      <w:tr>
        <w:trPr>
          <w:trHeight w:val="217"/>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21,124</w:t>
            </w: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21,038</w:t>
            </w:r>
          </w:p>
        </w:tc>
      </w:tr>
    </w:tbl>
    <w:p>
      <w:pPr>
        <w:spacing w:after="0" w:line="202" w:lineRule="exact"/>
        <w:rPr>
          <w:sz w:val="20"/>
          <w:szCs w:val="20"/>
          <w:color w:val="auto"/>
        </w:rPr>
      </w:pPr>
    </w:p>
    <w:p>
      <w:pPr>
        <w:ind w:left="40" w:right="239" w:firstLine="648"/>
        <w:spacing w:after="0" w:line="263" w:lineRule="auto"/>
        <w:rPr>
          <w:sz w:val="20"/>
          <w:szCs w:val="20"/>
          <w:color w:val="auto"/>
        </w:rPr>
      </w:pPr>
      <w:r>
        <w:rPr>
          <w:rFonts w:ascii="Arial" w:cs="Arial" w:eastAsia="Arial" w:hAnsi="Arial"/>
          <w:sz w:val="18"/>
          <w:szCs w:val="18"/>
          <w:color w:val="auto"/>
        </w:rPr>
        <w:t>Depreciation expense was $248 with $106 included as a component of cost of product sales for the three months ended March 31, 2020 and $241 with $89 included as a component of cost of product sales for the three months ended March 31, 2019.</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OTHER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consisted of the following at March 31, 2020 and December 31, 2019:</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auto"/>
                <w:w w:val="97"/>
              </w:rPr>
              <w:t>As of March 31,   As of December 31,</w:t>
            </w:r>
          </w:p>
        </w:tc>
      </w:tr>
      <w:tr>
        <w:trPr>
          <w:trHeight w:val="230"/>
        </w:trPr>
        <w:tc>
          <w:tcPr>
            <w:tcW w:w="5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Leased property</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Prepaid rent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Repossessed loans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r>
    </w:tbl>
    <w:p>
      <w:pPr>
        <w:spacing w:after="0" w:line="3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Depreciation expense for the leased property was $33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ACCRUED LIABILITIES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consisted of the following at March 31, 2020 and December 31, 2019:</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w:t>
            </w: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5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Litigation reserve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taxes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&amp; other accrued liabilities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r>
      <w:tr>
        <w:trPr>
          <w:trHeight w:val="21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r>
    </w:tbl>
    <w:p>
      <w:pPr>
        <w:spacing w:after="0" w:line="211" w:lineRule="exact"/>
        <w:rPr>
          <w:sz w:val="20"/>
          <w:szCs w:val="20"/>
          <w:color w:val="auto"/>
        </w:rPr>
      </w:pPr>
    </w:p>
    <w:p>
      <w:pPr>
        <w:ind w:left="40" w:right="7819" w:firstLine="4"/>
        <w:spacing w:after="0" w:line="491" w:lineRule="auto"/>
        <w:tabs>
          <w:tab w:leader="none" w:pos="2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DEBT Lines of Credit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Revolver 1</w:t>
      </w:r>
    </w:p>
    <w:p>
      <w:pPr>
        <w:spacing w:after="0" w:line="185"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At December 31, 2019, the Company had a revolving line of credit (“Revolver 1”) with Capital One, N.A. with a maximum credit limit of $45,000 and a maturity date of May 11, 2020. On March 30, 2020, the Company entered into an agreement with Capital One, N.A. to replace Revolver 1 with a new revolving line of credit (“New Revolver”). The New Revolver has a maximum credit limit of $70,000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 secured by all accounts receivable and the consumer loans receivable and MHP Notes. The amount of available credit under Revolver 1 was $16,140 as of December 31, 2019.</w:t>
      </w:r>
    </w:p>
    <w:p>
      <w:pPr>
        <w:spacing w:after="0" w:line="125"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The New Revolver accrues interest at one-month LIBOR plus 2.00%. The interest rate in effect as of March 31, 2020 was 3.02%.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$32,974 as of March 31, 2020.</w:t>
      </w:r>
    </w:p>
    <w:p>
      <w:pPr>
        <w:spacing w:after="0" w:line="130"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For the three months ended March 31, 2020 and 2019, interest expense under the Capital One Revolvers was $320 and $73, respectively. The outstanding balance as of March 31, 2020 and December 31, 2019 was $37,026 and $28,860, respectively. The Company was in compliance with all financial covenants as of March 31, 2020, including that it maintain a tangible net worth of at least $120,000 and that it maintain a ratio of debt to EBITDA of 4 to 1, or less.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Revolver 2</w:t>
      </w:r>
    </w:p>
    <w:p>
      <w:pPr>
        <w:spacing w:after="0" w:line="185"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In April 2016, the Company entered into an agreement with Veritex Community Bank to secure an additional revolving line of credit of $15,000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2020 and December 31, 2019 were 4.17% and 4.19%, respectively. On May 12, 2017, the Company entered into an agreement to increase the line of credit to $20,000. On October 15, 2018, Revolver 2 was amended to extend the maturity date from April 4, 2019 to April 4, 2021. The amount of available credit under Revolver 2 was $12,028 and $11,262 at March 31, 2020 and December 31, 2019, respectively. The Company was in compliance with all required covenants as of March 31, 2020. For the three months ended March 31, 2020 and 2019,</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71" w:lineRule="exact"/>
        <w:rPr>
          <w:sz w:val="20"/>
          <w:szCs w:val="20"/>
          <w:color w:val="auto"/>
        </w:rPr>
      </w:pPr>
    </w:p>
    <w:p>
      <w:pPr>
        <w:jc w:val="both"/>
        <w:ind w:left="40" w:right="99"/>
        <w:spacing w:after="0" w:line="263" w:lineRule="auto"/>
        <w:rPr>
          <w:sz w:val="20"/>
          <w:szCs w:val="20"/>
          <w:color w:val="auto"/>
        </w:rPr>
      </w:pPr>
      <w:r>
        <w:rPr>
          <w:rFonts w:ascii="Arial" w:cs="Arial" w:eastAsia="Arial" w:hAnsi="Arial"/>
          <w:sz w:val="18"/>
          <w:szCs w:val="18"/>
          <w:color w:val="auto"/>
        </w:rPr>
        <w:t>interest expense was $21 and $61, respectively. The outstanding balance as of March 31, 2020 and December 31, 2019 was $2,001. The Company was in compliance with the other financial covenants that it maintain a tangible net worth of at least $80,000. In April 2020, this note was paid in full and the facility was terminated.</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Payable</w:t>
      </w:r>
    </w:p>
    <w:p>
      <w:pPr>
        <w:spacing w:after="0" w:line="189" w:lineRule="exact"/>
        <w:rPr>
          <w:sz w:val="20"/>
          <w:szCs w:val="20"/>
          <w:color w:val="auto"/>
        </w:rPr>
      </w:pPr>
    </w:p>
    <w:p>
      <w:pPr>
        <w:ind w:left="40" w:right="199" w:firstLine="648"/>
        <w:spacing w:after="0" w:line="272" w:lineRule="auto"/>
        <w:rPr>
          <w:sz w:val="20"/>
          <w:szCs w:val="20"/>
          <w:color w:val="auto"/>
        </w:rPr>
      </w:pPr>
      <w:r>
        <w:rPr>
          <w:rFonts w:ascii="Arial" w:cs="Arial" w:eastAsia="Arial" w:hAnsi="Arial"/>
          <w:sz w:val="17"/>
          <w:szCs w:val="17"/>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 for an interest rate of 4.25% and monthly payments of $30 with a final payment due at maturity. The note is secured by certain real property of the Company. Interest expense was $38 for the three months ended March 31, 2019. In October 2019, this note was paid in full.</w:t>
      </w:r>
    </w:p>
    <w:p>
      <w:pPr>
        <w:spacing w:after="0" w:line="137"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 June 1, 2026. Interest expense was $1 for the three months ended March 31, 2019. In January 2019, this note was paid in full.</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PILOT Agreement</w:t>
      </w:r>
    </w:p>
    <w:p>
      <w:pPr>
        <w:spacing w:after="0" w:line="189"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 6.00% per annum on outstanding balances, which are due each December 1st through maturity on December 1, 2021, at which time all unpaid principal and interest are due. The PILOT agreement is collateralized by the assets of the Project. As of March 31, 2020, the Company had not drawn on this credit facility.</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SHARE-BASED COMPENSATION</w:t>
      </w:r>
    </w:p>
    <w:p>
      <w:pPr>
        <w:spacing w:after="0" w:line="202"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March 31, 2020, the Company had 9.8 million shares available for grant under the Compensation Plan.</w:t>
      </w:r>
    </w:p>
    <w:p>
      <w:pPr>
        <w:spacing w:after="0" w:line="147" w:lineRule="exact"/>
        <w:rPr>
          <w:sz w:val="20"/>
          <w:szCs w:val="20"/>
          <w:color w:val="auto"/>
        </w:rPr>
      </w:pPr>
    </w:p>
    <w:p>
      <w:pPr>
        <w:ind w:left="40" w:right="259" w:firstLine="648"/>
        <w:spacing w:after="0" w:line="31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w:t>
      </w:r>
    </w:p>
    <w:p>
      <w:pPr>
        <w:spacing w:after="0" w:line="108" w:lineRule="exact"/>
        <w:rPr>
          <w:sz w:val="20"/>
          <w:szCs w:val="20"/>
          <w:color w:val="auto"/>
        </w:rPr>
      </w:pPr>
    </w:p>
    <w:p>
      <w:pPr>
        <w:ind w:left="40" w:right="139" w:firstLine="648"/>
        <w:spacing w:after="0" w:line="342" w:lineRule="auto"/>
        <w:rPr>
          <w:sz w:val="20"/>
          <w:szCs w:val="20"/>
          <w:color w:val="auto"/>
        </w:rPr>
      </w:pPr>
      <w:r>
        <w:rPr>
          <w:rFonts w:ascii="Arial" w:cs="Arial" w:eastAsia="Arial" w:hAnsi="Arial"/>
          <w:sz w:val="16"/>
          <w:szCs w:val="16"/>
          <w:color w:val="auto"/>
        </w:rPr>
        <w:t>The Company granted 2,936 restricted shares of its common stock to the independent directors on the Company’s Board of Directors. The shares were granted on February 7, 2019 and become fully vested on December 13,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71" w:lineRule="exact"/>
        <w:rPr>
          <w:sz w:val="20"/>
          <w:szCs w:val="20"/>
          <w:color w:val="auto"/>
        </w:rPr>
      </w:pPr>
    </w:p>
    <w:p>
      <w:pPr>
        <w:ind w:left="40" w:right="199" w:firstLine="648"/>
        <w:spacing w:after="0" w:line="286" w:lineRule="auto"/>
        <w:rPr>
          <w:sz w:val="20"/>
          <w:szCs w:val="20"/>
          <w:color w:val="auto"/>
        </w:rPr>
      </w:pPr>
      <w:r>
        <w:rPr>
          <w:rFonts w:ascii="Arial" w:cs="Arial" w:eastAsia="Arial" w:hAnsi="Arial"/>
          <w:sz w:val="17"/>
          <w:szCs w:val="17"/>
          <w:color w:val="auto"/>
        </w:rPr>
        <w:t>In August 2019, the Company granted 39,526 restricted shares of its common stock to a member of senior management. The shares were granted on August 2, 2019 and had a grant date fair value of $496. The shares vest at a rate of 20.0% annually, beginning on August 2, 2020, becoming fully vested on August 2, 2024.</w:t>
      </w:r>
    </w:p>
    <w:p>
      <w:pPr>
        <w:spacing w:after="0" w:line="138" w:lineRule="exact"/>
        <w:rPr>
          <w:sz w:val="20"/>
          <w:szCs w:val="20"/>
          <w:color w:val="auto"/>
        </w:rPr>
      </w:pPr>
    </w:p>
    <w:p>
      <w:pPr>
        <w:ind w:left="40" w:right="139" w:firstLine="648"/>
        <w:spacing w:after="0" w:line="342" w:lineRule="auto"/>
        <w:rPr>
          <w:sz w:val="20"/>
          <w:szCs w:val="20"/>
          <w:color w:val="auto"/>
        </w:rPr>
      </w:pPr>
      <w:r>
        <w:rPr>
          <w:rFonts w:ascii="Arial" w:cs="Arial" w:eastAsia="Arial" w:hAnsi="Arial"/>
          <w:sz w:val="16"/>
          <w:szCs w:val="16"/>
          <w:color w:val="auto"/>
        </w:rPr>
        <w:t>The Company granted 1,903 restricted shares of its common stock to the independent directors on the Company’s Board of Directors. The shares were granted on March 27, 2020 and become fully vested on December 13, 2020.</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5"/>
              </w:rPr>
              <w:t>Number</w:t>
            </w:r>
          </w:p>
        </w:tc>
        <w:tc>
          <w:tcPr>
            <w:tcW w:w="3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2"/>
              </w:rPr>
              <w:t>date Fair</w:t>
            </w:r>
          </w:p>
        </w:tc>
      </w:tr>
      <w:tr>
        <w:trPr>
          <w:trHeight w:val="213"/>
        </w:trPr>
        <w:tc>
          <w:tcPr>
            <w:tcW w:w="64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of Units</w:t>
            </w:r>
          </w:p>
        </w:tc>
        <w:tc>
          <w:tcPr>
            <w:tcW w:w="3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Nonvested, January 1, 2020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Granted</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9.59</w:t>
            </w: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Nonvested, March 31, 2020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13.24</w:t>
            </w:r>
          </w:p>
        </w:tc>
      </w:tr>
    </w:tbl>
    <w:p>
      <w:pPr>
        <w:spacing w:after="0" w:line="94" w:lineRule="exact"/>
        <w:rPr>
          <w:sz w:val="20"/>
          <w:szCs w:val="20"/>
          <w:color w:val="auto"/>
        </w:rPr>
      </w:pPr>
    </w:p>
    <w:p>
      <w:pPr>
        <w:ind w:left="40" w:right="359" w:firstLine="648"/>
        <w:spacing w:after="0" w:line="308" w:lineRule="auto"/>
        <w:rPr>
          <w:sz w:val="20"/>
          <w:szCs w:val="20"/>
          <w:color w:val="auto"/>
        </w:rPr>
      </w:pPr>
      <w:r>
        <w:rPr>
          <w:rFonts w:ascii="Arial" w:cs="Arial" w:eastAsia="Arial" w:hAnsi="Arial"/>
          <w:sz w:val="17"/>
          <w:szCs w:val="17"/>
          <w:color w:val="auto"/>
        </w:rPr>
        <w:t>As of March 31, 2020, approximately 127,000 RSUs remained unvested. Unrecognized compensation expense related to these RSUs at March 31, 2020 was $1,583 and is expected to be recognized over 4.67 years.</w:t>
      </w:r>
    </w:p>
    <w:p>
      <w:pPr>
        <w:spacing w:after="0" w:line="119"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160"/>
              <w:spacing w:after="0"/>
              <w:rPr>
                <w:sz w:val="20"/>
                <w:szCs w:val="20"/>
                <w:color w:val="auto"/>
              </w:rPr>
            </w:pPr>
            <w:r>
              <w:rPr>
                <w:rFonts w:ascii="Arial" w:cs="Arial" w:eastAsia="Arial" w:hAnsi="Arial"/>
                <w:sz w:val="16"/>
                <w:szCs w:val="16"/>
                <w:b w:val="1"/>
                <w:bCs w:val="1"/>
                <w:color w:val="auto"/>
                <w:w w:val="99"/>
              </w:rPr>
              <w:t>Weighted</w:t>
            </w:r>
          </w:p>
        </w:tc>
        <w:tc>
          <w:tcPr>
            <w:tcW w:w="800" w:type="dxa"/>
            <w:vAlign w:val="bottom"/>
            <w:gridSpan w:val="4"/>
          </w:tcPr>
          <w:p>
            <w:pPr>
              <w:ind w:left="80"/>
              <w:spacing w:after="0"/>
              <w:rPr>
                <w:sz w:val="20"/>
                <w:szCs w:val="20"/>
                <w:color w:val="auto"/>
              </w:rPr>
            </w:pPr>
            <w:r>
              <w:rPr>
                <w:rFonts w:ascii="Arial" w:cs="Arial" w:eastAsia="Arial" w:hAnsi="Arial"/>
                <w:sz w:val="16"/>
                <w:szCs w:val="16"/>
                <w:b w:val="1"/>
                <w:bCs w:val="1"/>
                <w:color w:val="auto"/>
                <w:w w:val="97"/>
              </w:rPr>
              <w:t>Weighted</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7"/>
                <w:szCs w:val="17"/>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860" w:type="dxa"/>
            <w:vAlign w:val="bottom"/>
            <w:gridSpan w:val="3"/>
          </w:tcPr>
          <w:p>
            <w:pPr>
              <w:ind w:left="160"/>
              <w:spacing w:after="0"/>
              <w:rPr>
                <w:sz w:val="20"/>
                <w:szCs w:val="20"/>
                <w:color w:val="auto"/>
              </w:rPr>
            </w:pPr>
            <w:r>
              <w:rPr>
                <w:rFonts w:ascii="Arial" w:cs="Arial" w:eastAsia="Arial" w:hAnsi="Arial"/>
                <w:sz w:val="16"/>
                <w:szCs w:val="16"/>
                <w:b w:val="1"/>
                <w:bCs w:val="1"/>
                <w:color w:val="auto"/>
                <w:w w:val="85"/>
              </w:rPr>
              <w:t>Aggregate</w:t>
            </w:r>
          </w:p>
        </w:tc>
      </w:tr>
      <w:tr>
        <w:trPr>
          <w:trHeight w:val="203"/>
        </w:trPr>
        <w:tc>
          <w:tcPr>
            <w:tcW w:w="34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7"/>
                <w:szCs w:val="17"/>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Exercise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Fair</w:t>
            </w: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Intrinsic</w:t>
            </w:r>
          </w:p>
        </w:tc>
      </w:tr>
      <w:tr>
        <w:trPr>
          <w:trHeight w:val="213"/>
        </w:trPr>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Value</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2020</w:t>
            </w:r>
          </w:p>
        </w:tc>
        <w:tc>
          <w:tcPr>
            <w:tcW w:w="1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Granted</w:t>
            </w:r>
          </w:p>
        </w:tc>
        <w:tc>
          <w:tcPr>
            <w:tcW w:w="1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3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r>
      <w:tr>
        <w:trPr>
          <w:trHeight w:val="196"/>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Outstanding, March 31, 2020</w:t>
            </w:r>
          </w:p>
        </w:tc>
        <w:tc>
          <w:tcPr>
            <w:tcW w:w="14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r>
      <w:tr>
        <w:trPr>
          <w:trHeight w:val="196"/>
        </w:trPr>
        <w:tc>
          <w:tcPr>
            <w:tcW w:w="3400" w:type="dxa"/>
            <w:vAlign w:val="bottom"/>
          </w:tcPr>
          <w:p>
            <w:pPr>
              <w:spacing w:after="0"/>
              <w:rPr>
                <w:sz w:val="20"/>
                <w:szCs w:val="20"/>
                <w:color w:val="auto"/>
              </w:rPr>
            </w:pPr>
            <w:r>
              <w:rPr>
                <w:rFonts w:ascii="Arial" w:cs="Arial" w:eastAsia="Arial" w:hAnsi="Arial"/>
                <w:sz w:val="16"/>
                <w:szCs w:val="16"/>
                <w:color w:val="auto"/>
              </w:rPr>
              <w:t>Exercisable, March 31, 2020</w:t>
            </w:r>
          </w:p>
        </w:tc>
        <w:tc>
          <w:tcPr>
            <w:tcW w:w="148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13.63</w:t>
            </w:r>
          </w:p>
        </w:tc>
        <w:tc>
          <w:tcPr>
            <w:tcW w:w="8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8.85</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40" w:right="339" w:firstLine="648"/>
        <w:spacing w:after="0" w:line="308" w:lineRule="auto"/>
        <w:rPr>
          <w:sz w:val="20"/>
          <w:szCs w:val="20"/>
          <w:color w:val="auto"/>
        </w:rPr>
      </w:pPr>
      <w:r>
        <w:rPr>
          <w:rFonts w:ascii="Arial" w:cs="Arial" w:eastAsia="Arial" w:hAnsi="Arial"/>
          <w:sz w:val="17"/>
          <w:szCs w:val="17"/>
          <w:color w:val="auto"/>
        </w:rPr>
        <w:t>As of March 31, 2020, approximately 44,000 options remained unvested. Unrecognized compensation expense related to these options at March 31, 2020 was $330 and is expected to be recognized over 5.86 years.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ind w:left="40" w:right="179" w:firstLine="648"/>
        <w:spacing w:after="0" w:line="342" w:lineRule="auto"/>
        <w:rPr>
          <w:sz w:val="20"/>
          <w:szCs w:val="20"/>
          <w:color w:val="auto"/>
        </w:rPr>
      </w:pPr>
      <w:r>
        <w:rPr>
          <w:rFonts w:ascii="Arial" w:cs="Arial" w:eastAsia="Arial" w:hAnsi="Arial"/>
          <w:sz w:val="16"/>
          <w:szCs w:val="16"/>
          <w:color w:val="auto"/>
        </w:rPr>
        <w:t>The provision for income tax expense for the three months ended March 31, 2020 and 2019 was $2.6 million and $2.0 million, respectively. The effective tax rate for the three months ended March 31, 2020 was 22.3% and differs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71"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from the statutory rate of 21% primarily due to state income taxes. The effective tax rate for the three months ended March 31, 2019 was 21.8% and differs from the statutory rate of 21% due to state income taxes.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left="40" w:right="259" w:firstLine="648"/>
        <w:spacing w:after="0" w:line="273" w:lineRule="auto"/>
        <w:rPr>
          <w:sz w:val="20"/>
          <w:szCs w:val="20"/>
          <w:color w:val="auto"/>
        </w:rPr>
      </w:pPr>
      <w:r>
        <w:rPr>
          <w:rFonts w:ascii="Arial" w:cs="Arial" w:eastAsia="Arial" w:hAnsi="Arial"/>
          <w:sz w:val="17"/>
          <w:szCs w:val="17"/>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March 31, 2020, the liability for incurred but not reported claims was insignificant.</w:t>
      </w:r>
    </w:p>
    <w:p>
      <w:pPr>
        <w:spacing w:after="0" w:line="137"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7"/>
          <w:szCs w:val="17"/>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$501 and $260 at March 31, 2020 and December 31, 2019, respectively, without reduction for the resale value of the homes. The Company considers its obligations on current contracts to be immaterial and accordingly have not recorded any reserve for repurchase commitment as of March 31, 2020 or December 31, 2019.</w:t>
      </w:r>
    </w:p>
    <w:p>
      <w:pPr>
        <w:spacing w:after="0" w:line="151"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The Company leases facilities under operating leases that typically have 10</w:t>
      </w:r>
      <w:r>
        <w:rPr>
          <w:rFonts w:ascii="MS PGothic" w:cs="MS PGothic" w:eastAsia="MS PGothic" w:hAnsi="MS PGothic"/>
          <w:sz w:val="16"/>
          <w:szCs w:val="16"/>
          <w:color w:val="auto"/>
        </w:rPr>
        <w:t>‑</w:t>
      </w:r>
      <w:r>
        <w:rPr>
          <w:rFonts w:ascii="Arial" w:cs="Arial" w:eastAsia="Arial" w:hAnsi="Arial"/>
          <w:sz w:val="16"/>
          <w:szCs w:val="16"/>
          <w:color w:val="auto"/>
        </w:rPr>
        <w:t>year terms. These leases</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offer the Company a right of first refusal that affords the Company the option to purchase the leased premises under certain terms in the event the landlord attempts to sell the leased premises to a third party. Rent expense was $144 and $131 for the three months ended March 31, 2020, and 2019, respectively. The Company also subleases properties to third parties, ranging from 3</w:t>
      </w:r>
      <w:r>
        <w:rPr>
          <w:rFonts w:ascii="MS PGothic" w:cs="MS PGothic" w:eastAsia="MS PGothic" w:hAnsi="MS PGothic"/>
          <w:sz w:val="16"/>
          <w:szCs w:val="16"/>
          <w:color w:val="auto"/>
        </w:rPr>
        <w:t>‑</w:t>
      </w:r>
      <w:r>
        <w:rPr>
          <w:rFonts w:ascii="Arial" w:cs="Arial" w:eastAsia="Arial" w:hAnsi="Arial"/>
          <w:sz w:val="16"/>
          <w:szCs w:val="16"/>
          <w:color w:val="auto"/>
        </w:rPr>
        <w:t>year to 11</w:t>
      </w:r>
      <w:r>
        <w:rPr>
          <w:rFonts w:ascii="MS PGothic" w:cs="MS PGothic" w:eastAsia="MS PGothic" w:hAnsi="MS PGothic"/>
          <w:sz w:val="16"/>
          <w:szCs w:val="16"/>
          <w:color w:val="auto"/>
        </w:rPr>
        <w:t>‑</w:t>
      </w:r>
      <w:r>
        <w:rPr>
          <w:rFonts w:ascii="Arial" w:cs="Arial" w:eastAsia="Arial" w:hAnsi="Arial"/>
          <w:sz w:val="16"/>
          <w:szCs w:val="16"/>
          <w:color w:val="auto"/>
        </w:rPr>
        <w:t>year terms with various renewal options. Rental income from the subleased property was approximately $85 and $89 for the three months ended March 31, 2020 and 2019, respectively.</w:t>
      </w:r>
    </w:p>
    <w:p>
      <w:pPr>
        <w:spacing w:after="0" w:line="16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Future minimum lease commitments under all non</w:t>
      </w:r>
      <w:r>
        <w:rPr>
          <w:rFonts w:ascii="MS PGothic" w:cs="MS PGothic" w:eastAsia="MS PGothic" w:hAnsi="MS PGothic"/>
          <w:sz w:val="16"/>
          <w:szCs w:val="16"/>
          <w:color w:val="auto"/>
        </w:rPr>
        <w:t>‑</w:t>
      </w:r>
      <w:r>
        <w:rPr>
          <w:rFonts w:ascii="Arial" w:cs="Arial" w:eastAsia="Arial" w:hAnsi="Arial"/>
          <w:sz w:val="16"/>
          <w:szCs w:val="16"/>
          <w:color w:val="auto"/>
        </w:rPr>
        <w:t>cancelable operating leases for each of the next five years at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2020, are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2021</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16"/>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7"/>
          <w:szCs w:val="17"/>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67" w:lineRule="exact"/>
        <w:rPr>
          <w:sz w:val="20"/>
          <w:szCs w:val="20"/>
          <w:color w:val="auto"/>
        </w:rPr>
      </w:pPr>
    </w:p>
    <w:p>
      <w:pPr>
        <w:ind w:left="40" w:right="2019" w:firstLine="4"/>
        <w:spacing w:after="0" w:line="464" w:lineRule="auto"/>
        <w:tabs>
          <w:tab w:leader="none" w:pos="31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AND FAIR VALUE MEASUREMENTS Derivative Financial Instruments</w:t>
      </w:r>
    </w:p>
    <w:p>
      <w:pPr>
        <w:ind w:left="40" w:right="99" w:firstLine="648"/>
        <w:spacing w:after="0" w:line="217" w:lineRule="exact"/>
        <w:rPr>
          <w:sz w:val="20"/>
          <w:szCs w:val="20"/>
          <w:color w:val="auto"/>
        </w:rPr>
      </w:pPr>
      <w:r>
        <w:rPr>
          <w:rFonts w:ascii="Arial" w:cs="Arial" w:eastAsia="Arial" w:hAnsi="Arial"/>
          <w:sz w:val="17"/>
          <w:szCs w:val="17"/>
          <w:color w:val="auto"/>
        </w:rPr>
        <w:t>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w:t>
      </w:r>
      <w:r>
        <w:rPr>
          <w:rFonts w:ascii="MS PGothic" w:cs="MS PGothic" w:eastAsia="MS PGothic" w:hAnsi="MS PGothic"/>
          <w:sz w:val="17"/>
          <w:szCs w:val="17"/>
          <w:color w:val="auto"/>
        </w:rPr>
        <w:t>‑</w:t>
      </w:r>
      <w:r>
        <w:rPr>
          <w:rFonts w:ascii="Arial" w:cs="Arial" w:eastAsia="Arial" w:hAnsi="Arial"/>
          <w:sz w:val="17"/>
          <w:szCs w:val="17"/>
          <w:color w:val="auto"/>
        </w:rPr>
        <w:t xml:space="preserve">10,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is the only one outstanding at March 31, 2020 and has a maturity of May 11, 2020. The fair values of the interest rate swap agreement are assets included in prepaid expenses and other current assets and were $7 and $3 at March 31, 2020 and December 31, 2019, respectively. Included in the statements of operations for the three months ended March 31, 2020 and 2019 was a gain of $2 and a loss of $16, respectively, which are the result of the changes in the fair values of the interest rate swap agreement.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8"/>
          <w:szCs w:val="18"/>
          <w:color w:val="auto"/>
        </w:rPr>
        <w:t>The Company accounts for its investments and derivative instruments in accordance with ASC 820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among other things provides the framework for measuring fair value. That framework provides a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as follows:</w:t>
      </w:r>
    </w:p>
    <w:p>
      <w:pPr>
        <w:spacing w:after="0" w:line="162" w:lineRule="exact"/>
        <w:rPr>
          <w:sz w:val="20"/>
          <w:szCs w:val="20"/>
          <w:color w:val="auto"/>
        </w:rPr>
      </w:pPr>
    </w:p>
    <w:p>
      <w:pPr>
        <w:ind w:left="1520" w:right="219" w:hanging="841"/>
        <w:spacing w:after="0" w:line="258" w:lineRule="auto"/>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540" w:right="399" w:hanging="841"/>
        <w:spacing w:after="0" w:line="281" w:lineRule="auto"/>
        <w:tabs>
          <w:tab w:leader="none" w:pos="152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w:t>
      </w:r>
    </w:p>
    <w:p>
      <w:pPr>
        <w:spacing w:after="0" w:line="1" w:lineRule="exact"/>
        <w:rPr>
          <w:sz w:val="20"/>
          <w:szCs w:val="20"/>
          <w:color w:val="auto"/>
        </w:rPr>
      </w:pPr>
    </w:p>
    <w:p>
      <w:pPr>
        <w:ind w:left="1540" w:right="219" w:hanging="6"/>
        <w:spacing w:after="0" w:line="250" w:lineRule="auto"/>
        <w:tabs>
          <w:tab w:leader="none" w:pos="1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45"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43"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The Company uses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values of the interest rate swap are assets and valued at $7 and $3 as of March 31, 2020 and December 31, 2019,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143"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7"/>
          <w:szCs w:val="17"/>
          <w:color w:val="auto"/>
        </w:rPr>
        <w:t>The carrying amounts of cash and cash equivalents, accounts receivable, and accounts payable approximate their respective fair values because of the short</w:t>
      </w:r>
      <w:r>
        <w:rPr>
          <w:rFonts w:ascii="MS PGothic" w:cs="MS PGothic" w:eastAsia="MS PGothic" w:hAnsi="MS PGothic"/>
          <w:sz w:val="17"/>
          <w:szCs w:val="17"/>
          <w:color w:val="auto"/>
        </w:rPr>
        <w:t>‑</w:t>
      </w:r>
      <w:r>
        <w:rPr>
          <w:rFonts w:ascii="Arial" w:cs="Arial" w:eastAsia="Arial" w:hAnsi="Arial"/>
          <w:sz w:val="17"/>
          <w:szCs w:val="17"/>
          <w:color w:val="auto"/>
        </w:rPr>
        <w:t>term maturities or expected settlement dates of these instruments. This is considered a Level I valuation technique. The MHP Notes, other notes, lines of credit, and notes payable have variable interest rates that reflect market rates and their fair value approximates their carrying value. This is considered a Level II valuation technique. The Company also assessed the fair value of the consumer loans receivable based on the discounted value of the remaining principal and interest cash flows. The Company determined that the fair value of the consumer loan portfolio was approximately $125,000 compared to the book value of $105,714 as of March 31, 2020, and a fair value of approximately $119,000 compared to the book value of $105,042 as of December 31, 2019. This is a Level III valuation technique.</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EARNINGS PER SHARE</w:t>
      </w:r>
    </w:p>
    <w:p>
      <w:pPr>
        <w:spacing w:after="0" w:line="202" w:lineRule="exact"/>
        <w:rPr>
          <w:sz w:val="20"/>
          <w:szCs w:val="20"/>
          <w:color w:val="auto"/>
        </w:rPr>
      </w:pPr>
    </w:p>
    <w:p>
      <w:pPr>
        <w:ind w:left="40" w:right="119" w:firstLine="648"/>
        <w:spacing w:after="0" w:line="219" w:lineRule="exact"/>
        <w:rPr>
          <w:sz w:val="20"/>
          <w:szCs w:val="20"/>
          <w:color w:val="auto"/>
        </w:rPr>
      </w:pPr>
      <w:r>
        <w:rPr>
          <w:rFonts w:ascii="Arial" w:cs="Arial" w:eastAsia="Arial" w:hAnsi="Arial"/>
          <w:sz w:val="18"/>
          <w:szCs w:val="18"/>
          <w:color w:val="auto"/>
        </w:rPr>
        <w:t>Basic earnings per common share (“EPS”) is computed based on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70"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Three months ended</w:t>
      </w:r>
    </w:p>
    <w:p>
      <w:pPr>
        <w:ind w:left="6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00" w:type="dxa"/>
        <w:tblCellMar>
          <w:top w:w="0" w:type="dxa"/>
          <w:left w:w="0" w:type="dxa"/>
          <w:bottom w:w="0" w:type="dxa"/>
          <w:right w:w="0" w:type="dxa"/>
        </w:tblCellMar>
      </w:tblPr>
      <w:tr>
        <w:trPr>
          <w:trHeight w:val="142"/>
        </w:trPr>
        <w:tc>
          <w:tcPr>
            <w:tcW w:w="48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7,213</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Basic weighted-average common shares outstanding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24,319,328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24,516,762</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54,326</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840" w:type="dxa"/>
            <w:vAlign w:val="bottom"/>
          </w:tcPr>
          <w:p>
            <w:pPr>
              <w:ind w:left="10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24,361,083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24,571,088</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6"/>
              </w:rPr>
              <w:t>Earnings per share attributable to Legacy Housing Corporation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bl>
    <w:p>
      <w:pPr>
        <w:spacing w:after="0" w:line="202" w:lineRule="exact"/>
        <w:rPr>
          <w:sz w:val="20"/>
          <w:szCs w:val="20"/>
          <w:color w:val="auto"/>
        </w:rPr>
      </w:pPr>
    </w:p>
    <w:p>
      <w:pPr>
        <w:ind w:left="40" w:right="159" w:firstLine="648"/>
        <w:spacing w:after="0" w:line="342" w:lineRule="auto"/>
        <w:rPr>
          <w:sz w:val="20"/>
          <w:szCs w:val="20"/>
          <w:color w:val="auto"/>
        </w:rPr>
      </w:pPr>
      <w:r>
        <w:rPr>
          <w:rFonts w:ascii="Arial" w:cs="Arial" w:eastAsia="Arial" w:hAnsi="Arial"/>
          <w:sz w:val="16"/>
          <w:szCs w:val="16"/>
          <w:color w:val="auto"/>
        </w:rPr>
        <w:t>The diluted earnings per share calculation excludes 144,082 and 51,467 potential shares for the three months ended March 31, 2020 and 2019, respectively because the effect of including theses potential shares would be antidilutive.</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Bell Mobile Homes, a retailer owned by one of the Company’s significant owners, purchases manufactured homes from the Company. Accounts receivable balances due from Bell Mobile Homes were $544 and $549 as of March 31, 2020 and December 31, 2019, respectively. Accounts payable balances due to Bell Mobile Homes for maintenance and related services were $80 and $74 as of March 31, 2020 and December 31, 2019, respectively. Home sales to Bell Mobile Homes were $883 and $858 for the three months ended March 31, 2020 and 2019,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560" w:right="156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2020 AND 2019 (dollars in thousands)</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SUBSEQUENT EVENTS</w:t>
      </w:r>
    </w:p>
    <w:p>
      <w:pPr>
        <w:spacing w:after="0" w:line="202" w:lineRule="exact"/>
        <w:rPr>
          <w:sz w:val="20"/>
          <w:szCs w:val="20"/>
          <w:color w:val="auto"/>
        </w:rPr>
      </w:pPr>
    </w:p>
    <w:p>
      <w:pPr>
        <w:ind w:left="40" w:right="139" w:firstLine="713"/>
        <w:spacing w:after="0" w:line="257" w:lineRule="auto"/>
        <w:rPr>
          <w:sz w:val="20"/>
          <w:szCs w:val="20"/>
          <w:color w:val="auto"/>
        </w:rPr>
      </w:pPr>
      <w:r>
        <w:rPr>
          <w:rFonts w:ascii="Arial" w:cs="Arial" w:eastAsia="Arial" w:hAnsi="Arial"/>
          <w:sz w:val="18"/>
          <w:szCs w:val="18"/>
          <w:color w:val="auto"/>
        </w:rPr>
        <w:t>During April 2020, the Company purchased 82,035 shares of its common stock at an average price of $8.95 per share, pursuant to the Company’s repurchase program. Under the repurchase program, the Company may purchase up to $10,000 of its common stock. The purchases were made in the open market and in accordance with applicable insider trading and other securities laws and regulations. These repurchases may be commenced or suspended at any time or from time to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40" w:right="59" w:firstLine="713"/>
        <w:spacing w:after="0" w:line="219" w:lineRule="exact"/>
        <w:rPr>
          <w:sz w:val="20"/>
          <w:szCs w:val="20"/>
          <w:color w:val="auto"/>
        </w:rPr>
      </w:pPr>
      <w:r>
        <w:rPr>
          <w:rFonts w:ascii="Arial" w:cs="Arial" w:eastAsia="Arial" w:hAnsi="Arial"/>
          <w:sz w:val="17"/>
          <w:szCs w:val="17"/>
          <w:i w:val="1"/>
          <w:iCs w:val="1"/>
          <w:color w:val="auto"/>
        </w:rPr>
        <w:t>The following discussion should be read in conjunction with the financial statements and accompanying notes and the information contained in other sections of this Form 10-Q. It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as a result of various factors, including those discussed in this Form 10-Q and in our Registration Statement on Form S-1, particularly under the heading “Risk Factors.”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40" w:right="59" w:firstLine="648"/>
        <w:spacing w:after="0" w:line="224" w:lineRule="exact"/>
        <w:rPr>
          <w:sz w:val="20"/>
          <w:szCs w:val="20"/>
          <w:color w:val="auto"/>
        </w:rPr>
      </w:pPr>
      <w:r>
        <w:rPr>
          <w:rFonts w:ascii="Arial" w:cs="Arial" w:eastAsia="Arial" w:hAnsi="Arial"/>
          <w:sz w:val="16"/>
          <w:szCs w:val="16"/>
          <w:color w:val="auto"/>
        </w:rPr>
        <w:t>Legacy Housing Corporation builds, sells and finances manufactured homes and “tiny houses” that are distributed through a network of independent retailers and company</w:t>
      </w:r>
      <w:r>
        <w:rPr>
          <w:rFonts w:ascii="MS PGothic" w:cs="MS PGothic" w:eastAsia="MS PGothic" w:hAnsi="MS PGothic"/>
          <w:sz w:val="16"/>
          <w:szCs w:val="16"/>
          <w:color w:val="auto"/>
        </w:rPr>
        <w:t>‑</w:t>
      </w:r>
      <w:r>
        <w:rPr>
          <w:rFonts w:ascii="Arial" w:cs="Arial" w:eastAsia="Arial" w:hAnsi="Arial"/>
          <w:sz w:val="16"/>
          <w:szCs w:val="16"/>
          <w:color w:val="auto"/>
        </w:rPr>
        <w:t>owned stores and are sold directly to manufactured housing communities. We are the fourth largest producer of manufactured homes in the United States as ranked by number of homes manufactured based on information available from the Manufactured Housing Institute and IBTS for the fourth quarter of 2019.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6"/>
          <w:szCs w:val="16"/>
          <w:color w:val="auto"/>
        </w:rPr>
        <w:t>/</w:t>
      </w:r>
      <w:r>
        <w:rPr>
          <w:rFonts w:ascii="Arial" w:cs="Arial" w:eastAsia="Arial" w:hAnsi="Arial"/>
          <w:sz w:val="28"/>
          <w:szCs w:val="28"/>
          <w:color w:val="auto"/>
          <w:vertAlign w:val="subscript"/>
        </w:rPr>
        <w:t>2</w:t>
      </w:r>
    </w:p>
    <w:p>
      <w:pPr>
        <w:spacing w:after="0" w:line="5"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bathrooms. Our homes range in price, at retail, from approximately $22,000 to $140,000. For the three months ended March 31, 2020, we sold 849 home sections (which are entire homes or single floors that are combined to create complete homes) and for the three months ended March 31, 2019, we sold 918 home sections.</w:t>
      </w:r>
    </w:p>
    <w:p>
      <w:pPr>
        <w:spacing w:after="0" w:line="145"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w:t>
      </w:r>
      <w:r>
        <w:rPr>
          <w:rFonts w:ascii="MS PGothic" w:cs="MS PGothic" w:eastAsia="MS PGothic" w:hAnsi="MS PGothic"/>
          <w:sz w:val="16"/>
          <w:szCs w:val="16"/>
          <w:color w:val="auto"/>
        </w:rPr>
        <w:t>‑</w:t>
      </w:r>
      <w:r>
        <w:rPr>
          <w:rFonts w:ascii="Arial" w:cs="Arial" w:eastAsia="Arial" w:hAnsi="Arial"/>
          <w:sz w:val="16"/>
          <w:szCs w:val="16"/>
          <w:color w:val="auto"/>
        </w:rPr>
        <w:t>maker, the Executive Chairman of the Board, are based upon analyses of our company as one segment or unit.</w:t>
      </w:r>
    </w:p>
    <w:p>
      <w:pPr>
        <w:spacing w:after="0" w:line="165" w:lineRule="exact"/>
        <w:rPr>
          <w:sz w:val="20"/>
          <w:szCs w:val="20"/>
          <w:color w:val="auto"/>
        </w:rPr>
      </w:pPr>
    </w:p>
    <w:p>
      <w:pPr>
        <w:ind w:left="40" w:right="59" w:firstLine="713"/>
        <w:spacing w:after="0" w:line="217" w:lineRule="exact"/>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w:t>
      </w:r>
      <w:r>
        <w:rPr>
          <w:rFonts w:ascii="MS PGothic" w:cs="MS PGothic" w:eastAsia="MS PGothic" w:hAnsi="MS PGothic"/>
          <w:sz w:val="16"/>
          <w:szCs w:val="16"/>
          <w:color w:val="auto"/>
        </w:rPr>
        <w:t>‑</w:t>
      </w:r>
      <w:r>
        <w:rPr>
          <w:rFonts w:ascii="Arial" w:cs="Arial" w:eastAsia="Arial" w:hAnsi="Arial"/>
          <w:sz w:val="16"/>
          <w:szCs w:val="16"/>
          <w:color w:val="auto"/>
        </w:rPr>
        <w:t>made homes using quality materials and distributing those homes through our expansive network of independent retailers and company</w:t>
      </w:r>
      <w:r>
        <w:rPr>
          <w:rFonts w:ascii="MS PGothic" w:cs="MS PGothic" w:eastAsia="MS PGothic" w:hAnsi="MS PGothic"/>
          <w:sz w:val="16"/>
          <w:szCs w:val="16"/>
          <w:color w:val="auto"/>
        </w:rPr>
        <w:t>‑</w:t>
      </w:r>
      <w:r>
        <w:rPr>
          <w:rFonts w:ascii="Arial" w:cs="Arial" w:eastAsia="Arial" w:hAnsi="Arial"/>
          <w:sz w:val="16"/>
          <w:szCs w:val="16"/>
          <w:color w:val="auto"/>
        </w:rPr>
        <w:t>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w:t>
      </w:r>
      <w:r>
        <w:rPr>
          <w:rFonts w:ascii="MS PGothic" w:cs="MS PGothic" w:eastAsia="MS PGothic" w:hAnsi="MS PGothic"/>
          <w:sz w:val="16"/>
          <w:szCs w:val="16"/>
          <w:color w:val="auto"/>
        </w:rPr>
        <w:t>‑</w:t>
      </w:r>
      <w:r>
        <w:rPr>
          <w:rFonts w:ascii="Arial" w:cs="Arial" w:eastAsia="Arial" w:hAnsi="Arial"/>
          <w:sz w:val="16"/>
          <w:szCs w:val="16"/>
          <w:color w:val="auto"/>
        </w:rPr>
        <w:t>volume production techniques that allow us to produce, on average, approximately 75 home sections, or 62 fully</w:t>
      </w:r>
      <w:r>
        <w:rPr>
          <w:rFonts w:ascii="MS PGothic" w:cs="MS PGothic" w:eastAsia="MS PGothic" w:hAnsi="MS PGothic"/>
          <w:sz w:val="16"/>
          <w:szCs w:val="16"/>
          <w:color w:val="auto"/>
        </w:rPr>
        <w:t>‑</w:t>
      </w:r>
      <w:r>
        <w:rPr>
          <w:rFonts w:ascii="Arial" w:cs="Arial" w:eastAsia="Arial" w:hAnsi="Arial"/>
          <w:sz w:val="16"/>
          <w:szCs w:val="16"/>
          <w:color w:val="auto"/>
        </w:rPr>
        <w:t>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art kitchens.</w:t>
      </w:r>
    </w:p>
    <w:p>
      <w:pPr>
        <w:spacing w:after="0" w:line="234"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7"/>
          <w:szCs w:val="17"/>
          <w:color w:val="auto"/>
        </w:rPr>
        <w:t>Our homes are marketed under our premier “Legacy” brand name and currently are sold primarily across 15 states through a network of 85 independent retail locations, 13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and through direct sales to owners of manufactured home communities. Our 13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including 11 Heritage Housing stores and two Tiny House Outlet stores exclusively sell our homes. For the three months ended March 31, 2020, approximately 47% of our manufactured homes were sold in Texas, followed by 10% in Kentucky, 9% in North Carolina, 8% in Georgia, and 5% in Kansas. For the three months ended March 31, 2019, approximately 54% of our manufactured homes were sold in Texas, followed by 10% in Georgia, 8% in Florida, 8% in Kansas and 5% in Michigan. We plan to deepen our distribution channel by using cash from operations and borrowings from our lines of credit to expand our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in new and existing markets.</w:t>
      </w:r>
    </w:p>
    <w:p>
      <w:pPr>
        <w:spacing w:after="0" w:line="162" w:lineRule="exact"/>
        <w:rPr>
          <w:sz w:val="20"/>
          <w:szCs w:val="20"/>
          <w:color w:val="auto"/>
        </w:rPr>
      </w:pPr>
    </w:p>
    <w:p>
      <w:pPr>
        <w:ind w:left="40" w:right="159" w:firstLine="648"/>
        <w:spacing w:after="0" w:line="219" w:lineRule="exact"/>
        <w:rPr>
          <w:sz w:val="20"/>
          <w:szCs w:val="20"/>
          <w:color w:val="auto"/>
        </w:rPr>
      </w:pPr>
      <w:r>
        <w:rPr>
          <w:rFonts w:ascii="Arial" w:cs="Arial" w:eastAsia="Arial" w:hAnsi="Arial"/>
          <w:sz w:val="16"/>
          <w:szCs w:val="16"/>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w:t>
      </w:r>
      <w:r>
        <w:rPr>
          <w:rFonts w:ascii="MS PGothic" w:cs="MS PGothic" w:eastAsia="MS PGothic" w:hAnsi="MS PGothic"/>
          <w:sz w:val="16"/>
          <w:szCs w:val="16"/>
          <w:color w:val="auto"/>
        </w:rPr>
        <w:t>‑</w:t>
      </w:r>
      <w:r>
        <w:rPr>
          <w:rFonts w:ascii="Arial" w:cs="Arial" w:eastAsia="Arial" w:hAnsi="Arial"/>
          <w:sz w:val="16"/>
          <w:szCs w:val="16"/>
          <w:color w:val="auto"/>
        </w:rPr>
        <w:t>users through both independent and company</w:t>
      </w:r>
      <w:r>
        <w:rPr>
          <w:rFonts w:ascii="MS PGothic" w:cs="MS PGothic" w:eastAsia="MS PGothic" w:hAnsi="MS PGothic"/>
          <w:sz w:val="16"/>
          <w:szCs w:val="16"/>
          <w:color w:val="auto"/>
        </w:rPr>
        <w:t>‑</w:t>
      </w:r>
      <w:r>
        <w:rPr>
          <w:rFonts w:ascii="Arial" w:cs="Arial" w:eastAsia="Arial" w:hAnsi="Arial"/>
          <w:sz w:val="16"/>
          <w:szCs w:val="16"/>
          <w:color w:val="auto"/>
        </w:rPr>
        <w:t>owned retail locations, and we provide financing solutions to manufactured housing community owners that buy our products for use in their manufactured housing communities. Our ability to offer competitive financing options at our retail locations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provides us with several competitive advantages and allows us to capture sales which may not have otherwise occurred without our ability to offer consumer financing.</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40" w:right="279" w:firstLine="648"/>
        <w:spacing w:after="0" w:line="255"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52"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6"/>
          <w:szCs w:val="16"/>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w:t>
      </w:r>
      <w:r>
        <w:rPr>
          <w:rFonts w:ascii="MS PGothic" w:cs="MS PGothic" w:eastAsia="MS PGothic" w:hAnsi="MS PGothic"/>
          <w:sz w:val="16"/>
          <w:szCs w:val="16"/>
          <w:color w:val="auto"/>
        </w:rPr>
        <w:t>‑</w:t>
      </w:r>
      <w:r>
        <w:rPr>
          <w:rFonts w:ascii="Arial" w:cs="Arial" w:eastAsia="Arial" w:hAnsi="Arial"/>
          <w:sz w:val="16"/>
          <w:szCs w:val="16"/>
          <w:color w:val="auto"/>
        </w:rPr>
        <w:t>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30" w:lineRule="exact"/>
        <w:rPr>
          <w:sz w:val="20"/>
          <w:szCs w:val="20"/>
          <w:color w:val="auto"/>
        </w:rPr>
      </w:pPr>
    </w:p>
    <w:p>
      <w:pPr>
        <w:ind w:left="1020" w:right="119" w:hanging="328"/>
        <w:spacing w:after="0" w:line="219" w:lineRule="exact"/>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Consistent with our long</w:t>
      </w:r>
      <w:r>
        <w:rPr>
          <w:rFonts w:ascii="MS PGothic" w:cs="MS PGothic" w:eastAsia="MS PGothic" w:hAnsi="MS PGothic"/>
          <w:sz w:val="17"/>
          <w:szCs w:val="17"/>
          <w:color w:val="auto"/>
        </w:rPr>
        <w:t>‑</w:t>
      </w:r>
      <w:r>
        <w:rPr>
          <w:rFonts w:ascii="Arial" w:cs="Arial" w:eastAsia="Arial" w:hAnsi="Arial"/>
          <w:sz w:val="17"/>
          <w:szCs w:val="17"/>
          <w:color w:val="auto"/>
        </w:rPr>
        <w:t>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initially anticipated opening 2 to 4 additional retail centers by the end of 2020, but we will reassess those plans once we have a clearer understanding of the COVID-19 pandemic’s impact on the retail business.</w:t>
      </w:r>
    </w:p>
    <w:p>
      <w:pPr>
        <w:spacing w:after="0" w:line="161" w:lineRule="exact"/>
        <w:rPr>
          <w:rFonts w:ascii="Arial" w:cs="Arial" w:eastAsia="Arial" w:hAnsi="Arial"/>
          <w:sz w:val="17"/>
          <w:szCs w:val="17"/>
          <w:color w:val="auto"/>
        </w:rPr>
      </w:pPr>
    </w:p>
    <w:p>
      <w:pPr>
        <w:ind w:left="1020" w:right="99" w:hanging="328"/>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purchased several properties in our market area for the purpose of developing manufactured housing communities and subdivisions. As of March 31, 2020, these properties include the following:</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Date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980" w:type="dxa"/>
            <w:vAlign w:val="bottom"/>
          </w:tcPr>
          <w:p>
            <w:pPr>
              <w:ind w:left="2160"/>
              <w:spacing w:after="0"/>
              <w:rPr>
                <w:sz w:val="20"/>
                <w:szCs w:val="20"/>
                <w:color w:val="auto"/>
              </w:rPr>
            </w:pPr>
            <w:r>
              <w:rPr>
                <w:rFonts w:ascii="Arial" w:cs="Arial" w:eastAsia="Arial" w:hAnsi="Arial"/>
                <w:sz w:val="18"/>
                <w:szCs w:val="18"/>
                <w:color w:val="auto"/>
              </w:rPr>
              <w:t>Location</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w w:val="93"/>
              </w:rPr>
              <w:t>Description</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Cost</w:t>
            </w: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Bastrop County, Texas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400 Acres</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4,400,000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Bexar County, Texas</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100 Acres</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November 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1,300,000</w:t>
            </w:r>
          </w:p>
        </w:tc>
      </w:tr>
      <w:tr>
        <w:trPr>
          <w:trHeight w:val="202"/>
        </w:trPr>
        <w:tc>
          <w:tcPr>
            <w:tcW w:w="4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Various 2018-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Horseshoe Bay, Texas</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133 Acres</w:t>
            </w:r>
          </w:p>
        </w:tc>
        <w:tc>
          <w:tcPr>
            <w:tcW w:w="1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2,431,000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Johnson County, Texas</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w w:val="97"/>
              </w:rPr>
              <w:t>91.5 Acres</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July 2019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445,000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Venus, Texas</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 Acres</w:t>
            </w:r>
          </w:p>
        </w:tc>
        <w:tc>
          <w:tcPr>
            <w:tcW w:w="1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August 2019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422,000</w:t>
            </w:r>
          </w:p>
        </w:tc>
      </w:tr>
      <w:tr>
        <w:trPr>
          <w:trHeight w:val="224"/>
        </w:trPr>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8,998,000</w:t>
            </w:r>
          </w:p>
        </w:tc>
      </w:tr>
    </w:tbl>
    <w:p>
      <w:pPr>
        <w:spacing w:after="0" w:line="187" w:lineRule="exact"/>
        <w:rPr>
          <w:sz w:val="20"/>
          <w:szCs w:val="20"/>
          <w:color w:val="auto"/>
        </w:rPr>
      </w:pPr>
    </w:p>
    <w:p>
      <w:pPr>
        <w:ind w:left="1020" w:right="99" w:hanging="328"/>
        <w:spacing w:after="0" w:line="219" w:lineRule="exact"/>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also expect to provide financing solutions to a select group of our manufactured housing community</w:t>
      </w:r>
      <w:r>
        <w:rPr>
          <w:rFonts w:ascii="MS PGothic" w:cs="MS PGothic" w:eastAsia="MS PGothic" w:hAnsi="MS PGothic"/>
          <w:sz w:val="17"/>
          <w:szCs w:val="17"/>
          <w:color w:val="auto"/>
        </w:rPr>
        <w:t>‑</w:t>
      </w:r>
      <w:r>
        <w:rPr>
          <w:rFonts w:ascii="Arial" w:cs="Arial" w:eastAsia="Arial" w:hAnsi="Arial"/>
          <w:sz w:val="17"/>
          <w:szCs w:val="17"/>
          <w:color w:val="auto"/>
        </w:rPr>
        <w:t>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64" w:lineRule="exact"/>
        <w:rPr>
          <w:rFonts w:ascii="Arial" w:cs="Arial" w:eastAsia="Arial" w:hAnsi="Arial"/>
          <w:sz w:val="17"/>
          <w:szCs w:val="17"/>
          <w:color w:val="auto"/>
        </w:rPr>
      </w:pPr>
    </w:p>
    <w:p>
      <w:pPr>
        <w:ind w:left="1020" w:right="99" w:hanging="328"/>
        <w:spacing w:after="0" w:line="29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Finally, our financial performance will be impacted by our ability to fulfill current orders for our manufactured homes from dealers and customers. Currently, our two Texas manufacturing facilities are 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left="1020" w:right="139"/>
        <w:spacing w:after="0" w:line="311" w:lineRule="auto"/>
        <w:rPr>
          <w:sz w:val="20"/>
          <w:szCs w:val="20"/>
          <w:color w:val="auto"/>
        </w:rPr>
      </w:pPr>
      <w:r>
        <w:rPr>
          <w:rFonts w:ascii="Arial" w:cs="Arial" w:eastAsia="Arial" w:hAnsi="Arial"/>
          <w:sz w:val="16"/>
          <w:szCs w:val="16"/>
          <w:color w:val="auto"/>
        </w:rPr>
        <w:t>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08" w:lineRule="exact"/>
        <w:rPr>
          <w:sz w:val="20"/>
          <w:szCs w:val="20"/>
          <w:color w:val="auto"/>
        </w:rPr>
      </w:pPr>
    </w:p>
    <w:p>
      <w:pPr>
        <w:ind w:left="1020" w:right="479" w:hanging="328"/>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660" w:right="379" w:hanging="320"/>
        <w:spacing w:after="0" w:line="289" w:lineRule="auto"/>
        <w:tabs>
          <w:tab w:leader="none" w:pos="1660" w:val="left"/>
        </w:tabs>
        <w:numPr>
          <w:ilvl w:val="0"/>
          <w:numId w:val="10"/>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660" w:right="139" w:hanging="320"/>
        <w:spacing w:after="0" w:line="254" w:lineRule="auto"/>
        <w:tabs>
          <w:tab w:leader="none" w:pos="16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9" w:lineRule="exact"/>
        <w:rPr>
          <w:rFonts w:ascii="Courier New" w:cs="Courier New" w:eastAsia="Courier New" w:hAnsi="Courier New"/>
          <w:sz w:val="18"/>
          <w:szCs w:val="18"/>
          <w:color w:val="auto"/>
        </w:rPr>
      </w:pPr>
    </w:p>
    <w:p>
      <w:pPr>
        <w:jc w:val="both"/>
        <w:ind w:left="1660" w:right="259" w:hanging="320"/>
        <w:spacing w:after="0" w:line="275" w:lineRule="auto"/>
        <w:tabs>
          <w:tab w:leader="none" w:pos="1660" w:val="left"/>
        </w:tabs>
        <w:numPr>
          <w:ilvl w:val="0"/>
          <w:numId w:val="10"/>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reduced product demand, or government-mandated closures of our factories, company-owned stores, or retail lots of independent dealers who carry our products;</w:t>
      </w:r>
    </w:p>
    <w:p>
      <w:pPr>
        <w:spacing w:after="0" w:line="174" w:lineRule="exact"/>
        <w:rPr>
          <w:rFonts w:ascii="Courier New" w:cs="Courier New" w:eastAsia="Courier New" w:hAnsi="Courier New"/>
          <w:sz w:val="17"/>
          <w:szCs w:val="17"/>
          <w:color w:val="auto"/>
        </w:rPr>
      </w:pPr>
    </w:p>
    <w:p>
      <w:pPr>
        <w:ind w:left="1660" w:right="599" w:hanging="320"/>
        <w:spacing w:after="0" w:line="323" w:lineRule="auto"/>
        <w:tabs>
          <w:tab w:leader="none" w:pos="1660" w:val="left"/>
        </w:tabs>
        <w:numPr>
          <w:ilvl w:val="0"/>
          <w:numId w:val="10"/>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660" w:right="579" w:hanging="320"/>
        <w:spacing w:after="0" w:line="259" w:lineRule="auto"/>
        <w:tabs>
          <w:tab w:leader="none" w:pos="16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660" w:hanging="320"/>
        <w:spacing w:after="0"/>
        <w:tabs>
          <w:tab w:leader="none" w:pos="16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660" w:right="559" w:hanging="320"/>
        <w:spacing w:after="0" w:line="254" w:lineRule="auto"/>
        <w:tabs>
          <w:tab w:leader="none" w:pos="16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jc w:val="both"/>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4" w:lineRule="exact"/>
        <w:rPr>
          <w:sz w:val="20"/>
          <w:szCs w:val="20"/>
          <w:color w:val="auto"/>
        </w:rPr>
      </w:pPr>
    </w:p>
    <w:p>
      <w:pPr>
        <w:ind w:left="1020" w:right="59"/>
        <w:spacing w:after="0" w:line="257" w:lineRule="auto"/>
        <w:rPr>
          <w:sz w:val="20"/>
          <w:szCs w:val="20"/>
          <w:color w:val="auto"/>
        </w:rPr>
      </w:pPr>
      <w:r>
        <w:rPr>
          <w:rFonts w:ascii="Arial" w:cs="Arial" w:eastAsia="Arial" w:hAnsi="Arial"/>
          <w:sz w:val="18"/>
          <w:szCs w:val="18"/>
          <w:color w:val="auto"/>
        </w:rPr>
        <w:t>Management has taken a number of actions in recent weeks, including stimulating demand by offering discounts and modified purchase terms, reducing production labor, suspending overtime, and reducing rates of pay for non-production workers. Additionally, the Company negotiated a new credit agreement with its primary bank that expanded and extended our credit facility. The new credit agreement closed on March 30,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Three Months ended March 31, 2020 and 2019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9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31,195</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31,550</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10,609</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507.7 %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1,166.7 %</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Gain on settlement,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78.8 %</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w:t>
            </w:r>
          </w:p>
        </w:tc>
        <w:tc>
          <w:tcPr>
            <w:tcW w:w="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Income tax expense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1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7"/>
          <w:szCs w:val="17"/>
          <w:color w:val="auto"/>
        </w:rPr>
        <w:t>Product sales primarily consist of direct sales, commercial sales, consignment sales and retail store sales. Product sales decreased $0.4 million, or 1.1%, during the three months ended March 31, 2020 as compared to the same period in 2019. This change was driven by an increase in commercial sales offset by a decline in consignment sales, direct sales, retail store sales and other product sales. Commercial sales increased $3.3 million to $15.8 million in 2020 from $12.5 million in 2019. This increase was offset by a net $1.2 million decrease in consignment sales to $8.8 million in 2020 from $10.0 million in 2019, a $2.2 million decrease in direct sales to $2.2 million in 2020 from $4.4 million in 2019 and a $0.1 million decrease in our company</w:t>
      </w:r>
      <w:r>
        <w:rPr>
          <w:rFonts w:ascii="MS PGothic" w:cs="MS PGothic" w:eastAsia="MS PGothic" w:hAnsi="MS PGothic"/>
          <w:sz w:val="17"/>
          <w:szCs w:val="17"/>
          <w:color w:val="auto"/>
        </w:rPr>
        <w:t>‑</w:t>
      </w:r>
      <w:r>
        <w:rPr>
          <w:rFonts w:ascii="Arial" w:cs="Arial" w:eastAsia="Arial" w:hAnsi="Arial"/>
          <w:sz w:val="17"/>
          <w:szCs w:val="17"/>
          <w:color w:val="auto"/>
        </w:rPr>
        <w:t>owned retail stores sales to $3.2 million in 2020 from $3.3 million in 2019 . Other product sales decreased $0.1 million to $1.1 million in 2020 from $1.2 million in 2019 and is primarily due to a decrease in parts sales and miscellaneous sales income.</w:t>
      </w:r>
    </w:p>
    <w:p>
      <w:pPr>
        <w:spacing w:after="0" w:line="162" w:lineRule="exact"/>
        <w:rPr>
          <w:sz w:val="20"/>
          <w:szCs w:val="20"/>
          <w:color w:val="auto"/>
        </w:rPr>
      </w:pPr>
    </w:p>
    <w:p>
      <w:pPr>
        <w:ind w:left="40" w:right="279" w:firstLine="648"/>
        <w:spacing w:after="0" w:line="223" w:lineRule="exact"/>
        <w:rPr>
          <w:sz w:val="20"/>
          <w:szCs w:val="20"/>
          <w:color w:val="auto"/>
        </w:rPr>
      </w:pPr>
      <w:r>
        <w:rPr>
          <w:rFonts w:ascii="Arial" w:cs="Arial" w:eastAsia="Arial" w:hAnsi="Arial"/>
          <w:sz w:val="18"/>
          <w:szCs w:val="18"/>
          <w:color w:val="auto"/>
        </w:rPr>
        <w:t>Net revenue attributable to our factory</w:t>
      </w:r>
      <w:r>
        <w:rPr>
          <w:rFonts w:ascii="MS PGothic" w:cs="MS PGothic" w:eastAsia="MS PGothic" w:hAnsi="MS PGothic"/>
          <w:sz w:val="18"/>
          <w:szCs w:val="18"/>
          <w:color w:val="auto"/>
        </w:rPr>
        <w:t>‑</w:t>
      </w:r>
      <w:r>
        <w:rPr>
          <w:rFonts w:ascii="Arial" w:cs="Arial" w:eastAsia="Arial" w:hAnsi="Arial"/>
          <w:sz w:val="18"/>
          <w:szCs w:val="18"/>
          <w:color w:val="auto"/>
        </w:rPr>
        <w:t>built housing consisted of the following during the three months of 2019 and 2018:</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left="360"/>
              <w:spacing w:after="0" w:line="149" w:lineRule="exact"/>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95"/>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31,550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products sold</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Net revenue per product sold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8"/>
          <w:szCs w:val="18"/>
          <w:color w:val="auto"/>
        </w:rPr>
        <w:t>For the three months ended March 31, 2020, our net revenue per product sold increased slightly because of changes in our product sales mix. We had increases in sales to manufactured home communities and through our company</w:t>
      </w:r>
      <w:r>
        <w:rPr>
          <w:rFonts w:ascii="MS PGothic" w:cs="MS PGothic" w:eastAsia="MS PGothic" w:hAnsi="MS PGothic"/>
          <w:sz w:val="18"/>
          <w:szCs w:val="18"/>
          <w:color w:val="auto"/>
        </w:rPr>
        <w:t>‑</w:t>
      </w:r>
      <w:r>
        <w:rPr>
          <w:rFonts w:ascii="Arial" w:cs="Arial" w:eastAsia="Arial" w:hAnsi="Arial"/>
          <w:sz w:val="18"/>
          <w:szCs w:val="18"/>
          <w:color w:val="auto"/>
        </w:rPr>
        <w:t>owned retail stores. These increases were partially offset by declines in direct sales and consignment sales. Sales through our company</w:t>
      </w:r>
      <w:r>
        <w:rPr>
          <w:rFonts w:ascii="MS PGothic" w:cs="MS PGothic" w:eastAsia="MS PGothic" w:hAnsi="MS PGothic"/>
          <w:sz w:val="18"/>
          <w:szCs w:val="18"/>
          <w:color w:val="auto"/>
        </w:rPr>
        <w:t>‑</w:t>
      </w:r>
      <w:r>
        <w:rPr>
          <w:rFonts w:ascii="Arial" w:cs="Arial" w:eastAsia="Arial" w:hAnsi="Arial"/>
          <w:sz w:val="18"/>
          <w:szCs w:val="18"/>
          <w:color w:val="auto"/>
        </w:rPr>
        <w:t>owned retail stores and sales to manufactured home communities have higher margins than our direct sales and consignment sales.</w:t>
      </w:r>
    </w:p>
    <w:p>
      <w:pPr>
        <w:spacing w:after="0" w:line="178" w:lineRule="exact"/>
        <w:rPr>
          <w:sz w:val="20"/>
          <w:szCs w:val="20"/>
          <w:color w:val="auto"/>
        </w:rPr>
      </w:pPr>
    </w:p>
    <w:p>
      <w:pPr>
        <w:ind w:left="40" w:right="139" w:firstLine="648"/>
        <w:spacing w:after="0" w:line="342" w:lineRule="auto"/>
        <w:rPr>
          <w:sz w:val="20"/>
          <w:szCs w:val="20"/>
          <w:color w:val="auto"/>
        </w:rPr>
      </w:pPr>
      <w:r>
        <w:rPr>
          <w:rFonts w:ascii="Arial" w:cs="Arial" w:eastAsia="Arial" w:hAnsi="Arial"/>
          <w:sz w:val="16"/>
          <w:szCs w:val="16"/>
          <w:color w:val="auto"/>
        </w:rPr>
        <w:t>Consumer and MHP loans interest income grew $0.9 million, or 16.2%, during the three months ended March 31, 2020 as compared to the same period in 2019 and is related to our increase in outstanding MHP Note portfolio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40" w:right="1099"/>
        <w:spacing w:after="0" w:line="277" w:lineRule="auto"/>
        <w:rPr>
          <w:sz w:val="20"/>
          <w:szCs w:val="20"/>
          <w:color w:val="auto"/>
        </w:rPr>
      </w:pPr>
      <w:r>
        <w:rPr>
          <w:rFonts w:ascii="Arial" w:cs="Arial" w:eastAsia="Arial" w:hAnsi="Arial"/>
          <w:sz w:val="18"/>
          <w:szCs w:val="18"/>
          <w:color w:val="auto"/>
        </w:rPr>
        <w:t>consumer loan portfolio. Between March 31, 2019 and March 31, 2020 our MHP Note portfolio increased by $40.7 million and the consumer loan portfolio increased by $6.7 million.</w:t>
      </w:r>
    </w:p>
    <w:p>
      <w:pPr>
        <w:spacing w:after="0" w:line="143" w:lineRule="exact"/>
        <w:rPr>
          <w:sz w:val="20"/>
          <w:szCs w:val="20"/>
          <w:color w:val="auto"/>
        </w:rPr>
      </w:pPr>
    </w:p>
    <w:p>
      <w:pPr>
        <w:jc w:val="both"/>
        <w:ind w:left="40" w:right="299" w:firstLine="648"/>
        <w:spacing w:after="0" w:line="263" w:lineRule="auto"/>
        <w:rPr>
          <w:sz w:val="20"/>
          <w:szCs w:val="20"/>
          <w:color w:val="auto"/>
        </w:rPr>
      </w:pPr>
      <w:r>
        <w:rPr>
          <w:rFonts w:ascii="Arial" w:cs="Arial" w:eastAsia="Arial" w:hAnsi="Arial"/>
          <w:sz w:val="18"/>
          <w:szCs w:val="18"/>
          <w:color w:val="auto"/>
        </w:rPr>
        <w:t>Other revenue primarily consists of service fees and consignment fees. Other revenue decreased $0.2 million or 25.2% during the three months ended March 31, 2020 as compared to the same period in 2019 and is primarily due to a $0.2 million decrease in setup and service fees revenue.</w:t>
      </w:r>
    </w:p>
    <w:p>
      <w:pPr>
        <w:spacing w:after="0" w:line="143" w:lineRule="exact"/>
        <w:rPr>
          <w:sz w:val="20"/>
          <w:szCs w:val="20"/>
          <w:color w:val="auto"/>
        </w:rPr>
      </w:pPr>
    </w:p>
    <w:p>
      <w:pPr>
        <w:jc w:val="both"/>
        <w:ind w:left="40" w:right="299" w:firstLine="648"/>
        <w:spacing w:after="0" w:line="308" w:lineRule="auto"/>
        <w:rPr>
          <w:sz w:val="20"/>
          <w:szCs w:val="20"/>
          <w:color w:val="auto"/>
        </w:rPr>
      </w:pPr>
      <w:r>
        <w:rPr>
          <w:rFonts w:ascii="Arial" w:cs="Arial" w:eastAsia="Arial" w:hAnsi="Arial"/>
          <w:sz w:val="17"/>
          <w:szCs w:val="17"/>
          <w:color w:val="auto"/>
        </w:rPr>
        <w:t>The cost of product sales remained flat during the three months ended March 31, 2020 as compared to the same period in 2019 and is consistent with the relatively flat number of home units sold during the same periods.</w:t>
      </w:r>
    </w:p>
    <w:p>
      <w:pPr>
        <w:spacing w:after="0" w:line="106" w:lineRule="exact"/>
        <w:rPr>
          <w:sz w:val="20"/>
          <w:szCs w:val="20"/>
          <w:color w:val="auto"/>
        </w:rPr>
      </w:pPr>
    </w:p>
    <w:p>
      <w:pPr>
        <w:ind w:left="40" w:right="79" w:firstLine="713"/>
        <w:spacing w:after="0" w:line="291" w:lineRule="auto"/>
        <w:rPr>
          <w:sz w:val="20"/>
          <w:szCs w:val="20"/>
          <w:color w:val="auto"/>
        </w:rPr>
      </w:pPr>
      <w:r>
        <w:rPr>
          <w:rFonts w:ascii="Arial" w:cs="Arial" w:eastAsia="Arial" w:hAnsi="Arial"/>
          <w:sz w:val="16"/>
          <w:szCs w:val="16"/>
          <w:color w:val="auto"/>
        </w:rPr>
        <w:t>Selling, general and administrative expenses decreased $0.9 million, or 13.5%, during the three months ended March 31, 2020 as compared to the same period in 2019. This decrease was primarily due to $0.5 million of retail store expenses recorded as SG&amp;A in the first quarter of 2019 that were subsequently recorded in cost of sales later in 2019, a $0.3 million decrease in advertising and promotions, a $0.3 million decrease in consulting and professional fees and a $0.2 million expense in the first quarter of 2019 for settlement of a lawsuit. These decreases were partially offset by $0.3 million increase in salaries and incentive costs related to our operations as a public company, and a $0.1 million increase in warranty costs. In addition, dealer incentive expense was flat in 2020 as compared to 2019.</w:t>
      </w:r>
    </w:p>
    <w:p>
      <w:pPr>
        <w:spacing w:after="0" w:line="139" w:lineRule="exact"/>
        <w:rPr>
          <w:sz w:val="20"/>
          <w:szCs w:val="20"/>
          <w:color w:val="auto"/>
        </w:rPr>
      </w:pPr>
    </w:p>
    <w:p>
      <w:pPr>
        <w:ind w:left="40" w:right="79" w:firstLine="713"/>
        <w:spacing w:after="0" w:line="259" w:lineRule="auto"/>
        <w:rPr>
          <w:sz w:val="20"/>
          <w:szCs w:val="20"/>
          <w:color w:val="auto"/>
        </w:rPr>
      </w:pPr>
      <w:r>
        <w:rPr>
          <w:rFonts w:ascii="Arial" w:cs="Arial" w:eastAsia="Arial" w:hAnsi="Arial"/>
          <w:sz w:val="18"/>
          <w:szCs w:val="18"/>
          <w:color w:val="auto"/>
        </w:rPr>
        <w:t>Other income (expense), net increased $1.2 million, or 788.4%, during the three months ended March 30, 2020 as compared to the same period in 2019. This increase was primarily due to a $1.1 million gain due to the settlement of a lawsuit with a previous vendor for the Company and an increase of $0.2 million in non-operating interest income offset by a $0.1 million increase in interest expense.</w:t>
      </w:r>
    </w:p>
    <w:p>
      <w:pPr>
        <w:spacing w:after="0" w:line="146"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Income tax expense during the three months ended March 31, 2020 was $2.6 million compared to $2.0 million for the same period in 2019. The effective tax rate for the three months ended March 31, 2020 was 22.3% and differs from the federal statutory rate of 21% primarily due to state income taxes and other permanent differences between book and tax basis. The effective tax rate for the three months ended March 31, 2019 was 21.8% and differs from the federal statutory rate of 21% primarily due to state income taxes.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40" w:right="79" w:firstLine="648"/>
        <w:spacing w:after="0" w:line="284" w:lineRule="auto"/>
        <w:rPr>
          <w:sz w:val="20"/>
          <w:szCs w:val="20"/>
          <w:color w:val="auto"/>
        </w:rPr>
      </w:pPr>
      <w:r>
        <w:rPr>
          <w:rFonts w:ascii="Arial" w:cs="Arial" w:eastAsia="Arial" w:hAnsi="Arial"/>
          <w:sz w:val="16"/>
          <w:szCs w:val="16"/>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March 31, 2020, and availability on our lines of credit will be sufficient to fund our operations and provide for growth for the next 12 to 18 months and into the foreseeable future. As of March 31, 2020, we had approximately $3.7 million in cash and cash equivalents, compared to $1.7 million as of December 31,</w:t>
      </w:r>
    </w:p>
    <w:p>
      <w:pPr>
        <w:spacing w:after="0" w:line="4" w:lineRule="exact"/>
        <w:rPr>
          <w:sz w:val="20"/>
          <w:szCs w:val="20"/>
          <w:color w:val="auto"/>
        </w:rPr>
      </w:pPr>
    </w:p>
    <w:p>
      <w:pPr>
        <w:ind w:left="40" w:right="379"/>
        <w:spacing w:after="0" w:line="260" w:lineRule="auto"/>
        <w:rPr>
          <w:sz w:val="20"/>
          <w:szCs w:val="20"/>
          <w:color w:val="auto"/>
        </w:rPr>
      </w:pPr>
      <w:r>
        <w:rPr>
          <w:rFonts w:ascii="Arial" w:cs="Arial" w:eastAsia="Arial" w:hAnsi="Arial"/>
          <w:sz w:val="18"/>
          <w:szCs w:val="18"/>
          <w:color w:val="auto"/>
        </w:rPr>
        <w:t>2019. We negotiated a new credit agreement with our primary bank that expanded and extended our credit facility. The new credit agreement closed on March 30, 2020.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63"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Three Months Ended</w:t>
      </w:r>
    </w:p>
    <w:p>
      <w:pPr>
        <w:ind w:left="7220"/>
        <w:spacing w:after="0" w:line="226" w:lineRule="auto"/>
        <w:rPr>
          <w:sz w:val="20"/>
          <w:szCs w:val="20"/>
          <w:color w:val="auto"/>
        </w:rPr>
      </w:pPr>
      <w:r>
        <w:rPr>
          <w:rFonts w:ascii="Arial" w:cs="Arial" w:eastAsia="Arial" w:hAnsi="Arial"/>
          <w:sz w:val="14"/>
          <w:szCs w:val="14"/>
          <w:b w:val="1"/>
          <w:bCs w:val="1"/>
          <w:color w:val="auto"/>
        </w:rPr>
        <w:t>March 31,</w:t>
      </w:r>
    </w:p>
    <w:p>
      <w:pPr>
        <w:ind w:left="712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4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March 31, 2020 to March 31, 2019</w:t>
      </w:r>
    </w:p>
    <w:p>
      <w:pPr>
        <w:spacing w:after="0" w:line="189" w:lineRule="exact"/>
        <w:rPr>
          <w:sz w:val="20"/>
          <w:szCs w:val="20"/>
          <w:color w:val="auto"/>
        </w:rPr>
      </w:pPr>
    </w:p>
    <w:p>
      <w:pPr>
        <w:ind w:left="40" w:right="139" w:firstLine="648"/>
        <w:spacing w:after="0" w:line="273" w:lineRule="auto"/>
        <w:rPr>
          <w:sz w:val="20"/>
          <w:szCs w:val="20"/>
          <w:color w:val="auto"/>
        </w:rPr>
      </w:pPr>
      <w:r>
        <w:rPr>
          <w:rFonts w:ascii="Arial" w:cs="Arial" w:eastAsia="Arial" w:hAnsi="Arial"/>
          <w:sz w:val="17"/>
          <w:szCs w:val="17"/>
          <w:color w:val="auto"/>
        </w:rPr>
        <w:t>Net cash provided by operating activities decreased $7.9 million during the three months ended March 31, 2020, compared to the comparable period in 2019, primarily as a result of increased volume of loan originations supporting sales to MHPs net of principal collections, increased inventory balances, decreased payables and increased accounts receivable. The decrease in operating cash flows described above was partially offset by cash generated by operating income before non-cash adjustments, reduced growth in consumer loan originations net of principal collections, increased accrued expenses and reduced prepaid expenses.</w:t>
      </w:r>
    </w:p>
    <w:p>
      <w:pPr>
        <w:spacing w:after="0" w:line="151"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Net cash used in investing activities of $0.4 million in 2020 was primarily attributable to $0.3 million used for the acquisition of property plant and equipment, $0.2 million used to purchase consumer loans and $0.2 million used for loans to third parties for the development of manufactured housing parks. These were offset by collections of $0.1 million of loans we made to third parties for the development of manufactured housing parks and collections of $0.2 million from our purchased consumer loans.</w:t>
      </w:r>
    </w:p>
    <w:p>
      <w:pPr>
        <w:spacing w:after="0" w:line="147"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Net cash provided by financing activities of $6.9 million in 2020 was primarily attributable to net proceeds of $8.2 million on our lines of credit offset by $0.7 million for purchase of treasury stock and $0.6 million decrease in escrow deposits received by the company.</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194"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b w:val="1"/>
          <w:bCs w:val="1"/>
          <w:color w:val="auto"/>
        </w:rPr>
        <w:t xml:space="preserve">Capital One Revolver. </w:t>
      </w:r>
      <w:r>
        <w:rPr>
          <w:rFonts w:ascii="Arial" w:cs="Arial" w:eastAsia="Arial" w:hAnsi="Arial"/>
          <w:sz w:val="17"/>
          <w:szCs w:val="17"/>
          <w:color w:val="auto"/>
        </w:rPr>
        <w:t>At December 31, 2019, we had a revolving line of credit (“Revolver 1”) with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One, N.A. with a maximum credit limit of $45,000,000 and a maturity date of May 11, 2020. On March 30, 2020, we entered into an agreement with Capital One, N.A. to replace Revolver 1 with a new revolving line of credit (“New Revolver”). The New Revolver has a maximum credit limit of $70,000,000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 secured by all accounts receivable and the consumer loans receivable and MHP Notes. The amount of available credit under Revolver 1 was $16,140,000 as of December 31, 2019.</w:t>
      </w:r>
    </w:p>
    <w:p>
      <w:pPr>
        <w:spacing w:after="0" w:line="137"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The New Revolver accrues interest at one-month LIBOR plus 2.00%. The interest rate in effect as of March 31, 2020 was 3.02%.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$32,974,000 as of March 31, 2020.</w:t>
      </w:r>
    </w:p>
    <w:p>
      <w:pPr>
        <w:spacing w:after="0" w:line="117" w:lineRule="exact"/>
        <w:rPr>
          <w:sz w:val="20"/>
          <w:szCs w:val="20"/>
          <w:color w:val="auto"/>
        </w:rPr>
      </w:pPr>
    </w:p>
    <w:p>
      <w:pPr>
        <w:ind w:left="40" w:right="119" w:firstLine="648"/>
        <w:spacing w:after="0" w:line="219" w:lineRule="exact"/>
        <w:rPr>
          <w:sz w:val="20"/>
          <w:szCs w:val="20"/>
          <w:color w:val="auto"/>
        </w:rPr>
      </w:pPr>
      <w:r>
        <w:rPr>
          <w:rFonts w:ascii="Arial" w:cs="Arial" w:eastAsia="Arial" w:hAnsi="Arial"/>
          <w:sz w:val="18"/>
          <w:szCs w:val="18"/>
          <w:color w:val="auto"/>
        </w:rPr>
        <w:t>For the three months ended March 31, 2020 and 2019, interest expense under the Capital One Revolvers was $320,000 and $73,000, respectively. The outstanding balance as of March 31, 2020 and December 31, 2019 was $37,026,000 and $28,860,000, respectively. We were in compliance with all financial covenants as of March 31, 2020, including that we maintain a tangible net worth of at least $120,000,000 and that we maintain a ratio of debt to EBITDA of 4</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1, or less.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b w:val="1"/>
          <w:bCs w:val="1"/>
          <w:color w:val="auto"/>
        </w:rPr>
        <w:t xml:space="preserve">Veritex Community Bank Revolver. </w:t>
      </w:r>
      <w:r>
        <w:rPr>
          <w:rFonts w:ascii="Arial" w:cs="Arial" w:eastAsia="Arial" w:hAnsi="Arial"/>
          <w:sz w:val="16"/>
          <w:szCs w:val="16"/>
          <w:color w:val="auto"/>
        </w:rPr>
        <w:t>In April 2016, we entered into an agreement with Veritex Community Bank</w:t>
      </w:r>
      <w:r>
        <w:rPr>
          <w:rFonts w:ascii="Arial" w:cs="Arial" w:eastAsia="Arial" w:hAnsi="Arial"/>
          <w:sz w:val="16"/>
          <w:szCs w:val="16"/>
          <w:b w:val="1"/>
          <w:bCs w:val="1"/>
          <w:color w:val="auto"/>
        </w:rPr>
        <w:t xml:space="preserve"> </w:t>
      </w:r>
      <w:r>
        <w:rPr>
          <w:rFonts w:ascii="Arial" w:cs="Arial" w:eastAsia="Arial" w:hAnsi="Arial"/>
          <w:sz w:val="16"/>
          <w:szCs w:val="16"/>
          <w:color w:val="auto"/>
        </w:rPr>
        <w:t>to secure an additional revolving line of credit of $15,000,000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2020 and December 31, 2019 was 4.17% and 4.19%, respectively. On May 12, 2017, we entered into an agreement to increase the maximum borrowing availability under Revolver 2 to $20,000,000. On October 15, 2018, Revolver 2 was amended to extend the maturity date from April 4, 2019 to April 4, 2021. The amount of available credit under Revolver 2 was $12,028,000 and $11,262,000 at March 31, 2020 and December 31, 2019, respectively. For the three months ended March 31, 2020 and 2019, interest expense was $21,000 and $61,000, respectively. The outstanding balance as of March 31, 2020 and December 31, 2019 was $2,001,000. We were in compliance with all financial covenants as of March 31, 2020, including that we maintain a tangible net worth of at least $80,000,000. In April 2020, this note was paid in full and the facility was terminated.</w:t>
      </w:r>
    </w:p>
    <w:p>
      <w:pPr>
        <w:spacing w:after="0" w:line="141" w:lineRule="exact"/>
        <w:rPr>
          <w:sz w:val="20"/>
          <w:szCs w:val="20"/>
          <w:color w:val="auto"/>
        </w:rPr>
      </w:pPr>
    </w:p>
    <w:p>
      <w:pPr>
        <w:ind w:left="40" w:right="119" w:firstLine="648"/>
        <w:spacing w:after="0" w:line="256" w:lineRule="auto"/>
        <w:rPr>
          <w:sz w:val="20"/>
          <w:szCs w:val="20"/>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color w:val="auto"/>
        </w:rPr>
        <w:t>We have a promissory note with Woodhaven Bank. The amount due under the promissory note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interest at an annual rate of 3.85% through February 2, 2017 and then at the prime interest rate plus 0.60% through maturity on April 7, 2018. The loan was subsequently renewed through April 7, 2033. The promissory note calls for an interest rate of 4.25% and monthly payments of $30,000 with a final payment due at maturity. The note is secured by certain of our real property. Interest expense was $38,000 for the three months ended March 31, 2019. In October 2019, this note was paid in full.</w:t>
      </w:r>
    </w:p>
    <w:p>
      <w:pPr>
        <w:spacing w:after="0" w:line="151" w:lineRule="exact"/>
        <w:rPr>
          <w:sz w:val="20"/>
          <w:szCs w:val="20"/>
          <w:color w:val="auto"/>
        </w:rPr>
      </w:pPr>
    </w:p>
    <w:p>
      <w:pPr>
        <w:ind w:left="40" w:right="79" w:firstLine="713"/>
        <w:spacing w:after="0" w:line="301" w:lineRule="auto"/>
        <w:rPr>
          <w:sz w:val="20"/>
          <w:szCs w:val="20"/>
          <w:color w:val="auto"/>
        </w:rPr>
      </w:pPr>
      <w:r>
        <w:rPr>
          <w:rFonts w:ascii="Arial" w:cs="Arial" w:eastAsia="Arial" w:hAnsi="Arial"/>
          <w:sz w:val="16"/>
          <w:szCs w:val="16"/>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expense was $1,000 for the three months ended March 31, 2019. In January 2019, this note was paid in full.</w:t>
      </w:r>
    </w:p>
    <w:p>
      <w:pPr>
        <w:spacing w:after="0" w:line="180" w:lineRule="exact"/>
        <w:rPr>
          <w:sz w:val="20"/>
          <w:szCs w:val="20"/>
          <w:color w:val="auto"/>
        </w:rPr>
      </w:pPr>
    </w:p>
    <w:p>
      <w:pPr>
        <w:ind w:left="40" w:right="179" w:firstLine="648"/>
        <w:spacing w:after="0" w:line="270" w:lineRule="auto"/>
        <w:rPr>
          <w:sz w:val="20"/>
          <w:szCs w:val="20"/>
          <w:color w:val="auto"/>
        </w:rPr>
      </w:pPr>
      <w:r>
        <w:rPr>
          <w:rFonts w:ascii="Arial" w:cs="Arial" w:eastAsia="Arial" w:hAnsi="Arial"/>
          <w:sz w:val="17"/>
          <w:szCs w:val="17"/>
          <w:b w:val="1"/>
          <w:bCs w:val="1"/>
          <w:color w:val="auto"/>
        </w:rPr>
        <w:t xml:space="preserve">PILOT Agreement. </w:t>
      </w:r>
      <w:r>
        <w:rPr>
          <w:rFonts w:ascii="Arial" w:cs="Arial" w:eastAsia="Arial" w:hAnsi="Arial"/>
          <w:sz w:val="17"/>
          <w:szCs w:val="17"/>
          <w:color w:val="auto"/>
        </w:rPr>
        <w:t>In December 2016, we entered into a Payment in Lieu of Taxes (“PILOT”)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March 31, 2020, we had not drawn down on this credit facility.</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March 31,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r>
      <w:tr>
        <w:trPr>
          <w:trHeight w:val="290"/>
        </w:trPr>
        <w:tc>
          <w:tcPr>
            <w:tcW w:w="400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6"/>
              </w:rPr>
              <w:t>2021 - 2022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2023 - 2024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After 2024</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39,027,000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2,001,000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37,026,000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3,045,000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474,000</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1,024,000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739,000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808,000</w:t>
            </w:r>
          </w:p>
        </w:tc>
      </w:tr>
    </w:tbl>
    <w:p>
      <w:pPr>
        <w:spacing w:after="0" w:line="183"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left="40" w:right="99" w:firstLine="713"/>
        <w:spacing w:after="0" w:line="218" w:lineRule="exact"/>
        <w:rPr>
          <w:sz w:val="20"/>
          <w:szCs w:val="20"/>
          <w:color w:val="auto"/>
        </w:rPr>
      </w:pPr>
      <w:r>
        <w:rPr>
          <w:rFonts w:ascii="Arial" w:cs="Arial" w:eastAsia="Arial" w:hAnsi="Arial"/>
          <w:sz w:val="16"/>
          <w:szCs w:val="16"/>
          <w:color w:val="auto"/>
        </w:rPr>
        <w:t>We did not have any off</w:t>
      </w:r>
      <w:r>
        <w:rPr>
          <w:rFonts w:ascii="MS PGothic" w:cs="MS PGothic" w:eastAsia="MS PGothic" w:hAnsi="MS PGothic"/>
          <w:sz w:val="16"/>
          <w:szCs w:val="16"/>
          <w:color w:val="auto"/>
        </w:rPr>
        <w:t>‑</w:t>
      </w:r>
      <w:r>
        <w:rPr>
          <w:rFonts w:ascii="Arial" w:cs="Arial" w:eastAsia="Arial" w:hAnsi="Arial"/>
          <w:sz w:val="16"/>
          <w:szCs w:val="16"/>
          <w:color w:val="auto"/>
        </w:rPr>
        <w:t>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40" w:right="199"/>
        <w:spacing w:after="0" w:line="301" w:lineRule="auto"/>
        <w:rPr>
          <w:sz w:val="20"/>
          <w:szCs w:val="20"/>
          <w:color w:val="auto"/>
        </w:rPr>
      </w:pPr>
      <w:r>
        <w:rPr>
          <w:rFonts w:ascii="Arial" w:cs="Arial" w:eastAsia="Arial" w:hAnsi="Arial"/>
          <w:sz w:val="16"/>
          <w:szCs w:val="16"/>
          <w:color w:val="auto"/>
        </w:rPr>
        <w:t>$501,000 and $260,000 as of March 31, 2020 and December 31, 2019,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March 31, 2020.</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2019. Other than recent accounting pronouncement adoptions discussed in Note 1 of our condensed financial statements, we had no significant changes in those critical accounting estimates since our last annual report.</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March 31, 2020 Condensed Financial Statements, included in Part I, Item 1, Financial Statements (Unaudited), of this Quarterly Report.</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Emerging Growth Company Status</w:t>
      </w:r>
    </w:p>
    <w:p>
      <w:pPr>
        <w:spacing w:after="0" w:line="189" w:lineRule="exact"/>
        <w:rPr>
          <w:sz w:val="20"/>
          <w:szCs w:val="20"/>
          <w:color w:val="auto"/>
        </w:rPr>
      </w:pPr>
    </w:p>
    <w:p>
      <w:pPr>
        <w:ind w:left="40" w:right="17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43"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that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50"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(as defined in Rule 13a-15(e) of the Exchange Act). Based on this evaluation, the Chief Executive Officer and the Chief Financial Officer each concluded, as of the end of the period, our disclosure controls and procedures were not effective as of March 31, 2020 due to material weaknesses in internal control over financial reporting that were disclosed in our Annual Report on Form 10-K for the fiscal year ended December 31, 2019, and as described below.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02"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As previously disclosed in our Annual report on Form 10-K filed with the SEC on March 31, 2020, we identified material weaknesses in our internal control over financial reporting during the preparation of our financial statements for the year ended December 31, 2019.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March 31, 2020 are summarized as follows:</w:t>
      </w:r>
    </w:p>
    <w:p>
      <w:pPr>
        <w:spacing w:after="0" w:line="185" w:lineRule="exact"/>
        <w:rPr>
          <w:sz w:val="20"/>
          <w:szCs w:val="20"/>
          <w:color w:val="auto"/>
        </w:rPr>
      </w:pPr>
    </w:p>
    <w:p>
      <w:pPr>
        <w:ind w:left="1020" w:right="259" w:hanging="328"/>
        <w:spacing w:after="0" w:line="31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determined that we did not have sufficient accounting processes and procedures in place, particularly in the areas of allowance for loan loss; finished goods inventory costing; revenue recognition; income taxes; processing of payroll, accounts payable, and treasury transactions; and accruals for period end cut-off.</w:t>
      </w:r>
    </w:p>
    <w:p>
      <w:pPr>
        <w:spacing w:after="0" w:line="108" w:lineRule="exact"/>
        <w:rPr>
          <w:rFonts w:ascii="Arial" w:cs="Arial" w:eastAsia="Arial" w:hAnsi="Arial"/>
          <w:sz w:val="16"/>
          <w:szCs w:val="16"/>
          <w:color w:val="auto"/>
        </w:rPr>
      </w:pPr>
    </w:p>
    <w:p>
      <w:pPr>
        <w:ind w:left="1020" w:right="519" w:hanging="328"/>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we did not have sufficient experienced personnel to support preparation of financial statements for compliance with U.S. GAAP and SEC.</w:t>
      </w:r>
    </w:p>
    <w:p>
      <w:pPr>
        <w:spacing w:after="0" w:line="129" w:lineRule="exact"/>
        <w:rPr>
          <w:rFonts w:ascii="Arial" w:cs="Arial" w:eastAsia="Arial" w:hAnsi="Arial"/>
          <w:sz w:val="18"/>
          <w:szCs w:val="18"/>
          <w:color w:val="auto"/>
        </w:rPr>
      </w:pPr>
    </w:p>
    <w:p>
      <w:pPr>
        <w:ind w:left="1020" w:right="279" w:hanging="328"/>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43" w:lineRule="exact"/>
        <w:rPr>
          <w:rFonts w:ascii="Arial" w:cs="Arial" w:eastAsia="Arial" w:hAnsi="Arial"/>
          <w:sz w:val="18"/>
          <w:szCs w:val="18"/>
          <w:color w:val="auto"/>
        </w:rPr>
      </w:pPr>
    </w:p>
    <w:p>
      <w:pPr>
        <w:ind w:left="1020" w:right="139" w:hanging="328"/>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202" w:lineRule="exact"/>
        <w:rPr>
          <w:sz w:val="20"/>
          <w:szCs w:val="20"/>
          <w:color w:val="auto"/>
        </w:rPr>
      </w:pPr>
    </w:p>
    <w:p>
      <w:pPr>
        <w:ind w:left="40" w:right="239" w:firstLine="648"/>
        <w:spacing w:after="0" w:line="257" w:lineRule="auto"/>
        <w:rPr>
          <w:sz w:val="20"/>
          <w:szCs w:val="20"/>
          <w:color w:val="auto"/>
        </w:rPr>
      </w:pPr>
      <w:r>
        <w:rPr>
          <w:rFonts w:ascii="Arial" w:cs="Arial" w:eastAsia="Arial" w:hAnsi="Arial"/>
          <w:sz w:val="18"/>
          <w:szCs w:val="18"/>
          <w:color w:val="auto"/>
        </w:rPr>
        <w:t>As previously described in Item 9A of our Annual Report on Form 10-K for the year ended December 31, 2019,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by the end of fiscal 2021.</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40" w:right="49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first quarter of fiscal 2020 that materially affected, or are reasonably likely to materially affect, our internal control over financial reporting.</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40" w:right="99" w:firstLine="648"/>
        <w:spacing w:after="0" w:line="277" w:lineRule="auto"/>
        <w:rPr>
          <w:sz w:val="20"/>
          <w:szCs w:val="20"/>
          <w:color w:val="auto"/>
        </w:rPr>
      </w:pPr>
      <w:r>
        <w:rPr>
          <w:rFonts w:ascii="Arial" w:cs="Arial" w:eastAsia="Arial" w:hAnsi="Arial"/>
          <w:sz w:val="18"/>
          <w:szCs w:val="18"/>
          <w:color w:val="auto"/>
        </w:rPr>
        <w:t>See Note 12 - Commitments and Contingencies in our March 31, 2020 Condensed Financial Statements, included in Part I, Item 1, Financial Statements (Unaudited), of this Quarterly Report.</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40" w:type="dxa"/>
            <w:vAlign w:val="bottom"/>
          </w:tcPr>
          <w:p>
            <w:pPr>
              <w:spacing w:after="0"/>
              <w:rPr>
                <w:sz w:val="20"/>
                <w:szCs w:val="20"/>
                <w:color w:val="auto"/>
              </w:rPr>
            </w:pPr>
          </w:p>
        </w:tc>
      </w:tr>
      <w:tr>
        <w:trPr>
          <w:trHeight w:val="405"/>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445"/>
        </w:trPr>
        <w:tc>
          <w:tcPr>
            <w:tcW w:w="16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240" w:type="dxa"/>
            <w:vAlign w:val="bottom"/>
            <w:gridSpan w:val="3"/>
          </w:tcPr>
          <w:p>
            <w:pPr>
              <w:ind w:left="16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453"/>
        </w:trPr>
        <w:tc>
          <w:tcPr>
            <w:tcW w:w="1680" w:type="dxa"/>
            <w:vAlign w:val="bottom"/>
            <w:gridSpan w:val="2"/>
          </w:tcPr>
          <w:p>
            <w:pPr>
              <w:spacing w:after="0"/>
              <w:rPr>
                <w:sz w:val="20"/>
                <w:szCs w:val="20"/>
                <w:color w:val="auto"/>
              </w:rPr>
            </w:pPr>
            <w:r>
              <w:rPr>
                <w:rFonts w:ascii="Arial" w:cs="Arial" w:eastAsia="Arial" w:hAnsi="Arial"/>
                <w:sz w:val="18"/>
                <w:szCs w:val="18"/>
                <w:color w:val="auto"/>
              </w:rPr>
              <w:t>EXHIBIT 31.1 *</w:t>
            </w:r>
          </w:p>
        </w:tc>
        <w:tc>
          <w:tcPr>
            <w:tcW w:w="7240" w:type="dxa"/>
            <w:vAlign w:val="bottom"/>
            <w:gridSpan w:val="3"/>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EE"/>
                </w:rPr>
                <w:t>Rule 13a—14(a) / 15d—14(a) Certifications — Chief Executive Officer.</w:t>
              </w:r>
            </w:hyperlink>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31.2 *</w:t>
            </w:r>
          </w:p>
        </w:tc>
        <w:tc>
          <w:tcPr>
            <w:tcW w:w="7240" w:type="dxa"/>
            <w:vAlign w:val="bottom"/>
            <w:gridSpan w:val="3"/>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5">
              <w:r>
                <w:rPr>
                  <w:rFonts w:ascii="Arial" w:cs="Arial" w:eastAsia="Arial" w:hAnsi="Arial"/>
                  <w:sz w:val="18"/>
                  <w:szCs w:val="18"/>
                  <w:u w:val="single" w:color="auto"/>
                  <w:color w:val="0000EE"/>
                </w:rPr>
                <w:t>Rule 13a—14(a) / 15d—14(a) Certifications — Chief Financial Officer.</w:t>
              </w:r>
            </w:hyperlink>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32.1 *</w:t>
            </w:r>
          </w:p>
        </w:tc>
        <w:tc>
          <w:tcPr>
            <w:tcW w:w="7240" w:type="dxa"/>
            <w:vAlign w:val="bottom"/>
            <w:gridSpan w:val="3"/>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6">
              <w:r>
                <w:rPr>
                  <w:rFonts w:ascii="Arial" w:cs="Arial" w:eastAsia="Arial" w:hAnsi="Arial"/>
                  <w:sz w:val="18"/>
                  <w:szCs w:val="18"/>
                  <w:u w:val="single" w:color="auto"/>
                  <w:color w:val="0000EE"/>
                </w:rPr>
                <w:t>Section 1350 Certification.</w:t>
              </w:r>
            </w:hyperlink>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32.2 *</w:t>
            </w:r>
          </w:p>
        </w:tc>
        <w:tc>
          <w:tcPr>
            <w:tcW w:w="7240" w:type="dxa"/>
            <w:vAlign w:val="bottom"/>
            <w:gridSpan w:val="3"/>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7">
              <w:r>
                <w:rPr>
                  <w:rFonts w:ascii="Arial" w:cs="Arial" w:eastAsia="Arial" w:hAnsi="Arial"/>
                  <w:sz w:val="18"/>
                  <w:szCs w:val="18"/>
                  <w:u w:val="single" w:color="auto"/>
                  <w:color w:val="0000EE"/>
                </w:rPr>
                <w:t>Section 1350 Certification.</w:t>
              </w:r>
            </w:hyperlink>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101.INS *</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 XBRL Instance Document.</w:t>
            </w: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101.SCH *</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101.CAL *</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101.DEF *</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101.LAB *</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101.PRE *</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864"/>
        </w:trPr>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40" w:type="dxa"/>
            <w:vAlign w:val="bottom"/>
            <w:gridSpan w:val="3"/>
          </w:tcPr>
          <w:p>
            <w:pPr>
              <w:ind w:left="2700"/>
              <w:spacing w:after="0"/>
              <w:rPr>
                <w:sz w:val="20"/>
                <w:szCs w:val="20"/>
                <w:color w:val="auto"/>
              </w:rPr>
            </w:pPr>
            <w:r>
              <w:rPr>
                <w:rFonts w:ascii="Arial" w:cs="Arial" w:eastAsia="Arial" w:hAnsi="Arial"/>
                <w:sz w:val="18"/>
                <w:szCs w:val="18"/>
                <w:color w:val="auto"/>
              </w:rPr>
              <w:t>31</w:t>
            </w:r>
          </w:p>
        </w:tc>
      </w:tr>
      <w:tr>
        <w:trPr>
          <w:trHeight w:val="560"/>
        </w:trPr>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Dated: May 15, 2020</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  /s/ Cornelius Van Den Handel</w:t>
            </w:r>
          </w:p>
        </w:tc>
      </w:tr>
      <w:tr>
        <w:trPr>
          <w:trHeight w:val="195"/>
        </w:trPr>
        <w:tc>
          <w:tcPr>
            <w:tcW w:w="2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Cornelius Van Den Handel</w:t>
            </w: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w w:val="99"/>
              </w:rPr>
              <w:t>(On behalf of Registrant and as Principal Financial</w:t>
            </w:r>
          </w:p>
        </w:tc>
      </w:tr>
      <w:tr>
        <w:trPr>
          <w:trHeight w:val="230"/>
        </w:trPr>
        <w:tc>
          <w:tcPr>
            <w:tcW w:w="2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662"/>
        </w:trPr>
        <w:tc>
          <w:tcPr>
            <w:tcW w:w="298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4020" w:type="dxa"/>
            <w:vAlign w:val="bottom"/>
          </w:tcPr>
          <w:p>
            <w:pPr>
              <w:spacing w:after="0"/>
              <w:rPr>
                <w:sz w:val="24"/>
                <w:szCs w:val="24"/>
                <w:color w:val="auto"/>
              </w:rPr>
            </w:pPr>
          </w:p>
        </w:tc>
      </w:tr>
      <w:tr>
        <w:trPr>
          <w:trHeight w:val="561"/>
        </w:trPr>
        <w:tc>
          <w:tcPr>
            <w:tcW w:w="2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Kenneth E. Shipley, certify that:</w:t>
      </w:r>
    </w:p>
    <w:p>
      <w:pPr>
        <w:spacing w:after="0" w:line="225" w:lineRule="exact"/>
        <w:rPr>
          <w:sz w:val="20"/>
          <w:szCs w:val="20"/>
          <w:color w:val="auto"/>
        </w:rPr>
      </w:pPr>
    </w:p>
    <w:p>
      <w:pPr>
        <w:ind w:left="840" w:hanging="183"/>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7"/>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7"/>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7"/>
        <w:spacing w:after="0" w:line="220" w:lineRule="exact"/>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04" w:lineRule="exact"/>
        <w:rPr>
          <w:rFonts w:ascii="Arial" w:cs="Arial" w:eastAsia="Arial" w:hAnsi="Arial"/>
          <w:sz w:val="18"/>
          <w:szCs w:val="18"/>
          <w:color w:val="auto"/>
        </w:rPr>
      </w:pPr>
    </w:p>
    <w:p>
      <w:pPr>
        <w:ind w:left="260" w:right="240" w:firstLine="656"/>
        <w:spacing w:after="0" w:line="311" w:lineRule="auto"/>
        <w:tabs>
          <w:tab w:leader="none" w:pos="11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6"/>
        <w:spacing w:after="0" w:line="286"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6"/>
        <w:spacing w:after="0" w:line="263" w:lineRule="auto"/>
        <w:tabs>
          <w:tab w:leader="none" w:pos="1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6"/>
        <w:spacing w:after="0" w:line="286"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7"/>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6"/>
        <w:spacing w:after="0" w:line="263" w:lineRule="auto"/>
        <w:tabs>
          <w:tab w:leader="none" w:pos="11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6"/>
        <w:spacing w:after="0" w:line="277" w:lineRule="auto"/>
        <w:tabs>
          <w:tab w:leader="none" w:pos="1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15,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Cornelius Van Den Handel, certify that:</w:t>
      </w:r>
    </w:p>
    <w:p>
      <w:pPr>
        <w:spacing w:after="0" w:line="225" w:lineRule="exact"/>
        <w:rPr>
          <w:sz w:val="20"/>
          <w:szCs w:val="20"/>
          <w:color w:val="auto"/>
        </w:rPr>
      </w:pPr>
    </w:p>
    <w:p>
      <w:pPr>
        <w:ind w:left="840" w:hanging="18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7"/>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7"/>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7"/>
        <w:spacing w:after="0" w:line="220" w:lineRule="exact"/>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04" w:lineRule="exact"/>
        <w:rPr>
          <w:rFonts w:ascii="Arial" w:cs="Arial" w:eastAsia="Arial" w:hAnsi="Arial"/>
          <w:sz w:val="18"/>
          <w:szCs w:val="18"/>
          <w:color w:val="auto"/>
        </w:rPr>
      </w:pPr>
    </w:p>
    <w:p>
      <w:pPr>
        <w:ind w:left="260" w:right="240" w:firstLine="656"/>
        <w:spacing w:after="0" w:line="311" w:lineRule="auto"/>
        <w:tabs>
          <w:tab w:leader="none" w:pos="11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6"/>
        <w:spacing w:after="0" w:line="286" w:lineRule="auto"/>
        <w:tabs>
          <w:tab w:leader="none" w:pos="12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6"/>
        <w:spacing w:after="0" w:line="263" w:lineRule="auto"/>
        <w:tabs>
          <w:tab w:leader="none" w:pos="11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6"/>
        <w:spacing w:after="0" w:line="286" w:lineRule="auto"/>
        <w:tabs>
          <w:tab w:leader="none" w:pos="12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7"/>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6"/>
        <w:spacing w:after="0" w:line="263" w:lineRule="auto"/>
        <w:tabs>
          <w:tab w:leader="none" w:pos="11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6"/>
        <w:spacing w:after="0" w:line="277" w:lineRule="auto"/>
        <w:tabs>
          <w:tab w:leader="none" w:pos="11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15,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Cornelius Van Den Handel</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Cornelius Van Den Handel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80" w:firstLine="648"/>
        <w:spacing w:after="0" w:line="220" w:lineRule="exact"/>
        <w:rPr>
          <w:sz w:val="20"/>
          <w:szCs w:val="20"/>
          <w:color w:val="auto"/>
        </w:rPr>
      </w:pPr>
      <w:r>
        <w:rPr>
          <w:rFonts w:ascii="Arial" w:cs="Arial" w:eastAsia="Arial" w:hAnsi="Arial"/>
          <w:sz w:val="18"/>
          <w:szCs w:val="18"/>
          <w:color w:val="auto"/>
        </w:rPr>
        <w:t>In connection with the quarterly report of Legacy Housing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March 31, 2020, as filed with the Securities and Exchange Commission on the date hereof (the “Report”), I, Kenneth E. Shipley, President and Chief Executive Officer of the Company, certify, pursuant to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w:t>
      </w:r>
    </w:p>
    <w:p>
      <w:pPr>
        <w:spacing w:after="0" w:line="204" w:lineRule="exact"/>
        <w:rPr>
          <w:sz w:val="20"/>
          <w:szCs w:val="20"/>
          <w:color w:val="auto"/>
        </w:rPr>
      </w:pPr>
    </w:p>
    <w:p>
      <w:pPr>
        <w:ind w:left="1300" w:right="260" w:hanging="643"/>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3"/>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15,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In connection with the quarterly report of Legacy Housing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March 31, 2020, as filed with the Securities and Exchange Commission on the date hereof (the “Report”), I, Cornelius Van Den Handel, Chief Financial Officer of the Company, certify, pursuant to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w:t>
      </w:r>
    </w:p>
    <w:p>
      <w:pPr>
        <w:spacing w:after="0" w:line="204" w:lineRule="exact"/>
        <w:rPr>
          <w:sz w:val="20"/>
          <w:szCs w:val="20"/>
          <w:color w:val="auto"/>
        </w:rPr>
      </w:pPr>
    </w:p>
    <w:p>
      <w:pPr>
        <w:ind w:left="1300" w:right="260" w:hanging="643"/>
        <w:spacing w:after="0" w:line="27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3"/>
        <w:spacing w:after="0" w:line="27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15,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Cornelius Van Den Handel</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Cornelius Van Den Handel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decimal"/>
      <w:start w:val="13"/>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o"/>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2020-05-15T15:18:35Z</dcterms:created>
  <dcterms:modified xsi:type="dcterms:W3CDTF">2020-05-15T15:18:35Z</dcterms:modified>
</cp:coreProperties>
</file>