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7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65" w:lineRule="exact"/>
        <w:rPr>
          <w:sz w:val="24"/>
          <w:szCs w:val="24"/>
          <w:color w:val="auto"/>
        </w:rPr>
      </w:pPr>
    </w:p>
    <w:p>
      <w:pPr>
        <w:jc w:val="center"/>
        <w:ind w:right="11"/>
        <w:spacing w:after="0" w:line="357" w:lineRule="exact"/>
        <w:rPr>
          <w:sz w:val="20"/>
          <w:szCs w:val="20"/>
          <w:color w:val="auto"/>
        </w:rPr>
      </w:pPr>
      <w:r>
        <w:rPr>
          <w:rFonts w:ascii="Times New Roman" w:cs="Times New Roman" w:eastAsia="Times New Roman" w:hAnsi="Times New Roman"/>
          <w:sz w:val="31"/>
          <w:szCs w:val="31"/>
          <w:b w:val="1"/>
          <w:bCs w:val="1"/>
          <w:color w:val="auto"/>
        </w:rPr>
        <w:t>FORM 10</w:t>
      </w:r>
      <w:r>
        <w:rPr>
          <w:rFonts w:ascii="MS PGothic" w:cs="MS PGothic" w:eastAsia="MS PGothic" w:hAnsi="MS PGothic"/>
          <w:sz w:val="31"/>
          <w:szCs w:val="31"/>
          <w:color w:val="auto"/>
          <w:strike w:val="1"/>
        </w:rPr>
        <w:t>‑</w:t>
      </w:r>
      <w:r>
        <w:rPr>
          <w:rFonts w:ascii="Times New Roman" w:cs="Times New Roman" w:eastAsia="Times New Roman" w:hAnsi="Times New Roman"/>
          <w:sz w:val="31"/>
          <w:szCs w:val="31"/>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120015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77" w:lineRule="exact"/>
        <w:rPr>
          <w:sz w:val="24"/>
          <w:szCs w:val="24"/>
          <w:color w:val="auto"/>
        </w:rPr>
      </w:pPr>
    </w:p>
    <w:p>
      <w:pPr>
        <w:ind w:left="449" w:right="180" w:hanging="449"/>
        <w:spacing w:after="0" w:line="273" w:lineRule="auto"/>
        <w:tabs>
          <w:tab w:leader="none" w:pos="616"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2019</w:t>
      </w:r>
    </w:p>
    <w:p>
      <w:pPr>
        <w:spacing w:after="0" w:line="7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449" w:right="160" w:hanging="449"/>
        <w:spacing w:after="0" w:line="273" w:lineRule="auto"/>
        <w:tabs>
          <w:tab w:leader="none" w:pos="616"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869"/>
        <w:spacing w:after="0"/>
        <w:tabs>
          <w:tab w:leader="none" w:pos="6388"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9" w:lineRule="exact"/>
        <w:rPr>
          <w:sz w:val="24"/>
          <w:szCs w:val="24"/>
          <w:color w:val="auto"/>
        </w:rPr>
      </w:pPr>
    </w:p>
    <w:p>
      <w:pPr>
        <w:jc w:val="center"/>
        <w:ind w:right="11"/>
        <w:spacing w:after="0" w:line="184" w:lineRule="exact"/>
        <w:rPr>
          <w:sz w:val="20"/>
          <w:szCs w:val="20"/>
          <w:color w:val="auto"/>
        </w:rPr>
      </w:pPr>
      <w:r>
        <w:rPr>
          <w:rFonts w:ascii="Times New Roman" w:cs="Times New Roman" w:eastAsia="Times New Roman" w:hAnsi="Times New Roman"/>
          <w:sz w:val="16"/>
          <w:szCs w:val="16"/>
          <w:b w:val="1"/>
          <w:bCs w:val="1"/>
          <w:color w:val="auto"/>
        </w:rPr>
        <w:t>Commission file number 001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105410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47"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1"/>
          <w:szCs w:val="31"/>
          <w:b w:val="1"/>
          <w:bCs w:val="1"/>
          <w:color w:val="auto"/>
        </w:rPr>
        <w:t>Legacy Housing Corporation</w:t>
      </w:r>
    </w:p>
    <w:p>
      <w:pPr>
        <w:spacing w:after="0" w:line="4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ectPr>
          <w:pgSz w:w="11900" w:h="16838" w:orient="portrait"/>
          <w:cols w:equalWidth="0" w:num="1">
            <w:col w:w="10409"/>
          </w:cols>
          <w:pgMar w:left="751" w:top="229" w:right="739" w:bottom="1440" w:gutter="0" w:footer="0" w:header="0"/>
        </w:sectPr>
      </w:pPr>
    </w:p>
    <w:p>
      <w:pPr>
        <w:spacing w:after="0" w:line="363" w:lineRule="exact"/>
        <w:rPr>
          <w:sz w:val="24"/>
          <w:szCs w:val="24"/>
          <w:color w:val="auto"/>
        </w:rPr>
      </w:pPr>
    </w:p>
    <w:p>
      <w:pPr>
        <w:ind w:left="230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689"/>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69"/>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jc w:val="center"/>
        <w:ind w:right="1960"/>
        <w:spacing w:after="0" w:line="184" w:lineRule="exact"/>
        <w:rPr>
          <w:sz w:val="20"/>
          <w:szCs w:val="20"/>
          <w:color w:val="auto"/>
        </w:rPr>
      </w:pPr>
      <w:r>
        <w:rPr>
          <w:rFonts w:ascii="Times New Roman" w:cs="Times New Roman" w:eastAsia="Times New Roman" w:hAnsi="Times New Roman"/>
          <w:sz w:val="16"/>
          <w:szCs w:val="16"/>
          <w:b w:val="1"/>
          <w:bCs w:val="1"/>
          <w:color w:val="auto"/>
        </w:rPr>
        <w:t>20</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2897516</w:t>
      </w:r>
    </w:p>
    <w:p>
      <w:pPr>
        <w:spacing w:after="0" w:line="6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(I.R.S. Employer</w:t>
      </w:r>
    </w:p>
    <w:p>
      <w:pPr>
        <w:spacing w:after="0" w:line="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0" w:lineRule="exact"/>
        <w:rPr>
          <w:sz w:val="24"/>
          <w:szCs w:val="24"/>
          <w:color w:val="auto"/>
        </w:rPr>
      </w:pPr>
    </w:p>
    <w:p>
      <w:pPr>
        <w:sectPr>
          <w:pgSz w:w="11900" w:h="16838" w:orient="portrait"/>
          <w:cols w:equalWidth="0" w:num="2">
            <w:col w:w="6509" w:space="720"/>
            <w:col w:w="3180"/>
          </w:cols>
          <w:pgMar w:left="751" w:top="229" w:right="739" w:bottom="1440" w:gutter="0" w:footer="0" w:header="0"/>
          <w:type w:val="continuous"/>
        </w:sect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1600 Airport Freeway, #100</w:t>
      </w:r>
    </w:p>
    <w:p>
      <w:pPr>
        <w:spacing w:after="0" w:line="2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Bedford, Texas 76022</w:t>
      </w:r>
    </w:p>
    <w:p>
      <w:pPr>
        <w:spacing w:after="0" w:line="1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(Zip Code)</w:t>
      </w:r>
    </w:p>
    <w:p>
      <w:pPr>
        <w:sectPr>
          <w:pgSz w:w="11900" w:h="16838" w:orient="portrait"/>
          <w:cols w:equalWidth="0" w:num="1">
            <w:col w:w="10409"/>
          </w:cols>
          <w:pgMar w:left="751" w:top="229" w:right="739" w:bottom="1440" w:gutter="0" w:footer="0" w:header="0"/>
          <w:type w:val="continuous"/>
        </w:sectPr>
      </w:pPr>
    </w:p>
    <w:p>
      <w:pPr>
        <w:spacing w:after="0" w:line="93" w:lineRule="exact"/>
        <w:rPr>
          <w:sz w:val="24"/>
          <w:szCs w:val="24"/>
          <w:color w:val="auto"/>
        </w:rPr>
      </w:pPr>
    </w:p>
    <w:p>
      <w:pPr>
        <w:jc w:val="center"/>
        <w:ind w:right="11"/>
        <w:spacing w:after="0" w:line="184" w:lineRule="exact"/>
        <w:rPr>
          <w:sz w:val="20"/>
          <w:szCs w:val="20"/>
          <w:color w:val="auto"/>
        </w:rPr>
      </w:pPr>
      <w:r>
        <w:rPr>
          <w:rFonts w:ascii="Times New Roman" w:cs="Times New Roman" w:eastAsia="Times New Roman" w:hAnsi="Times New Roman"/>
          <w:sz w:val="16"/>
          <w:szCs w:val="16"/>
          <w:b w:val="1"/>
          <w:bCs w:val="1"/>
          <w:color w:val="auto"/>
        </w:rPr>
        <w:t>(817)</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799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4900</w:t>
      </w:r>
    </w:p>
    <w:p>
      <w:pPr>
        <w:spacing w:after="0" w:line="6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0" w:lineRule="exact"/>
        <w:rPr>
          <w:sz w:val="24"/>
          <w:szCs w:val="24"/>
          <w:color w:val="auto"/>
        </w:rPr>
      </w:pPr>
    </w:p>
    <w:p>
      <w:pPr>
        <w:jc w:val="both"/>
        <w:ind w:left="9" w:right="6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left="9" w:right="6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left="9" w:right="4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ind w:left="9"/>
        <w:spacing w:after="0" w:line="184" w:lineRule="exact"/>
        <w:rPr>
          <w:sz w:val="20"/>
          <w:szCs w:val="20"/>
          <w:color w:val="auto"/>
        </w:rPr>
      </w:pPr>
      <w:r>
        <w:rPr>
          <w:rFonts w:ascii="Times New Roman" w:cs="Times New Roman" w:eastAsia="Times New Roman" w:hAnsi="Times New Roman"/>
          <w:sz w:val="16"/>
          <w:szCs w:val="16"/>
          <w:color w:val="auto"/>
        </w:rPr>
        <w:t>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ectPr>
          <w:pgSz w:w="11900" w:h="16838" w:orient="portrait"/>
          <w:cols w:equalWidth="0" w:num="1">
            <w:col w:w="10409"/>
          </w:cols>
          <w:pgMar w:left="751" w:top="229" w:right="739" w:bottom="1440" w:gutter="0" w:footer="0" w:header="0"/>
          <w:type w:val="continuous"/>
        </w:sectPr>
      </w:pPr>
    </w:p>
    <w:p>
      <w:pPr>
        <w:spacing w:after="0" w:line="39" w:lineRule="exact"/>
        <w:rPr>
          <w:sz w:val="24"/>
          <w:szCs w:val="24"/>
          <w:color w:val="auto"/>
        </w:rPr>
      </w:pPr>
    </w:p>
    <w:p>
      <w:pPr>
        <w:ind w:left="1729"/>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2">
            <w:col w:w="6689" w:space="720"/>
            <w:col w:w="3000"/>
          </w:cols>
          <w:pgMar w:left="751" w:top="229" w:right="739" w:bottom="1440" w:gutter="0" w:footer="0" w:header="0"/>
          <w:type w:val="continuous"/>
        </w:sectPr>
      </w:pPr>
    </w:p>
    <w:p>
      <w:pPr>
        <w:spacing w:after="0" w:line="21" w:lineRule="exact"/>
        <w:rPr>
          <w:sz w:val="24"/>
          <w:szCs w:val="24"/>
          <w:color w:val="auto"/>
        </w:rPr>
      </w:pPr>
    </w:p>
    <w:p>
      <w:pPr>
        <w:ind w:left="1769"/>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63"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88" w:lineRule="exact"/>
        <w:rPr>
          <w:sz w:val="24"/>
          <w:szCs w:val="24"/>
          <w:color w:val="auto"/>
        </w:rPr>
      </w:pPr>
    </w:p>
    <w:p>
      <w:pPr>
        <w:sectPr>
          <w:pgSz w:w="11900" w:h="16838" w:orient="portrait"/>
          <w:cols w:equalWidth="0" w:num="2">
            <w:col w:w="6329" w:space="720"/>
            <w:col w:w="3360"/>
          </w:cols>
          <w:pgMar w:left="751" w:top="229" w:right="739" w:bottom="1440" w:gutter="0" w:footer="0" w:header="0"/>
          <w:type w:val="continuous"/>
        </w:sectPr>
      </w:pPr>
    </w:p>
    <w:p>
      <w:pPr>
        <w:ind w:left="9" w:right="2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9"/>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9" w:type="dxa"/>
        <w:tblCellMar>
          <w:top w:w="0" w:type="dxa"/>
          <w:left w:w="0" w:type="dxa"/>
          <w:bottom w:w="0" w:type="dxa"/>
          <w:right w:w="0" w:type="dxa"/>
        </w:tblCellMar>
      </w:tblPr>
      <w:tr>
        <w:trPr>
          <w:trHeight w:val="173"/>
        </w:trPr>
        <w:tc>
          <w:tcPr>
            <w:tcW w:w="3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LEGH</w:t>
            </w:r>
          </w:p>
        </w:tc>
        <w:tc>
          <w:tcPr>
            <w:tcW w:w="18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68" w:lineRule="exact"/>
        <w:rPr>
          <w:sz w:val="24"/>
          <w:szCs w:val="24"/>
          <w:color w:val="auto"/>
        </w:rPr>
      </w:pPr>
    </w:p>
    <w:p>
      <w:pPr>
        <w:ind w:left="649"/>
        <w:spacing w:after="0"/>
        <w:rPr>
          <w:sz w:val="20"/>
          <w:szCs w:val="20"/>
          <w:color w:val="auto"/>
        </w:rPr>
      </w:pPr>
      <w:r>
        <w:rPr>
          <w:rFonts w:ascii="Times New Roman" w:cs="Times New Roman" w:eastAsia="Times New Roman" w:hAnsi="Times New Roman"/>
          <w:sz w:val="16"/>
          <w:szCs w:val="16"/>
          <w:color w:val="auto"/>
        </w:rPr>
        <w:t>There were 24,722,936 shares of Common Stock ($0 par value) outstanding as of May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114935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483870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29"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
        </w:trPr>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40" w:type="dxa"/>
            <w:vAlign w:val="bottom"/>
            <w:gridSpan w:val="14"/>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 FINANCIAL INFORMATION</w:t>
              </w:r>
            </w:hyperlink>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3.   Quantitative and Qualitative Disclosures About Market Risk</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32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4.   Controls and Procedures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PART II - OTHER INFORMATION</w:t>
              </w:r>
            </w:hyperlink>
          </w:p>
        </w:tc>
        <w:tc>
          <w:tcPr>
            <w:tcW w:w="6000" w:type="dxa"/>
            <w:vAlign w:val="bottom"/>
            <w:gridSpan w:val="7"/>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240" w:type="dxa"/>
            <w:vAlign w:val="bottom"/>
          </w:tcPr>
          <w:p>
            <w:pPr>
              <w:spacing w:after="0"/>
              <w:rPr>
                <w:sz w:val="24"/>
                <w:szCs w:val="24"/>
                <w:color w:val="auto"/>
              </w:rPr>
            </w:pPr>
          </w:p>
        </w:tc>
        <w:tc>
          <w:tcPr>
            <w:tcW w:w="500" w:type="dxa"/>
            <w:vAlign w:val="bottom"/>
          </w:tcPr>
          <w:p>
            <w:pPr>
              <w:spacing w:after="0"/>
              <w:rPr>
                <w:rFonts w:ascii="Times New Roman" w:cs="Times New Roman" w:eastAsia="Times New Roman" w:hAnsi="Times New Roman"/>
                <w:sz w:val="18"/>
                <w:szCs w:val="18"/>
                <w:color w:val="0000EE"/>
                <w:w w:val="94"/>
              </w:rPr>
            </w:pPr>
            <w:hyperlink w:anchor="page28">
              <w:r>
                <w:rPr>
                  <w:rFonts w:ascii="Times New Roman" w:cs="Times New Roman" w:eastAsia="Times New Roman" w:hAnsi="Times New Roman"/>
                  <w:sz w:val="18"/>
                  <w:szCs w:val="18"/>
                  <w:color w:val="0000EE"/>
                  <w:w w:val="94"/>
                </w:rPr>
                <w:t>Item 1.</w:t>
              </w:r>
            </w:hyperlink>
          </w:p>
        </w:tc>
        <w:tc>
          <w:tcPr>
            <w:tcW w:w="240" w:type="dxa"/>
            <w:vAlign w:val="bottom"/>
          </w:tcPr>
          <w:p>
            <w:pPr>
              <w:spacing w:after="0"/>
              <w:rPr>
                <w:sz w:val="24"/>
                <w:szCs w:val="24"/>
                <w:color w:val="auto"/>
              </w:rPr>
            </w:pPr>
          </w:p>
        </w:tc>
        <w:tc>
          <w:tcPr>
            <w:tcW w:w="7660" w:type="dxa"/>
            <w:vAlign w:val="bottom"/>
            <w:gridSpan w:val="1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   Unregistered Sales of Equity Securities and Use of Proceeds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3.   Defaults Upon Senior Securities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tcBorders>
          </w:tcPr>
          <w:p>
            <w:pPr>
              <w:spacing w:after="0"/>
              <w:rPr>
                <w:rFonts w:ascii="Times New Roman" w:cs="Times New Roman" w:eastAsia="Times New Roman" w:hAnsi="Times New Roman"/>
                <w:sz w:val="18"/>
                <w:szCs w:val="18"/>
                <w:color w:val="0000EE"/>
                <w:w w:val="94"/>
              </w:rPr>
            </w:pPr>
            <w:hyperlink w:anchor="page28">
              <w:r>
                <w:rPr>
                  <w:rFonts w:ascii="Times New Roman" w:cs="Times New Roman" w:eastAsia="Times New Roman" w:hAnsi="Times New Roman"/>
                  <w:sz w:val="18"/>
                  <w:szCs w:val="18"/>
                  <w:color w:val="0000EE"/>
                  <w:w w:val="94"/>
                </w:rPr>
                <w:t>Item 4.</w:t>
              </w:r>
            </w:hyperlink>
          </w:p>
        </w:tc>
        <w:tc>
          <w:tcPr>
            <w:tcW w:w="2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5340" w:type="dxa"/>
            <w:vAlign w:val="bottom"/>
            <w:gridSpan w:val="4"/>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tcBorders>
          </w:tcPr>
          <w:p>
            <w:pPr>
              <w:spacing w:after="0"/>
              <w:rPr>
                <w:rFonts w:ascii="Times New Roman" w:cs="Times New Roman" w:eastAsia="Times New Roman" w:hAnsi="Times New Roman"/>
                <w:sz w:val="18"/>
                <w:szCs w:val="18"/>
                <w:color w:val="0000EE"/>
                <w:w w:val="94"/>
              </w:rPr>
            </w:pPr>
            <w:hyperlink w:anchor="page28">
              <w:r>
                <w:rPr>
                  <w:rFonts w:ascii="Times New Roman" w:cs="Times New Roman" w:eastAsia="Times New Roman" w:hAnsi="Times New Roman"/>
                  <w:sz w:val="18"/>
                  <w:szCs w:val="18"/>
                  <w:color w:val="0000EE"/>
                  <w:w w:val="94"/>
                </w:rPr>
                <w:t>Item 5.</w:t>
              </w:r>
            </w:hyperlink>
          </w:p>
        </w:tc>
        <w:tc>
          <w:tcPr>
            <w:tcW w:w="240" w:type="dxa"/>
            <w:vAlign w:val="bottom"/>
          </w:tcPr>
          <w:p>
            <w:pPr>
              <w:spacing w:after="0"/>
              <w:rPr>
                <w:sz w:val="24"/>
                <w:szCs w:val="24"/>
                <w:color w:val="auto"/>
              </w:rPr>
            </w:pPr>
          </w:p>
        </w:tc>
        <w:tc>
          <w:tcPr>
            <w:tcW w:w="176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5900" w:type="dxa"/>
            <w:vAlign w:val="bottom"/>
            <w:gridSpan w:val="6"/>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29">
              <w:r>
                <w:rPr>
                  <w:rFonts w:ascii="Times New Roman" w:cs="Times New Roman" w:eastAsia="Times New Roman" w:hAnsi="Times New Roman"/>
                  <w:sz w:val="18"/>
                  <w:szCs w:val="18"/>
                  <w:color w:val="0000EE"/>
                  <w:w w:val="94"/>
                </w:rPr>
                <w:t>Item 6.</w:t>
              </w:r>
            </w:hyperlink>
          </w:p>
        </w:tc>
        <w:tc>
          <w:tcPr>
            <w:tcW w:w="2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tcPr>
          <w:p>
            <w:pPr>
              <w:spacing w:after="0"/>
              <w:rPr>
                <w:sz w:val="24"/>
                <w:szCs w:val="24"/>
                <w:color w:val="auto"/>
              </w:rPr>
            </w:pPr>
          </w:p>
        </w:tc>
        <w:tc>
          <w:tcPr>
            <w:tcW w:w="6340" w:type="dxa"/>
            <w:vAlign w:val="bottom"/>
            <w:gridSpan w:val="8"/>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8640" w:type="dxa"/>
            <w:vAlign w:val="bottom"/>
            <w:gridSpan w:val="1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SIGNATURES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446"/>
        </w:trPr>
        <w:tc>
          <w:tcPr>
            <w:tcW w:w="2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(in thousands, except share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32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consumer loans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notes receivable from mobile home parks (“MHP”)</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other notes receivable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42,033</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r>
      <w:tr>
        <w:trPr>
          <w:trHeight w:val="210"/>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 net of deferred financing fees and allowance for loan losses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mobile home parks (“MHP”)</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notes receivable, net of allowance for loan losses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16"/>
        </w:trPr>
        <w:tc>
          <w:tcPr>
            <w:tcW w:w="63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8"/>
                <w:szCs w:val="18"/>
                <w:color w:val="auto"/>
              </w:rPr>
              <w:t>Inventory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7,399</w:t>
            </w:r>
          </w:p>
        </w:tc>
      </w:tr>
      <w:tr>
        <w:trPr>
          <w:trHeight w:val="230"/>
        </w:trPr>
        <w:tc>
          <w:tcPr>
            <w:tcW w:w="6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235,038</w:t>
            </w:r>
          </w:p>
        </w:tc>
      </w:tr>
      <w:tr>
        <w:trPr>
          <w:trHeight w:val="203"/>
        </w:trPr>
        <w:tc>
          <w:tcPr>
            <w:tcW w:w="6320" w:type="dxa"/>
            <w:vAlign w:val="bottom"/>
          </w:tcPr>
          <w:p>
            <w:pPr>
              <w:ind w:left="19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2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deposits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Escrow liability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0"/>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20,385</w:t>
            </w:r>
          </w:p>
        </w:tc>
      </w:tr>
      <w:tr>
        <w:trPr>
          <w:trHeight w:val="216"/>
        </w:trPr>
        <w:tc>
          <w:tcPr>
            <w:tcW w:w="63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Lines of credit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Dealer incentive liability</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w:t>
            </w:r>
          </w:p>
        </w:tc>
      </w:tr>
      <w:tr>
        <w:trPr>
          <w:trHeight w:val="210"/>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issued -0-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$.001 par value, 90,000,000 shares authorized; 24,617,143 and</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24,000,000 issued and outstanding at March 31, 2019 and December 31, 2018,</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167,743</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21,513</w:t>
            </w:r>
          </w:p>
        </w:tc>
      </w:tr>
      <w:tr>
        <w:trPr>
          <w:trHeight w:val="210"/>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189,280</w:t>
            </w:r>
          </w:p>
        </w:tc>
      </w:tr>
      <w:tr>
        <w:trPr>
          <w:trHeight w:val="217"/>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243,675</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235,038</w:t>
            </w:r>
          </w:p>
        </w:tc>
      </w:tr>
    </w:tbl>
    <w:p>
      <w:pPr>
        <w:spacing w:after="0" w:line="19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COPRORATION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w:t>
            </w:r>
          </w:p>
        </w:tc>
        <w:tc>
          <w:tcPr>
            <w:tcW w:w="40" w:type="dxa"/>
            <w:vAlign w:val="bottom"/>
            <w:shd w:val="clear" w:color="auto" w:fill="CCEEFF"/>
          </w:tcPr>
          <w:p>
            <w:pPr>
              <w:spacing w:after="0"/>
              <w:rPr>
                <w:sz w:val="18"/>
                <w:szCs w:val="18"/>
                <w:color w:val="auto"/>
              </w:rPr>
            </w:pP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Dealer incentive</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shd w:val="clear" w:color="auto" w:fill="CCEEFF"/>
          </w:tcPr>
          <w:p>
            <w:pPr>
              <w:spacing w:after="0"/>
              <w:rPr>
                <w:sz w:val="18"/>
                <w:szCs w:val="18"/>
                <w:color w:val="auto"/>
              </w:rPr>
            </w:pP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w:t>
            </w:r>
          </w:p>
        </w:tc>
      </w:tr>
      <w:tr>
        <w:trPr>
          <w:trHeight w:val="210"/>
        </w:trPr>
        <w:tc>
          <w:tcPr>
            <w:tcW w:w="67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(3,990)</w:t>
            </w:r>
          </w:p>
        </w:tc>
      </w:tr>
      <w:tr>
        <w:trPr>
          <w:trHeight w:val="217"/>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40" w:type="dxa"/>
            <w:vAlign w:val="bottom"/>
            <w:tcBorders>
              <w:bottom w:val="single" w:sz="8" w:color="CCEEFF"/>
            </w:tcBorders>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24,516,762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24,571,088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 w:type="dxa"/>
            <w:vAlign w:val="bottom"/>
            <w:shd w:val="clear" w:color="auto" w:fill="CCEEFF"/>
          </w:tcPr>
          <w:p>
            <w:pPr>
              <w:spacing w:after="0"/>
              <w:rPr>
                <w:sz w:val="18"/>
                <w:szCs w:val="18"/>
                <w:color w:val="auto"/>
              </w:rPr>
            </w:pPr>
          </w:p>
        </w:tc>
      </w:tr>
      <w:tr>
        <w:trPr>
          <w:trHeight w:val="23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 w:type="dxa"/>
            <w:vAlign w:val="bottom"/>
          </w:tcPr>
          <w:p>
            <w:pPr>
              <w:spacing w:after="0"/>
              <w:rPr>
                <w:sz w:val="20"/>
                <w:szCs w:val="20"/>
                <w:color w:val="auto"/>
              </w:rPr>
            </w:pPr>
          </w:p>
        </w:tc>
      </w:tr>
    </w:tbl>
    <w:p>
      <w:pPr>
        <w:spacing w:after="0" w:line="17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COPRORATION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20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loan loss—consumer loans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based payment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loans originations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(5,053)</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(3,661)</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loans principal collections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receivable MHP originations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(12,849)</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(9,427)</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MHP principal collections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(2,206)</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Dealer incentive liability</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67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notes receivable</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collections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consumer loans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Collections from purchased consumer loans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r>
      <w:tr>
        <w:trPr>
          <w:trHeight w:val="210"/>
        </w:trPr>
        <w:tc>
          <w:tcPr>
            <w:tcW w:w="6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over-allotment common stock in initial public offering</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 cost for over-allotment of initial public offering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Escrow liability</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payments on note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lines of credit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lines of credit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(16,533)</w:t>
            </w:r>
          </w:p>
        </w:tc>
      </w:tr>
      <w:tr>
        <w:trPr>
          <w:trHeight w:val="210"/>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4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Borders>
              <w:bottom w:val="single" w:sz="8" w:color="CCEEFF"/>
            </w:tcBorders>
          </w:tcPr>
          <w:p>
            <w:pPr>
              <w:spacing w:after="0"/>
              <w:rPr>
                <w:sz w:val="18"/>
                <w:szCs w:val="18"/>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03"/>
        </w:trPr>
        <w:tc>
          <w:tcPr>
            <w:tcW w:w="67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Partners’</w:t>
            </w:r>
          </w:p>
        </w:tc>
        <w:tc>
          <w:tcPr>
            <w:tcW w:w="120" w:type="dxa"/>
            <w:vAlign w:val="bottom"/>
          </w:tcPr>
          <w:p>
            <w:pPr>
              <w:spacing w:after="0"/>
              <w:rPr>
                <w:sz w:val="15"/>
                <w:szCs w:val="15"/>
                <w:color w:val="auto"/>
              </w:rPr>
            </w:pPr>
          </w:p>
        </w:tc>
        <w:tc>
          <w:tcPr>
            <w:tcW w:w="1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2017</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upon incorporation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1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2018</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20,000,000</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$ 5,361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129,632</w:t>
            </w:r>
          </w:p>
        </w:tc>
        <w:tc>
          <w:tcPr>
            <w:tcW w:w="0" w:type="dxa"/>
            <w:vAlign w:val="bottom"/>
          </w:tcPr>
          <w:p>
            <w:pPr>
              <w:spacing w:after="0"/>
              <w:rPr>
                <w:sz w:val="1"/>
                <w:szCs w:val="1"/>
                <w:color w:val="auto"/>
              </w:rPr>
            </w:pPr>
          </w:p>
        </w:tc>
      </w:tr>
      <w:tr>
        <w:trPr>
          <w:trHeight w:val="353"/>
        </w:trPr>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24,000,000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$ 167,743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189,280</w:t>
            </w:r>
          </w:p>
        </w:tc>
        <w:tc>
          <w:tcPr>
            <w:tcW w:w="0" w:type="dxa"/>
            <w:vAlign w:val="bottom"/>
          </w:tcPr>
          <w:p>
            <w:pPr>
              <w:spacing w:after="0"/>
              <w:rPr>
                <w:sz w:val="1"/>
                <w:szCs w:val="1"/>
                <w:color w:val="auto"/>
              </w:rPr>
            </w:pPr>
          </w:p>
        </w:tc>
      </w:tr>
      <w:tr>
        <w:trPr>
          <w:trHeight w:val="178"/>
        </w:trPr>
        <w:tc>
          <w:tcPr>
            <w:tcW w:w="4520" w:type="dxa"/>
            <w:vAlign w:val="bottom"/>
            <w:gridSpan w:val="5"/>
          </w:tcPr>
          <w:p>
            <w:pPr>
              <w:ind w:left="120"/>
              <w:spacing w:after="0" w:line="178" w:lineRule="exact"/>
              <w:rPr>
                <w:sz w:val="20"/>
                <w:szCs w:val="20"/>
                <w:color w:val="auto"/>
              </w:rPr>
            </w:pPr>
            <w:r>
              <w:rPr>
                <w:rFonts w:ascii="Times New Roman" w:cs="Times New Roman" w:eastAsia="Times New Roman" w:hAnsi="Times New Roman"/>
                <w:sz w:val="18"/>
                <w:szCs w:val="18"/>
                <w:color w:val="auto"/>
              </w:rPr>
              <w:t>Sale of over-allotment common stock in initial public</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offering, net of offering costs of $505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16"/>
        </w:trPr>
        <w:tc>
          <w:tcPr>
            <w:tcW w:w="45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based compensation expense and stock units vested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0" w:type="dxa"/>
            <w:vAlign w:val="bottom"/>
          </w:tcPr>
          <w:p>
            <w:pPr>
              <w:spacing w:after="0"/>
              <w:rPr>
                <w:sz w:val="1"/>
                <w:szCs w:val="1"/>
                <w:color w:val="auto"/>
              </w:rPr>
            </w:pPr>
          </w:p>
        </w:tc>
      </w:tr>
      <w:tr>
        <w:trPr>
          <w:trHeight w:val="217"/>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2019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24,617,143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$ 174,671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ind w:right="60" w:firstLine="713"/>
        <w:spacing w:after="0" w:line="266" w:lineRule="auto"/>
        <w:rPr>
          <w:sz w:val="20"/>
          <w:szCs w:val="20"/>
          <w:color w:val="auto"/>
        </w:rPr>
      </w:pPr>
      <w:r>
        <w:rPr>
          <w:rFonts w:ascii="Times New Roman" w:cs="Times New Roman" w:eastAsia="Times New Roman" w:hAnsi="Times New Roman"/>
          <w:sz w:val="18"/>
          <w:szCs w:val="18"/>
          <w:color w:val="auto"/>
        </w:rPr>
        <w:t>Legacy Housing Corporation (the “Company”) was formed on January 1, 2018 through a corporate conversion of Legacy Housing, Ltd., (the “Partnership”) a Texas limited partnership formed in May 2005. The Company is incorporated as a Delaware corporation and is headquartered in Bedford, Texas.</w:t>
      </w:r>
    </w:p>
    <w:p>
      <w:pPr>
        <w:spacing w:after="0" w:line="203" w:lineRule="exact"/>
        <w:rPr>
          <w:sz w:val="20"/>
          <w:szCs w:val="20"/>
          <w:color w:val="auto"/>
        </w:rPr>
      </w:pPr>
    </w:p>
    <w:p>
      <w:pPr>
        <w:ind w:right="40" w:firstLine="713"/>
        <w:spacing w:after="0" w:line="261" w:lineRule="auto"/>
        <w:rPr>
          <w:sz w:val="20"/>
          <w:szCs w:val="20"/>
          <w:color w:val="auto"/>
        </w:rPr>
      </w:pPr>
      <w:r>
        <w:rPr>
          <w:rFonts w:ascii="Times New Roman" w:cs="Times New Roman" w:eastAsia="Times New Roman" w:hAnsi="Times New Roman"/>
          <w:sz w:val="18"/>
          <w:szCs w:val="18"/>
          <w:color w:val="auto"/>
        </w:rPr>
        <w:t>The Company (1) manufactures and provides for the transport of mobile homes, (2) provides wholesale financing to dealers and mobile home parks and (3) provides retail financing to consumers.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207" w:lineRule="exact"/>
        <w:rPr>
          <w:sz w:val="20"/>
          <w:szCs w:val="20"/>
          <w:color w:val="auto"/>
        </w:rPr>
      </w:pPr>
    </w:p>
    <w:p>
      <w:pPr>
        <w:ind w:right="40" w:firstLine="713"/>
        <w:spacing w:after="0" w:line="258" w:lineRule="auto"/>
        <w:rPr>
          <w:sz w:val="20"/>
          <w:szCs w:val="20"/>
          <w:color w:val="auto"/>
        </w:rPr>
      </w:pPr>
      <w:r>
        <w:rPr>
          <w:rFonts w:ascii="Times New Roman" w:cs="Times New Roman" w:eastAsia="Times New Roman" w:hAnsi="Times New Roman"/>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$504 of underwriting discounts and offering expenses paid by the Company, were $6,696.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Conversion</w:t>
      </w:r>
    </w:p>
    <w:p>
      <w:pPr>
        <w:spacing w:after="0" w:line="189"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18"/>
          <w:szCs w:val="18"/>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84"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financial statements as of March 31, 2019 and for the three months ended March 31, 2019 and 2018,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w:t>
      </w:r>
    </w:p>
    <w:p>
      <w:pPr>
        <w:spacing w:after="0" w:line="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March 31, 2019 are not necessarily indicative of the results to be expected for the year ending December 31, 2019, or any other period. The accompanying consolidated balance sheet as of December 31, 2018 was derived from audited financial statements included in the Company's annual report on Form 10-K for the year ended December 31, 2018 (the "Form 10-K"). The accompanying consolidated financial statements do not include all of the information and footnotes required by GAAP for annual financial statements. Accordingly, they should be read in conjunction with the audited financial statements and notes thereto included in the Form 10-K. Certain prior year amounts have been reclassified to conform to current year presentation.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consumer loans and notes receivable, inventory obsolescence, repossessed assets, income taxes, fair value of financial instruments, contingent liabilities and accruals related to warranty costs. Actual results could differ from these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0" w:lineRule="exact"/>
        <w:rPr>
          <w:sz w:val="20"/>
          <w:szCs w:val="20"/>
          <w:color w:val="auto"/>
        </w:rPr>
      </w:pPr>
    </w:p>
    <w:p>
      <w:pPr>
        <w:ind w:right="100" w:firstLine="648"/>
        <w:spacing w:after="0" w:line="221" w:lineRule="exact"/>
        <w:rPr>
          <w:sz w:val="20"/>
          <w:szCs w:val="20"/>
          <w:color w:val="auto"/>
        </w:rPr>
      </w:pPr>
      <w:r>
        <w:rPr>
          <w:rFonts w:ascii="Times New Roman" w:cs="Times New Roman" w:eastAsia="Times New Roman" w:hAnsi="Times New Roman"/>
          <w:sz w:val="18"/>
          <w:szCs w:val="18"/>
          <w:color w:val="auto"/>
        </w:rPr>
        <w:t>In May 2014, the FASB issued ASU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outlines a comprehensive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step model for entities to use in accounting for revenue arising from contracts with customers and supersedes most previous revenue recognition guidance, including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guidance. The standard requires entities to recognize revenue to depict the transfer of promised goods or services to customers in an amount that reflects the consideration to which the entity expects to be entitled in exchange for those goods or services. The new guidance also includes a cohesive set of disclosure requirements intended to provide users of financial statements with comprehensive information about the nature, amount, timing and uncertainty of revenue and cash flows arising from contracts with customers. The Company adopted the requirements of the new revenue standard on January 1, 2019 using the modified retrospective transition method which did not have a material impact on the financial statements.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new guidance under ASU 2014-09 is applicable to our product sales which includes sales of homes through various sales channels, and other revenue which includes consignment fees, service fees and miscellaneous income. Income generated from interest, other lending activities, and investment income are excluded from ASU 2014-09 and will continue to be accounted for under existing guidance.</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those revenue streams that are subject to ASU 2014-09, the Company evaluated the impact of adopting the new standard on our revenue recognition policies under existing guidance and determined there is no impact. The adoption did not have a significant impact on the consolidated operating results, financial position or cash flows of the Company. The Company’s evaluation of ASU 2014-09 impact on primary revenue streams are as follows:</w:t>
      </w:r>
    </w:p>
    <w:p>
      <w:pPr>
        <w:spacing w:after="0" w:line="13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primarily consist of sales of mobile homes to consumers and mobile home parks through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 sold through Company-owned retail locations. Consignment Sales and Retail Sales of homes may be financed by the Company, by a third party, or in paid in cash.</w:t>
      </w:r>
    </w:p>
    <w:p>
      <w:pPr>
        <w:spacing w:after="0" w:line="19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performance obligation under the terms of a contract with our customers is satisfied which typically occurs upon delivery and transfer of title of the home, as this 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2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13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2018, total cost of product sales included $4,327 and $5,975 of costs, mainly relating to up front dealer commission and reimbursed dealer expenses for consignment sales and certain other similar costs incurred for retail store and commercial sales.</w:t>
      </w:r>
    </w:p>
    <w:p>
      <w:pPr>
        <w:spacing w:after="0" w:line="1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consignment fees, service fees and other miscellaneous income. Consignment fees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131"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Disaggregation of Revenue</w:t>
      </w:r>
      <w:r>
        <w:rPr>
          <w:rFonts w:ascii="Times New Roman" w:cs="Times New Roman" w:eastAsia="Times New Roman" w:hAnsi="Times New Roman"/>
          <w:sz w:val="18"/>
          <w:szCs w:val="18"/>
          <w:color w:val="auto"/>
        </w:rPr>
        <w:t>. The following table summarizes customer contract revenues disaggregated by source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revenue for the three months ended March 31, 2019 and 2018:</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13"/>
        </w:trPr>
        <w:tc>
          <w:tcPr>
            <w:tcW w:w="3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39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sales</w:t>
            </w:r>
          </w:p>
        </w:tc>
        <w:tc>
          <w:tcPr>
            <w:tcW w:w="1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r>
      <w:tr>
        <w:trPr>
          <w:trHeight w:val="23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sales</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r>
      <w:tr>
        <w:trPr>
          <w:trHeight w:val="230"/>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Consignment sales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r>
      <w:tr>
        <w:trPr>
          <w:trHeight w:val="23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store sales</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30"/>
        </w:trPr>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(1)</w:t>
            </w: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sales</w:t>
            </w:r>
          </w:p>
        </w:tc>
        <w:tc>
          <w:tcPr>
            <w:tcW w:w="1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37,414</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 consumer installment notes</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30"/>
        </w:trPr>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 MHP notes</w:t>
            </w: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and MHP loans interest</w:t>
            </w:r>
          </w:p>
        </w:tc>
        <w:tc>
          <w:tcPr>
            <w:tcW w:w="1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10"/>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17"/>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w:t>
            </w:r>
          </w:p>
        </w:tc>
      </w:tr>
    </w:tbl>
    <w:p>
      <w:pPr>
        <w:spacing w:after="0" w:line="171" w:lineRule="exact"/>
        <w:rPr>
          <w:sz w:val="20"/>
          <w:szCs w:val="20"/>
          <w:color w:val="auto"/>
        </w:rPr>
      </w:pPr>
    </w:p>
    <w:p>
      <w:pPr>
        <w:ind w:left="980" w:hanging="329"/>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 sales revenue from ancillary products and services including parts, freight and other services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provisions of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Share-based compensation expense is recognized based on the award’s estimated grant date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order to recognize compensation cost for those shares expected to vest. Compensation cost is recognized on a straight-line basis over the vesting period of the awards and adjusted as forfeitures occur.</w:t>
      </w:r>
    </w:p>
    <w:p>
      <w:pPr>
        <w:spacing w:after="0" w:line="14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option grant with only service-based conditions is estimated using the Black-Scholes pricing model. The fair value of each restricted stock unit (the”RSU”) is calculated based on the closing price of the Company’s common stock on the grant date.</w:t>
      </w:r>
    </w:p>
    <w:p>
      <w:pPr>
        <w:spacing w:after="0" w:line="13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 Due to the nature of the grants, the company estimated zero option forfeitures. Share-based payment expense is recorded only for those awards that are expected to vest.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ind w:right="320" w:firstLine="648"/>
        <w:spacing w:after="0" w:line="239" w:lineRule="exact"/>
        <w:rPr>
          <w:sz w:val="20"/>
          <w:szCs w:val="20"/>
          <w:color w:val="auto"/>
        </w:rPr>
      </w:pPr>
      <w:r>
        <w:rPr>
          <w:rFonts w:ascii="Times New Roman" w:cs="Times New Roman" w:eastAsia="Times New Roman" w:hAnsi="Times New Roman"/>
          <w:sz w:val="18"/>
          <w:szCs w:val="18"/>
          <w:color w:val="auto"/>
        </w:rPr>
        <w:t>The Company has elected to use longer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periods for the adoption of new or revised financial accounting standards under the JOBS Act as an emerging growth company.</w:t>
      </w:r>
    </w:p>
    <w:p>
      <w:pPr>
        <w:spacing w:after="0" w:line="130" w:lineRule="exact"/>
        <w:rPr>
          <w:sz w:val="20"/>
          <w:szCs w:val="20"/>
          <w:color w:val="auto"/>
        </w:rPr>
      </w:pPr>
    </w:p>
    <w:p>
      <w:pPr>
        <w:ind w:right="120" w:firstLine="648"/>
        <w:spacing w:after="0" w:line="220" w:lineRule="exact"/>
        <w:rPr>
          <w:sz w:val="20"/>
          <w:szCs w:val="20"/>
          <w:color w:val="auto"/>
        </w:rPr>
      </w:pPr>
      <w:r>
        <w:rPr>
          <w:rFonts w:ascii="Times New Roman" w:cs="Times New Roman" w:eastAsia="Times New Roman" w:hAnsi="Times New Roman"/>
          <w:sz w:val="18"/>
          <w:szCs w:val="18"/>
          <w:color w:val="auto"/>
        </w:rPr>
        <w:t>In February 2016, the FASB issued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period for adoption and accordingly this ASU is effective for the Company’s fiscal year beginning January 1, 2020. Modified retrospective application and early adoption is permitted. The Company expects that the adoption of this standard will result in a material increase to assets and liabilities on the consolidated balance sheets but will not have a material impact on the consolidated statement of income and comprehensive income.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43" w:lineRule="exact"/>
        <w:rPr>
          <w:sz w:val="20"/>
          <w:szCs w:val="20"/>
          <w:color w:val="auto"/>
        </w:rPr>
      </w:pPr>
    </w:p>
    <w:p>
      <w:pPr>
        <w:ind w:right="60" w:firstLine="648"/>
        <w:spacing w:after="0" w:line="224" w:lineRule="exact"/>
        <w:rPr>
          <w:sz w:val="20"/>
          <w:szCs w:val="20"/>
          <w:color w:val="auto"/>
        </w:rPr>
      </w:pPr>
      <w:r>
        <w:rPr>
          <w:rFonts w:ascii="Times New Roman" w:cs="Times New Roman" w:eastAsia="Times New Roman" w:hAnsi="Times New Roman"/>
          <w:sz w:val="18"/>
          <w:szCs w:val="18"/>
          <w:color w:val="auto"/>
        </w:rPr>
        <w:t>In June 2016, the FASB issued an accounting standards update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326): Measurement of Credit Losses on Financial Instruments</w:t>
      </w:r>
      <w:r>
        <w:rPr>
          <w:rFonts w:ascii="Times New Roman" w:cs="Times New Roman" w:eastAsia="Times New Roman" w:hAnsi="Times New Roman"/>
          <w:sz w:val="18"/>
          <w:szCs w:val="18"/>
          <w:color w:val="auto"/>
        </w:rPr>
        <w:t>, which amends guidance on reporting credit losses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6"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available for sale debt securities, credit losses should be measured in a manner similar to current GAAP, however Topic 326 will require that credit losses be presented as an allowance rather than as a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period for adoption and accordingly this ASU is effective for the Company’s fiscal year beginning January 1, 2021. The Company is continuing to evaluate the impact of the adoption of this ASU and is uncertain of the impact on the financial statements and disclosures at this point in time.</w:t>
      </w:r>
    </w:p>
    <w:p>
      <w:pPr>
        <w:spacing w:after="0" w:line="144" w:lineRule="exact"/>
        <w:rPr>
          <w:sz w:val="20"/>
          <w:szCs w:val="20"/>
          <w:color w:val="auto"/>
        </w:rPr>
      </w:pPr>
    </w:p>
    <w:p>
      <w:pPr>
        <w:ind w:firstLine="648"/>
        <w:spacing w:after="0" w:line="224" w:lineRule="exact"/>
        <w:rPr>
          <w:sz w:val="20"/>
          <w:szCs w:val="20"/>
          <w:color w:val="auto"/>
        </w:rPr>
      </w:pPr>
      <w:r>
        <w:rPr>
          <w:rFonts w:ascii="Times New Roman" w:cs="Times New Roman" w:eastAsia="Times New Roman" w:hAnsi="Times New Roman"/>
          <w:sz w:val="18"/>
          <w:szCs w:val="18"/>
          <w:color w:val="auto"/>
        </w:rPr>
        <w:t>In March 2017, the FASB issued ASU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 Receivables—Nonrefundable Fees and Other Costs (Subtopic 310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 Premium Amortization on Purchased Callable Debt Securities (“ASU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 which requires the premium on callable debt securities to be amortized to the earliest call date as opposed to the contractual life of the security. ASU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 will be effective beginning with the first quarter of the Company’s fiscal year 2020. The Company is continuing to evaluate the impact of the adoption of this ASU and is uncertain of the impact on the financial statements and disclosures at this point in time.</w:t>
      </w:r>
    </w:p>
    <w:p>
      <w:pPr>
        <w:spacing w:after="0" w:line="16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CONSUMER LOANS RECEIVABLE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Consumer loans receivable, net of allowance for loan losses and deferred financing fees,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 receivable</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102,938</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 net</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Consumer loans receivable, net</w:t>
            </w:r>
          </w:p>
        </w:tc>
        <w:tc>
          <w:tcPr>
            <w:tcW w:w="128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98,904</w:t>
            </w: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97,175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8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6"/>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offs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impaired and general reserve for allowance for loan losses: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101,049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individually evaluated for impairment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Specific reserve against impaired loans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 collectively evaluated for allowance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99,604</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allowance for loan losses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and December 31, 2018, the total principal outstanding for consumer loans on nonaccrual status was $1,546 and $1,445, respectively. A detailed aging of consumer loans receivable that are past due as of March 31, 2019 and December 31, 2018 were as follows: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0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 receivable</w:t>
            </w: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102,938</w:t>
            </w: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101,049</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Past due consumer loans: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31</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days past due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61</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91</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 days past due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Greater than 120 days past due</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7"/>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RECEIVABLE FROM MOBILE HOME PARKS (“MHP Notes”)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were no past due MHP Notes as of March 31, 2019 and December 31, 2018 and no charge offs were recorded for MHP Notes during the three months ended March 31, 2019 and 2018, respectively. There is no allowance for loan loss against the MHP Notes as of March 31, 2019 and December 31, 2018.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NOTES RECEIVABLE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balance outstanding on the other notes receivable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tcPr>
          <w:p>
            <w:pPr>
              <w:spacing w:after="0"/>
              <w:rPr>
                <w:sz w:val="13"/>
                <w:szCs w:val="13"/>
                <w:color w:val="auto"/>
              </w:rPr>
            </w:pPr>
          </w:p>
        </w:tc>
      </w:tr>
      <w:tr>
        <w:trPr>
          <w:trHeight w:val="149"/>
        </w:trPr>
        <w:tc>
          <w:tcPr>
            <w:tcW w:w="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900" w:type="dxa"/>
            <w:vAlign w:val="bottom"/>
          </w:tcPr>
          <w:p>
            <w:pPr>
              <w:spacing w:after="0"/>
              <w:rPr>
                <w:sz w:val="19"/>
                <w:szCs w:val="19"/>
                <w:color w:val="auto"/>
              </w:rPr>
            </w:pPr>
          </w:p>
        </w:tc>
      </w:tr>
      <w:tr>
        <w:trPr>
          <w:trHeight w:val="865"/>
        </w:trPr>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0" w:type="dxa"/>
            <w:vAlign w:val="bottom"/>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w:t>
            </w: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35,425</w:t>
            </w:r>
          </w:p>
        </w:tc>
      </w:tr>
      <w:tr>
        <w:trPr>
          <w:trHeight w:val="217"/>
        </w:trPr>
        <w:tc>
          <w:tcPr>
            <w:tcW w:w="5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49,432</w:t>
            </w:r>
          </w:p>
        </w:tc>
      </w:tr>
      <w:tr>
        <w:trPr>
          <w:trHeight w:val="44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2"/>
        </w:trPr>
        <w:tc>
          <w:tcPr>
            <w:tcW w:w="5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6"/>
        </w:trPr>
        <w:tc>
          <w:tcPr>
            <w:tcW w:w="9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0" w:type="dxa"/>
            <w:vAlign w:val="bottom"/>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0"/>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w:t>
            </w: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17"/>
        </w:trPr>
        <w:tc>
          <w:tcPr>
            <w:tcW w:w="5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17,128</w:t>
            </w:r>
          </w:p>
        </w:tc>
      </w:tr>
    </w:tbl>
    <w:p>
      <w:pPr>
        <w:spacing w:after="0" w:line="169" w:lineRule="exact"/>
        <w:rPr>
          <w:sz w:val="20"/>
          <w:szCs w:val="20"/>
          <w:color w:val="auto"/>
        </w:rPr>
      </w:pPr>
    </w:p>
    <w:p>
      <w:pPr>
        <w:ind w:right="380" w:firstLine="648"/>
        <w:spacing w:after="0" w:line="232" w:lineRule="exact"/>
        <w:rPr>
          <w:sz w:val="20"/>
          <w:szCs w:val="20"/>
          <w:color w:val="auto"/>
        </w:rPr>
      </w:pPr>
      <w:r>
        <w:rPr>
          <w:rFonts w:ascii="Times New Roman" w:cs="Times New Roman" w:eastAsia="Times New Roman" w:hAnsi="Times New Roman"/>
          <w:sz w:val="18"/>
          <w:szCs w:val="18"/>
          <w:color w:val="auto"/>
        </w:rPr>
        <w:t>Depreciation expense was $241 with $89 included as a component of cost of product sales for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ended March 31, 2019 and $196 with $75 included as a component of cost of product sales for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ended March 31, 2018.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ASSETS</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Other assets includes prepaid rent in the amount of $1,726 and $1,412 at March 31, 2019 and December 31, 2018, respectively, and repossessed loans of $1,328 and $1,175 at March 31, 2019 and December 31, 2018,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LIABILITIES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at March 31, 2019 and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tcPr>
          <w:p>
            <w:pPr>
              <w:spacing w:after="0"/>
              <w:rPr>
                <w:sz w:val="13"/>
                <w:szCs w:val="13"/>
                <w:color w:val="auto"/>
              </w:rPr>
            </w:pPr>
          </w:p>
        </w:tc>
      </w:tr>
      <w:tr>
        <w:trPr>
          <w:trHeight w:val="149"/>
        </w:trPr>
        <w:tc>
          <w:tcPr>
            <w:tcW w:w="9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liability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taxes payable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&amp; other accrued liabilities</w:t>
            </w: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900" w:type="dxa"/>
            <w:vAlign w:val="bottom"/>
          </w:tcPr>
          <w:p>
            <w:pPr>
              <w:spacing w:after="0"/>
              <w:rPr>
                <w:sz w:val="19"/>
                <w:szCs w:val="19"/>
                <w:color w:val="auto"/>
              </w:rPr>
            </w:pPr>
          </w:p>
        </w:tc>
      </w:tr>
      <w:tr>
        <w:trPr>
          <w:trHeight w:val="865"/>
        </w:trPr>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2" w:lineRule="exact"/>
        <w:rPr>
          <w:sz w:val="20"/>
          <w:szCs w:val="20"/>
          <w:color w:val="auto"/>
        </w:rPr>
      </w:pPr>
    </w:p>
    <w:p>
      <w:pPr>
        <w:ind w:right="7900" w:firstLine="3"/>
        <w:spacing w:after="0" w:line="461"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Lines of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 1</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has a revolving line of credit (“Revolver 1”) with Capital One, N.A. with a maximum credit limit of $45,000 as of March 31, 2019. On May 12, 2017, Revolver 1 was amended to extend the maturity date to May 11, 2020 and increase the maximum borrowing availability to $45,000. For the three months ended March 31, 2019 and for the year ended December 31, 2018, Revolver 1 accrued interest at one month LIBOR plus 2.40%. The interest rates in effect as of March 31, 2019 and December 31, 2018 were 4.88% and 4.78%, respectively. Amounts available under Revolver 1 are subject to a formula based on eligible consumer loans and MHP Notes and are secured by all accounts receivable and a percentage of the consumer loans receivable and MHP Notes. The amount of available credit under Revolver 1 was $39,839 and $41,321 at March 31, 2019 and December 31, 2018, respectively. The Company was in compliance with all required covenants as of March 31, 2019. For the three months ended March 31, 2019 and 2018, interest expense was $73 and $416, respectively. The outstanding balance as of March 31, 2019 and December 31, 2018 $5,161 and $3,679, respectively. The Company was in compliance with the other financial covenants that it maintain a tangible net worth of at least $90,000 and that it maintain a ratio of debt to EBITDA of 4 to 1 or less.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 2</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April 2016, the Company entered into an agreement with Veritex Community Bank to secure an additional revolving line of credit of $15,000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2019 and December 31, 2018 were 4.99% and 4.85%, respectively. On May 12, 2017, the Company entered into an agreement to increase the line of credit to $20,000. On October 15, 2018, Revolver 2 was amended to extend the maturity date from April 4, 2019 to April 4, 2021. The amount of available credit under Revolver 2 was $17,999 and $10,000 at March 31, 2019 and December 31, 2018, respectively. The Company was in compliance with all required covenants as of March 31, 2019. For the three months ended March 31, 2019 and 2018, interest expense was $61 and $154, respectively. The outstanding balance as of March 31, 2019 and December 31, 2018 was $2,001 and $10,000. The Company was in compliance with the other financial covenants that it maintain a tangible net worth of at least $80,000.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w:t>
      </w:r>
    </w:p>
    <w:p>
      <w:pPr>
        <w:spacing w:after="0" w:line="202"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w:t>
      </w:r>
    </w:p>
    <w:p>
      <w:pPr>
        <w:spacing w:after="0" w:line="3"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7"/>
          <w:szCs w:val="17"/>
          <w:color w:val="auto"/>
        </w:rPr>
        <w:t>for monthly payments of $30 with a final payment due at maturity. The interest rates in effect as of March 31, 2019 and December 31, 2018 were 4.25% and 4.25%, respectively. The note is secured by certain real property of the Company. Interest expense was $38 and $40 for the three months ended March 31, 2019 and 2018, respectively. The balance outstanding on the note payable at March 31, 2019 and December 31, 2018 was $3,506 and $3,552, respectively.</w:t>
      </w:r>
    </w:p>
    <w:p>
      <w:pPr>
        <w:spacing w:after="0" w:line="13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June 1, 2026. Interest expense was $1 and $7 for the three months ended March 31, 2019 and 2018, respectively. The balance outstanding on the note payable at December 31, 2018 was $414. In January 2019, this note was paid in full.</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principal payments on notes payable at March 31, 2019 were 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17"/>
        </w:trPr>
        <w:tc>
          <w:tcPr>
            <w:tcW w:w="354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February 2, 2016, the Company entered into a $1,500 note payable agreement with stated annual interest rates of 3.75% with a related party through common ownership. The note is due on demand. Interest paid on the note payable was $14 for the three months ended March 31, 2018. In October 2018, this note payable was paid in full.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PILOT Agreement</w:t>
      </w:r>
    </w:p>
    <w:p>
      <w:pPr>
        <w:spacing w:after="0" w:line="2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 6.00% per annum on outstanding balances, which are due each December 1st through maturity on December 1, 2021, at which time all unpaid principal and interest are due. The PILOT agreement is collateralized by the assets of the Project. As of March 31, 2019, the Company had not drawn on this credit facility.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March 31, 2019, the Company had 9.8 million shares available for grant under the Compensation Plan.</w:t>
      </w:r>
    </w:p>
    <w:p>
      <w:pPr>
        <w:spacing w:after="0" w:line="15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granted 120,000 restricted shares of its common stock to members of senior management. The shares were granted on February 7, 2019 and had a grant date fair value of $234. The shares vest at a rate of 14.3% annually, beginning on February 7, 2019, and becoming fully vested on February 7, 2025.</w:t>
      </w:r>
    </w:p>
    <w:p>
      <w:pPr>
        <w:spacing w:after="0" w:line="136" w:lineRule="exact"/>
        <w:rPr>
          <w:sz w:val="20"/>
          <w:szCs w:val="20"/>
          <w:color w:val="auto"/>
        </w:rPr>
      </w:pPr>
    </w:p>
    <w:p>
      <w:pPr>
        <w:ind w:right="200" w:firstLine="648"/>
        <w:spacing w:after="0" w:line="313" w:lineRule="auto"/>
        <w:rPr>
          <w:sz w:val="20"/>
          <w:szCs w:val="20"/>
          <w:color w:val="auto"/>
        </w:rPr>
      </w:pPr>
      <w:r>
        <w:rPr>
          <w:rFonts w:ascii="Times New Roman" w:cs="Times New Roman" w:eastAsia="Times New Roman" w:hAnsi="Times New Roman"/>
          <w:sz w:val="17"/>
          <w:szCs w:val="17"/>
          <w:color w:val="auto"/>
        </w:rPr>
        <w:t>The Company granted 2,936 restricted shares of its common stock to the independent directors on the Company’s Board of Directors. The shares were granted on February 7, 2019 and become fully vested on December 13, 2019.</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restricted stock units (the “RSU”) activity (in thousands, except per unit data):</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5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5"/>
        </w:trPr>
        <w:tc>
          <w:tcPr>
            <w:tcW w:w="65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3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19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0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March 31, 2019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r>
    </w:tbl>
    <w:p>
      <w:pPr>
        <w:spacing w:after="0" w:line="90" w:lineRule="exact"/>
        <w:rPr>
          <w:sz w:val="20"/>
          <w:szCs w:val="20"/>
          <w:color w:val="auto"/>
        </w:rPr>
      </w:pPr>
    </w:p>
    <w:p>
      <w:pPr>
        <w:jc w:val="both"/>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approximately 106,000 RSUs remained unvested. Unrecognized compensation expense related to these RSUs at March 31, 2019 was $1,402 and is expected to be recognized over 5.86 years.</w:t>
      </w:r>
    </w:p>
    <w:p>
      <w:pPr>
        <w:spacing w:after="0" w:line="12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w:t>
      </w:r>
    </w:p>
    <w:p>
      <w:pPr>
        <w:spacing w:after="0" w:line="2"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grant. Weighted-average assumptions used in the Black-Scholes option pricing model for stock options granted were as follows: risk free interest rate of 2.41%; dividend yield of 0.00%; expected volatility of common stock of 65.0% and expected life of options of 7.9 years.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unit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5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7"/>
                <w:szCs w:val="17"/>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5"/>
        </w:trPr>
        <w:tc>
          <w:tcPr>
            <w:tcW w:w="5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of Units</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199"/>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0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March 31, 2019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 expense for the three months ended March 31, 2019 and 2018 was $2.0 million and $4.0 million, respectively. The effective tax rate for the three months ended March 31, 2019 was 21.8% and differs from the statutory rate of 21% due to state income taxes. The effective tax rate for the three months ended March 31, 2018 was 42.7% and differs from the statutory rate of 21% due to deferred tax expense associated with the corporate reorganization, state income taxes and other permanent differences between book and tax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$1,549 and $2,186 at March 31, 2019 and December 31, 2018, respectively, without reduction for the resale value of the homes. The Company considers 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left="1460" w:right="1660"/>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6" w:lineRule="exact"/>
        <w:rPr>
          <w:sz w:val="20"/>
          <w:szCs w:val="20"/>
          <w:color w:val="auto"/>
        </w:rPr>
      </w:pPr>
    </w:p>
    <w:p>
      <w:pPr>
        <w:ind w:right="99"/>
        <w:spacing w:after="0" w:line="282" w:lineRule="auto"/>
        <w:rPr>
          <w:sz w:val="20"/>
          <w:szCs w:val="20"/>
          <w:color w:val="auto"/>
        </w:rPr>
      </w:pPr>
      <w:r>
        <w:rPr>
          <w:rFonts w:ascii="Times New Roman" w:cs="Times New Roman" w:eastAsia="Times New Roman" w:hAnsi="Times New Roman"/>
          <w:sz w:val="18"/>
          <w:szCs w:val="18"/>
          <w:color w:val="auto"/>
        </w:rPr>
        <w:t>obligations on current contracts to be immaterial and accordingly have not recorded any reserve for repurchase commitment as of March 31, 2019 or December 31, 2018.</w:t>
      </w:r>
    </w:p>
    <w:p>
      <w:pPr>
        <w:spacing w:after="0" w:line="106" w:lineRule="exact"/>
        <w:rPr>
          <w:sz w:val="20"/>
          <w:szCs w:val="20"/>
          <w:color w:val="auto"/>
        </w:rPr>
      </w:pPr>
    </w:p>
    <w:p>
      <w:pPr>
        <w:ind w:right="119" w:firstLine="648"/>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The Company leases facilities under operating leases that typically have 10</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 These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usually offer the Company a right of first refusal that affords the Company the option to purchase the leased premises under certain terms in the event the landlord attempts to sell the leased premises to a third party. Rent expense was $131 and $91 for the three months ended March 31, 2019 and 2018, respectively. The Company also subleases properties to third parties, ranging from 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to 11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 with various renewal options. Rental income from the subleased property was approximately $89 and $92 for the three months ended March 31, 2019 and 2018, respectively.</w:t>
      </w:r>
    </w:p>
    <w:p>
      <w:pPr>
        <w:spacing w:after="0" w:line="13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Future minimum lease commitments under all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leases for each of the next five years at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17"/>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02"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41" w:lineRule="exact"/>
        <w:rPr>
          <w:sz w:val="20"/>
          <w:szCs w:val="20"/>
          <w:color w:val="auto"/>
        </w:rPr>
      </w:pPr>
    </w:p>
    <w:p>
      <w:pPr>
        <w:ind w:right="2079" w:firstLine="3"/>
        <w:spacing w:after="0" w:line="464"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 AND FAIR VALUE MEASUREMENTS Derivative Financial Instruments</w:t>
      </w:r>
    </w:p>
    <w:p>
      <w:pPr>
        <w:ind w:right="59" w:firstLine="648"/>
        <w:spacing w:after="0" w:line="218" w:lineRule="exact"/>
        <w:rPr>
          <w:sz w:val="20"/>
          <w:szCs w:val="20"/>
          <w:color w:val="auto"/>
        </w:rPr>
      </w:pPr>
      <w:r>
        <w:rPr>
          <w:rFonts w:ascii="Times New Roman" w:cs="Times New Roman" w:eastAsia="Times New Roman" w:hAnsi="Times New Roman"/>
          <w:sz w:val="18"/>
          <w:szCs w:val="18"/>
          <w:color w:val="auto"/>
        </w:rPr>
        <w:t>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is the only one outstanding at March 31, 2019 and has a maturity of May 11, 2020. The fair values of the interest rate swap agreement are assets included in prepaid expenses and other current assets and were $50 and $80 at March 31, 2019 and December 31, 2018, respectively. Included in the statements of operations for the three months ended March 31, 2019 and 2018 were losses of $16 and $7, respectively, which are the result of the changes in the fair values of the interest rate swap agreement.</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4" w:lineRule="exact"/>
        <w:rPr>
          <w:sz w:val="20"/>
          <w:szCs w:val="20"/>
          <w:color w:val="auto"/>
        </w:rPr>
      </w:pPr>
    </w:p>
    <w:p>
      <w:pPr>
        <w:ind w:right="80" w:firstLine="648"/>
        <w:spacing w:after="0" w:line="224" w:lineRule="exact"/>
        <w:rPr>
          <w:sz w:val="20"/>
          <w:szCs w:val="20"/>
          <w:color w:val="auto"/>
        </w:rPr>
      </w:pPr>
      <w:r>
        <w:rPr>
          <w:rFonts w:ascii="Times New Roman" w:cs="Times New Roman" w:eastAsia="Times New Roman" w:hAnsi="Times New Roman"/>
          <w:sz w:val="18"/>
          <w:szCs w:val="18"/>
          <w:color w:val="auto"/>
        </w:rPr>
        <w:t>The Company accounts for its investments and derivative instruments in accordance with ASC 820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which among other things provides the framework for measuring fair value. That framework provides a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are as follows:</w:t>
      </w:r>
    </w:p>
    <w:p>
      <w:pPr>
        <w:spacing w:after="0" w:line="161" w:lineRule="exact"/>
        <w:rPr>
          <w:sz w:val="20"/>
          <w:szCs w:val="20"/>
          <w:color w:val="auto"/>
        </w:rPr>
      </w:pPr>
    </w:p>
    <w:p>
      <w:pPr>
        <w:ind w:left="1480" w:hanging="842"/>
        <w:spacing w:after="0" w:line="261" w:lineRule="auto"/>
        <w:tabs>
          <w:tab w:leader="none" w:pos="1460" w:val="left"/>
        </w:tabs>
        <w:rPr>
          <w:sz w:val="20"/>
          <w:szCs w:val="20"/>
          <w:color w:val="auto"/>
        </w:rPr>
      </w:pPr>
      <w:r>
        <w:rPr>
          <w:rFonts w:ascii="Times New Roman" w:cs="Times New Roman" w:eastAsia="Times New Roman" w:hAnsi="Times New Roman"/>
          <w:sz w:val="18"/>
          <w:szCs w:val="18"/>
          <w:color w:val="auto"/>
        </w:rPr>
        <w:t>Level I</w:t>
      </w:r>
      <w:r>
        <w:rPr>
          <w:sz w:val="20"/>
          <w:szCs w:val="20"/>
          <w:color w:val="auto"/>
        </w:rPr>
        <w:tab/>
      </w:r>
      <w:r>
        <w:rPr>
          <w:rFonts w:ascii="Times New Roman" w:cs="Times New Roman" w:eastAsia="Times New Roman" w:hAnsi="Times New Roman"/>
          <w:sz w:val="18"/>
          <w:szCs w:val="18"/>
          <w:color w:val="auto"/>
        </w:rPr>
        <w:t>Quoted prices are available in active markets for identical assets or liabilities that the reporting entity has the ability to access at the measurement date.</w:t>
      </w:r>
    </w:p>
    <w:p>
      <w:pPr>
        <w:ind w:left="1500" w:hanging="842"/>
        <w:spacing w:after="0" w:line="265" w:lineRule="auto"/>
        <w:tabs>
          <w:tab w:leader="none" w:pos="1480" w:val="left"/>
        </w:tabs>
        <w:rPr>
          <w:sz w:val="20"/>
          <w:szCs w:val="20"/>
          <w:color w:val="auto"/>
        </w:rPr>
      </w:pPr>
      <w:r>
        <w:rPr>
          <w:rFonts w:ascii="Times New Roman" w:cs="Times New Roman" w:eastAsia="Times New Roman" w:hAnsi="Times New Roman"/>
          <w:sz w:val="18"/>
          <w:szCs w:val="18"/>
          <w:color w:val="auto"/>
        </w:rPr>
        <w:t>Level II</w:t>
      </w:r>
      <w:r>
        <w:rPr>
          <w:sz w:val="20"/>
          <w:szCs w:val="20"/>
          <w:color w:val="auto"/>
        </w:rPr>
        <w:tab/>
      </w:r>
      <w:r>
        <w:rPr>
          <w:rFonts w:ascii="Times New Roman" w:cs="Times New Roman" w:eastAsia="Times New Roman" w:hAnsi="Times New Roman"/>
          <w:sz w:val="17"/>
          <w:szCs w:val="17"/>
          <w:color w:val="auto"/>
        </w:rPr>
        <w:t>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1" w:lineRule="exact"/>
        <w:rPr>
          <w:sz w:val="20"/>
          <w:szCs w:val="20"/>
          <w:color w:val="auto"/>
        </w:rPr>
      </w:pPr>
    </w:p>
    <w:p>
      <w:pPr>
        <w:ind w:left="1500" w:right="120" w:hanging="842"/>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Level III</w:t>
        <w:tab/>
        <w:t>Significant unobservable inputs that reflect an entity’s own assumptions that market participants would use in pricing the assets or liabilities.</w:t>
      </w:r>
    </w:p>
    <w:p>
      <w:pPr>
        <w:spacing w:after="0" w:line="13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asset or liability fair value measurement level within the fair value hierarchy is based on the lowest level of any input that is significant to the fair value measurement.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7"/>
          <w:szCs w:val="17"/>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98" w:lineRule="exact"/>
        <w:rPr>
          <w:sz w:val="20"/>
          <w:szCs w:val="20"/>
          <w:color w:val="auto"/>
        </w:rPr>
      </w:pPr>
    </w:p>
    <w:p>
      <w:pPr>
        <w:ind w:right="200" w:firstLine="648"/>
        <w:spacing w:after="0" w:line="218" w:lineRule="exact"/>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approximate their respective fair values because of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maturities or expected settlement dates of these instruments. This is considered a Level I valuation technique. The MHP Notes, other notes, lines of credit, and notes payable have variable interest rates that reflect market rates and their fair value approximates their carrying value. This is considered a Level II valuation technique. The Company also assessed the fair value of the consumer loans receivable based on the discounted value of the remaining principal and interest cash flows. The Company determined that the fair value of the consumer loan portfolio was approximately $105,108 compared to the book value of $98,904 as of March 31, 2019, and a fair value of approximately $109,231 compared to the book value of $97,175 as of December 31, 2018. This is a Level III valuation technique.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74" w:lineRule="exact"/>
        <w:rPr>
          <w:sz w:val="20"/>
          <w:szCs w:val="20"/>
          <w:color w:val="auto"/>
        </w:rPr>
      </w:pPr>
    </w:p>
    <w:p>
      <w:pPr>
        <w:ind w:right="160" w:firstLine="648"/>
        <w:spacing w:after="0" w:line="226" w:lineRule="exact"/>
        <w:rPr>
          <w:sz w:val="20"/>
          <w:szCs w:val="20"/>
          <w:color w:val="auto"/>
        </w:rPr>
      </w:pPr>
      <w:r>
        <w:rPr>
          <w:rFonts w:ascii="Times New Roman" w:cs="Times New Roman" w:eastAsia="Times New Roman" w:hAnsi="Times New Roman"/>
          <w:sz w:val="18"/>
          <w:szCs w:val="18"/>
          <w:color w:val="auto"/>
        </w:rPr>
        <w:t>Basic earnings per common share (“EPS”) is computed based on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6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00" w:type="dxa"/>
        <w:tblCellMar>
          <w:top w:w="0" w:type="dxa"/>
          <w:left w:w="0" w:type="dxa"/>
          <w:bottom w:w="0" w:type="dxa"/>
          <w:right w:w="0" w:type="dxa"/>
        </w:tblCellMar>
      </w:tblPr>
      <w:tr>
        <w:trPr>
          <w:trHeight w:val="142"/>
        </w:trPr>
        <w:tc>
          <w:tcPr>
            <w:tcW w:w="45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(in 000's)</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24,516,762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grants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24,571,088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Legacy Housing Corp</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4"/>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Bell Mobile Homes, a retailer owned by one of the Company’s significant owners, purchases manufactured homes from the Company. Accounts receivable balances due from Bell Mobile Homes were $481 and $414 as of March 31, 2019 and December 31, 2018, respectively. Accounts payable balances due to Bell Mobile Homes for maintenance and related services were $0 and $123 as of March 31, 2019 and December 31, 2018, respectively. Home sales to Bell Mobile Homes were $858 and $583 for the three months ended March 31, 2019 and 2018, respectively.</w:t>
      </w:r>
    </w:p>
    <w:p>
      <w:pPr>
        <w:spacing w:after="0" w:line="15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Shipley Bros., Ltd. (“Shipley Bros.”), a retailer owned by one of the Company’s significant shareholders, purchases manufactured homes from the Company. Accounts receivable balances due from Shipley Bros. were $224 and $832 as of March 31, 2019 and December 31, 2018, respectively.</w:t>
      </w:r>
    </w:p>
    <w:p>
      <w:pPr>
        <w:spacing w:after="0" w:line="13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2, 2016, the Company entered into a $1,500 note payable agreement with stated annual interest rates of 3.75% with a related party through common ownership. The note was due on demand. Interest paid on the note payable to Shipley and Sons was $14 for the three months ended March 31, 2018. On October 18, 2018, this note payable was paid in full.</w:t>
      </w:r>
    </w:p>
    <w:p>
      <w:pPr>
        <w:spacing w:after="0" w:line="1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2019, the Company has a receivable of $375 from a principal shareholder for certain business expenses related to a potential business venture. This amount is included in the Company’s accounts receivable balance as of March 31, 2019.</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6" w:lineRule="auto"/>
        <w:rPr>
          <w:sz w:val="20"/>
          <w:szCs w:val="20"/>
          <w:color w:val="auto"/>
        </w:rPr>
      </w:pPr>
      <w:r>
        <w:rPr>
          <w:rFonts w:ascii="Times New Roman" w:cs="Times New Roman" w:eastAsia="Times New Roman" w:hAnsi="Times New Roman"/>
          <w:sz w:val="18"/>
          <w:szCs w:val="18"/>
          <w:b w:val="1"/>
          <w:bCs w:val="1"/>
          <w:color w:val="auto"/>
        </w:rPr>
        <w:t>LEGACY HOUSING CORPORATION NOTES TO CONDENSED FINANCIAL STATEMENTS (UNAUDITED) FOR THE THREE MONTHS ENDED MARCH 31, 2019 AND 2018 (dollars in thousands)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17, 2019, the Company purchased 300,000 shares of its common stock at the price of $10.20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4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these financial statements, an evaluation of subsequent events was performed through the date of filing and there were no other events that have occurred that would require adjustments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100" w:firstLine="713"/>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financial statements and accompanying notes and the information contained in other sections of this Form 10-Q. It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discussed in this Form 10-Q and in our Registration Statement on Form S-1, particularly under the heading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20" w:firstLine="648"/>
        <w:spacing w:after="0" w:line="225" w:lineRule="exact"/>
        <w:rPr>
          <w:sz w:val="20"/>
          <w:szCs w:val="20"/>
          <w:color w:val="auto"/>
        </w:rPr>
      </w:pPr>
      <w:r>
        <w:rPr>
          <w:rFonts w:ascii="Times New Roman" w:cs="Times New Roman" w:eastAsia="Times New Roman" w:hAnsi="Times New Roman"/>
          <w:sz w:val="17"/>
          <w:szCs w:val="17"/>
          <w:color w:val="auto"/>
        </w:rPr>
        <w:t>Legacy Housing Corporation builds, sells and finances manufactured homes and “tiny houses” that are distributed through a network of independent retailers and company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owned stores and are sold directly to manufactured housing communities. We are the fourth largest producer of manufactured homes in the United States as ranked by number of homes manufactured based on information available from the Manufactured Housing Institute and IBTS for the second quarter of 2018. With current operations focused primarily in the southern United States, we offer our customers an array of quality homes ranging in size from approximately 390 to 2,667 square feet consisting of 1 to 5 bedrooms, with 1 to 3</w:t>
      </w:r>
      <w:r>
        <w:rPr>
          <w:rFonts w:ascii="Times New Roman" w:cs="Times New Roman" w:eastAsia="Times New Roman" w:hAnsi="Times New Roman"/>
          <w:sz w:val="8"/>
          <w:szCs w:val="8"/>
          <w:color w:val="auto"/>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7"/>
          <w:szCs w:val="17"/>
          <w:color w:val="auto"/>
        </w:rPr>
        <w:t xml:space="preserve"> bathrooms.</w:t>
      </w:r>
    </w:p>
    <w:p>
      <w:pPr>
        <w:spacing w:after="0" w:line="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homes range in price, at retail, from approximately $18,000 to $122,000. For the three months ended March 31, 2019, we sold 918 home sections (which are entire homes or single floors that are combined to create complete homes) and for the three months ended March 31, 2018, we sold 1,032 home sections. We commenced operations in 2005 and have experienced strong sales growth and increased our equity holders’ capital at a compound annual growth rate of approximately 28% between 2009 and 2018.</w:t>
      </w:r>
    </w:p>
    <w:p>
      <w:pPr>
        <w:spacing w:after="0" w:line="148"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maker, the Executive Chairman of the Board, are based upon analyses of our company as one segment or unit.</w:t>
      </w:r>
    </w:p>
    <w:p>
      <w:pPr>
        <w:spacing w:after="0" w:line="158" w:lineRule="exact"/>
        <w:rPr>
          <w:sz w:val="20"/>
          <w:szCs w:val="20"/>
          <w:color w:val="auto"/>
        </w:rPr>
      </w:pPr>
    </w:p>
    <w:p>
      <w:pPr>
        <w:ind w:firstLine="713"/>
        <w:spacing w:after="0" w:line="220" w:lineRule="exact"/>
        <w:rPr>
          <w:sz w:val="20"/>
          <w:szCs w:val="20"/>
          <w:color w:val="auto"/>
        </w:rPr>
      </w:pPr>
      <w:r>
        <w:rPr>
          <w:rFonts w:ascii="Times New Roman" w:cs="Times New Roman" w:eastAsia="Times New Roman" w:hAnsi="Times New Roman"/>
          <w:sz w:val="18"/>
          <w:szCs w:val="18"/>
          <w:color w:val="auto"/>
        </w:rPr>
        <w:t>We believe our company is one of the most vertically integrated in the manufactured housing industry, allowing us to offer a complete solution to our customers, from manufacturing custom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made homes using quality materials and distributing those homes through our expansive network of independent retailers and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volume production techniques that allow us to produce, on average, approximately 75 home sections, or 62 fully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 kitchens.</w:t>
      </w:r>
    </w:p>
    <w:p>
      <w:pPr>
        <w:spacing w:after="0" w:line="213"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Our homes are marketed under our premier “Legacy” brand name and currently are sold primarily across 15 states through a network of 111 independent retail locations, 12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locations and through direct sales to owners of manufactured home communities. Our 12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locations, including ten Heritage Housing stores and two Tiny House Outlet stores exclusively sell our homes. For the three months ended March 31, 2019, approximately 54% of our manufactured homes were sold in Texas, followed by 10% in Georgia, 8% in Florida, 8% in Kansas and 5% in Michigan. For the three months ended March 31, 2018, 48% of our manufactured homes were sold in Texas, followed by 20% in Georgia, 13% in Louisiana, 4% in Colorado and 4% in Oklahoma. We plan to deepen our distribution channel by using cash from operations and borrowings from our lines of credit to expand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locations in new and existing markets.</w:t>
      </w:r>
    </w:p>
    <w:p>
      <w:pPr>
        <w:spacing w:after="0" w:line="164" w:lineRule="exact"/>
        <w:rPr>
          <w:sz w:val="20"/>
          <w:szCs w:val="20"/>
          <w:color w:val="auto"/>
        </w:rPr>
      </w:pPr>
    </w:p>
    <w:p>
      <w:pPr>
        <w:ind w:right="240" w:firstLine="648"/>
        <w:spacing w:after="0" w:line="220" w:lineRule="exact"/>
        <w:rPr>
          <w:sz w:val="20"/>
          <w:szCs w:val="20"/>
          <w:color w:val="auto"/>
        </w:rPr>
      </w:pPr>
      <w:r>
        <w:rPr>
          <w:rFonts w:ascii="Times New Roman" w:cs="Times New Roman" w:eastAsia="Times New Roman" w:hAnsi="Times New Roman"/>
          <w:sz w:val="18"/>
          <w:szCs w:val="18"/>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users through both independent and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locations, and we provide financing solutions to manufactured housing community owners that buy our products for use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Conversion</w:t>
      </w:r>
    </w:p>
    <w:p>
      <w:pPr>
        <w:spacing w:after="0" w:line="189"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For more information, see “Corporate Conversion” in Note 1.</w:t>
      </w:r>
    </w:p>
    <w:p>
      <w:pPr>
        <w:spacing w:after="0" w:line="143"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Ltd.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depend on various opportunities, challenges, trends and other factors, including the following:</w:t>
      </w:r>
    </w:p>
    <w:p>
      <w:pPr>
        <w:spacing w:after="0" w:line="93" w:lineRule="exact"/>
        <w:rPr>
          <w:sz w:val="20"/>
          <w:szCs w:val="20"/>
          <w:color w:val="auto"/>
        </w:rPr>
      </w:pPr>
    </w:p>
    <w:p>
      <w:pPr>
        <w:ind w:left="980" w:hanging="329"/>
        <w:spacing w:after="0" w:line="226"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strategy of conservatively deploying our capital to achieve above average rates of return, we intend to expand our retail presence in the geographic markets we now serve, particularly in the southern United States. Each retail center requires between $1,000,000 and $2,000,000 to acquire the location, situate an office, provide inventory, and provide the initial working capital. We expect to open 8 to 12 additional retail centers by the end of 2020.</w:t>
      </w:r>
    </w:p>
    <w:p>
      <w:pPr>
        <w:spacing w:after="0" w:line="130" w:lineRule="exact"/>
        <w:rPr>
          <w:rFonts w:ascii="Times New Roman" w:cs="Times New Roman" w:eastAsia="Times New Roman" w:hAnsi="Times New Roman"/>
          <w:sz w:val="18"/>
          <w:szCs w:val="18"/>
          <w:color w:val="auto"/>
        </w:rPr>
      </w:pPr>
    </w:p>
    <w:p>
      <w:pPr>
        <w:ind w:left="980" w:right="60" w:hanging="329"/>
        <w:spacing w:after="0" w:line="226"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expect to provide financing solutions to a select group of our manufactured housing community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59" w:lineRule="exact"/>
        <w:rPr>
          <w:rFonts w:ascii="Times New Roman" w:cs="Times New Roman" w:eastAsia="Times New Roman" w:hAnsi="Times New Roman"/>
          <w:sz w:val="18"/>
          <w:szCs w:val="18"/>
          <w:color w:val="auto"/>
        </w:rPr>
      </w:pPr>
    </w:p>
    <w:p>
      <w:pPr>
        <w:ind w:left="980" w:hanging="329"/>
        <w:spacing w:after="0" w:line="25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our financial performance will be impacted by our ability to fulfill current orders for our manufactured homes from dealers and customers. Currently, our two Texas manufacturing facilities are 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information set forth in the financial statements and the accompanying notes appearing elsewhere in this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2019 and 2018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MHP loans interest</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16"/>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Dealer incentive</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w:t>
            </w: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sales primarily consist of direct sales, commercial sales, consignment sales and retail store sales.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decreased $5.9 million, or 15.7%, during the three months ended March 31, 2019 as compared to the same period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This change was driven by a 15.9% decrease in volume of homes sold. The first quarter of 2018 included $8.9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sales as a subcontractor operating under a contract with FEMA to provide housing for victims of Hurricane Harvey. 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decreased $8.1 million to $4.5 million in 2019 from $12.5 million in 2018 primarily due to the nonrecurring sales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FEMA. Commercial sales increased $5.5 million to $12.5 million in 2019 from $7.0 million in 2018, and our</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stores sales increased $0.8 million to $3.3 million in 2019 from $2.5 million in 2018. These increases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partially offset by a net $2.7 million decrease in consignment sales. The remaining decrease of $1.4 million is primarily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decline in direct freight related to the 2018 FEMA sales.</w:t>
      </w:r>
    </w:p>
    <w:p>
      <w:pPr>
        <w:spacing w:after="0" w:line="151" w:lineRule="exact"/>
        <w:rPr>
          <w:sz w:val="20"/>
          <w:szCs w:val="20"/>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Net revenue attributable to our factory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built housing consisted of the following during the first three months of 2019 and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sold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products sold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revenue per product sold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41,134</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color w:val="auto"/>
        </w:rPr>
        <w:t>For the three months ended 2019, our net revenue per product sold increased in part because of increased sales to manufactured home communities and increased sales through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stores, all of which carry higher margins. In addition, there were multiple price increases to our product prices due to rising material and labor costs, which resulted in higher home sales prices and more revenue generated per home sold.</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Consumer and MHP loans interest income grew $1.1 million, or 25.9%, during the three months ended March 31, 2019 as compared to the same period in 2018 and is related to our increase in outstanding MHP Note portfolio and consumer loan portfolio. Between March 31, 2019 and March 31, 2018 our consumer loan portfolio increased by $10.3 million and the MHP Note portfolio increased by $11.2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Other revenue primarily consists of service fees and consignment fees. Other revenue remained flat at $0.9 million for the three months ended March 31, 2019 and 2018 as a $0.1 million increase in consignment fees was offset by a $0.1 decrease in service fees.</w:t>
      </w:r>
    </w:p>
    <w:p>
      <w:pPr>
        <w:spacing w:after="0" w:line="14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cost of product sales decreased $5.8 million, or 20.8%, during the three months ended March 31, 2019 as compared to the same period in 2018. The reduction in costs is primarily related to the declining number of homes sold in 2019.</w:t>
      </w:r>
    </w:p>
    <w:p>
      <w:pPr>
        <w:spacing w:after="0" w:line="136" w:lineRule="exact"/>
        <w:rPr>
          <w:sz w:val="20"/>
          <w:szCs w:val="20"/>
          <w:color w:val="auto"/>
        </w:rPr>
      </w:pPr>
    </w:p>
    <w:p>
      <w:pPr>
        <w:ind w:right="40" w:firstLine="713"/>
        <w:spacing w:after="0" w:line="219" w:lineRule="exact"/>
        <w:rPr>
          <w:sz w:val="20"/>
          <w:szCs w:val="20"/>
          <w:color w:val="auto"/>
        </w:rPr>
      </w:pPr>
      <w:r>
        <w:rPr>
          <w:rFonts w:ascii="Times New Roman" w:cs="Times New Roman" w:eastAsia="Times New Roman" w:hAnsi="Times New Roman"/>
          <w:sz w:val="18"/>
          <w:szCs w:val="18"/>
          <w:color w:val="auto"/>
        </w:rPr>
        <w:t>Selling, general and administrative expenses increased $1.7 million, or 35.3%, during the three months ended March 31, 2019 as compared to the same period in 2018. This increase was primarily due to increased operations of our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retail lots, increases in advertisng and promotions, the opening of a corporate office in Bedford, Texas and a sales office in Norcross, Georgia. We also incurred an increase in accounting fees, incentive compensation and non-capitalizable costs related to our operations as a public company. These increases were partially offset by a $0.6 million decrease in warranty costs related to the decline in product sales to FEMA. In addition, dealer incentive expense decreased $0.1 million, or 37.3% in 2019 as compared to 2018. This decrease was the result of our decline in consignment sales.</w:t>
      </w:r>
    </w:p>
    <w:p>
      <w:pPr>
        <w:spacing w:after="0" w:line="161" w:lineRule="exact"/>
        <w:rPr>
          <w:sz w:val="20"/>
          <w:szCs w:val="20"/>
          <w:color w:val="auto"/>
        </w:rPr>
      </w:pPr>
    </w:p>
    <w:p>
      <w:pPr>
        <w:ind w:right="40" w:firstLine="713"/>
        <w:spacing w:after="0" w:line="261" w:lineRule="auto"/>
        <w:rPr>
          <w:sz w:val="20"/>
          <w:szCs w:val="20"/>
          <w:color w:val="auto"/>
        </w:rPr>
      </w:pPr>
      <w:r>
        <w:rPr>
          <w:rFonts w:ascii="Times New Roman" w:cs="Times New Roman" w:eastAsia="Times New Roman" w:hAnsi="Times New Roman"/>
          <w:sz w:val="18"/>
          <w:szCs w:val="18"/>
          <w:color w:val="auto"/>
        </w:rPr>
        <w:t>Other income (expense), net was a loss of $0.1 million during the three months ended March 31, 2019 as compared to a loss of $0.6 million in 2018. This decline was primarily due to a decrease of $43.6 million in our average borrowings outstanding on our lines of credit after the completion of our IPO. Following the completion of our IPO, we paid off over $40.0 million borrowed against our lines of credit.</w:t>
      </w:r>
    </w:p>
    <w:p>
      <w:pPr>
        <w:spacing w:after="0" w:line="15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during the three months ended March 31, 2019 was $2.0 million compared to $4.0 million for the same period in 2018. The effective tax rate for the three months ended March 31, 2019 was 21.8% and differs from the statutory rate of 21% due to state income taxes. The effective tax rate for the three months ended March 31, 2018 was 42.7% and differs from the statutory rate of 21% due to recognition of a $2.1 million deferred tax expense associated with the corporate reorganization, state income taxes and other permanent differences between book and tax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and cash equivalents at March 31, 2019, together with cash flow from operations, will be sufficient to fund our operations and provide for growth for the next 12 to 18 months and into the foreseeable future. As of March 31, 2019, we had approximately $3.1 million in cash and cash equivalents, compared to $2.6 million as of December 31, 2018. In January 2019, we recived gross proceeds of $7.2 million from the exercise of the underwriters’ option to purchase additional shares to cover over-allotments in connection with the IPO. These proceeds were primarily used for payments to reduce our borrowings under the lines of credit.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w:t>
      </w:r>
    </w:p>
    <w:p>
      <w:pPr>
        <w:spacing w:after="0" w:line="16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300"/>
        <w:spacing w:after="0" w:line="229" w:lineRule="auto"/>
        <w:rPr>
          <w:sz w:val="20"/>
          <w:szCs w:val="20"/>
          <w:color w:val="auto"/>
        </w:rPr>
      </w:pPr>
      <w:r>
        <w:rPr>
          <w:rFonts w:ascii="Times New Roman" w:cs="Times New Roman" w:eastAsia="Times New Roman" w:hAnsi="Times New Roman"/>
          <w:sz w:val="14"/>
          <w:szCs w:val="14"/>
          <w:b w:val="1"/>
          <w:bCs w:val="1"/>
          <w:color w:val="auto"/>
        </w:rPr>
        <w:t>March 31,</w:t>
      </w:r>
    </w:p>
    <w:p>
      <w:pPr>
        <w:ind w:left="720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18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8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Comparison of Cash Flow Activities from March 31, 2019 to March 31, 2018</w:t>
      </w:r>
    </w:p>
    <w:p>
      <w:pPr>
        <w:spacing w:after="0" w:line="202"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$1.1 million during the three months ended March 31, 2019, compared to the comparable period in 2018, primarily as a result of an increase in net working capital used for additional loan originations associated with higher demand for home sales to MHPs and a decrease in cash collections on accounts receivable. The decrease in operating cash flows described above was partially offset from cash generated by operating income before non-cash adjustments, a decrease in inventory purchases and an increase in accounts payable and accrued liabilities.</w:t>
      </w:r>
    </w:p>
    <w:p>
      <w:pPr>
        <w:spacing w:after="0" w:line="1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of $2.0 million in 2019 was primarily attributable to $0.6 million used for the acquisition of land for development, $0.1 million used to purchase consumer loans and $1.4 million used for loans to third parties for the development of manufactured housing parks. In addition, we had capital expenditures of $0.1 million for property plant and equipment and $0.1 million for transportion equipment. These were offset by collections of $0.1 million of loans we made to third parties for the development of manufactured housing parks and collections of $0.2 million from our purchased consumer loans.</w:t>
      </w:r>
    </w:p>
    <w:p>
      <w:pPr>
        <w:spacing w:after="0" w:line="14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$0.9 million in 2019 was primarily attributable to net payments of $6.5 million on our lines of credit, $0.5 million of payments on our notes payable and $0.6 million of payments to reduce our escrow liability, offset by net proceeds of $6.7 million from the issuance of our common stock.</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85"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Capital One Revolver. </w:t>
      </w:r>
      <w:r>
        <w:rPr>
          <w:rFonts w:ascii="Times New Roman" w:cs="Times New Roman" w:eastAsia="Times New Roman" w:hAnsi="Times New Roman"/>
          <w:sz w:val="18"/>
          <w:szCs w:val="18"/>
          <w:color w:val="auto"/>
        </w:rPr>
        <w:t>We have a revolving line of credit (“Revolver 1”) with Capital One, N.A. with a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limit of $45,000,000 as of March 31, 2019. On May 12, 2017, Revolver 1 was amended to extend the maturity date to May 11, 2020 and increase the maximum borrowing availability under Revolver 1 to $45,000,000. For the three months ended March 31, 2019 and for the year ended December 31, 2018, Revolver 1 accrued interest at one month LIBOR plus 2.40%. The interest rates in effect as of March 31, 2019 and December 31, 2018 were 4.88% and 4.78%, respectively. Amounts available under Revolver 1 are subject to a formula based on eligible consumer loans and MHP Notes and are secured by all accounts receivable and a percentage of the consumer loans receivable and MHP Notes. The amount of available credit under Revolver 1 was $39,839,000 and $41,321,000 at March 31, 2019 and December 31, 2018, respectively. For the three months ended March 31, 2019 and 2018, interest expense was $73,000 and $416,000, respectively. The outstanding balance as of March 31, 2019 and December 31, 2018 $5,161,000 and $3,679,000, respectively. We were in compliance with all financial covenants as of March 31, 2019, including that we maintain a tangible net worth of at least $90,000,000 and that we maintain a ratio of debt to EBITDA of 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or less.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Veritex Community Bank Revolver. </w:t>
      </w:r>
      <w:r>
        <w:rPr>
          <w:rFonts w:ascii="Times New Roman" w:cs="Times New Roman" w:eastAsia="Times New Roman" w:hAnsi="Times New Roman"/>
          <w:sz w:val="18"/>
          <w:szCs w:val="18"/>
          <w:color w:val="auto"/>
        </w:rPr>
        <w:t>In April 2016, we entered into an agreement with Veritex Community Bank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secure an additional revolving line of credit of $15,000,000 (“Revolver 2”). Revolver 2 accrues interest at one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plus 2.50% and all unpaid principal and interest is due at maturity on April 4, 2021. Revolver 2 is secured by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 inventory excluding repossessed homes. Amounts available under Revolver 2 are subject to a formula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eligible inventory. The interest rates in effect as of March 31, 2019 and December 31, 2018 was 4.99% and 4.85%,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On May 12, 2017, we entered into an agreement to increase the maximum borrowing availability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Revolver 2 to $20,000,000. On October 15, 2018, Revolver 2 was amended to extend the maturity date from April 4, 2019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2021. The amount of available credit under Revolver 2 was $17,999,000 and $10,000,000 at March 31, 2019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respectively. For the three months ended March 31, 2019 and 2018, interest expense was $61,000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$154,000, respectively. The outstanding balance as of March 31, 2019 and December 31, 2018 was $2,001,000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 respectively. We were in compliance with all financial covenants as of March 31, 2019, including that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a tangible net worth of at least $80,000,000.</w:t>
      </w:r>
    </w:p>
    <w:p>
      <w:pPr>
        <w:spacing w:after="0" w:line="17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Notes Payable. </w:t>
      </w:r>
      <w:r>
        <w:rPr>
          <w:rFonts w:ascii="Times New Roman" w:cs="Times New Roman" w:eastAsia="Times New Roman" w:hAnsi="Times New Roman"/>
          <w:sz w:val="18"/>
          <w:szCs w:val="18"/>
          <w:color w:val="auto"/>
        </w:rPr>
        <w:t>We have a promissory note with Woodhaven Bank. The amount due under the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accrued interest at an annual rate of 3.85% through February 2, 2017 and then at the prime interest rate plus 0.60% through maturity on April 7, 2018. The loan was subsequently renewed through April 7, 2033. The promissory note calls for monthly principal and interest payments of $30,000 with a final payment due at maturity. The interest rates in effect as of March 31, 2019 and December 31, 2018 were 4.25% and 4.25%, respectively. The note is secured by certain of our real property. Interest expense was $38,000 and $40,000 for the three months ended March 31, 2019 and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respectively. The balance outstanding on the note payable at March 31, 2019 and December 31, 2018 was $3,506,000 and $3,552,000, respectively.</w:t>
      </w:r>
    </w:p>
    <w:p>
      <w:pPr>
        <w:spacing w:after="0" w:line="135" w:lineRule="exact"/>
        <w:rPr>
          <w:sz w:val="20"/>
          <w:szCs w:val="20"/>
          <w:color w:val="auto"/>
        </w:rPr>
      </w:pPr>
    </w:p>
    <w:p>
      <w:pPr>
        <w:ind w:right="160" w:firstLine="713"/>
        <w:spacing w:after="0" w:line="258" w:lineRule="auto"/>
        <w:rPr>
          <w:sz w:val="20"/>
          <w:szCs w:val="20"/>
          <w:color w:val="auto"/>
        </w:rPr>
      </w:pPr>
      <w:r>
        <w:rPr>
          <w:rFonts w:ascii="Times New Roman" w:cs="Times New Roman" w:eastAsia="Times New Roman" w:hAnsi="Times New Roman"/>
          <w:sz w:val="18"/>
          <w:szCs w:val="18"/>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expense was $1,000 and $7,000 for the three months ended March 31, 2019 and 2018, respectively. The balance outstanding on the note payable at December 31, 2018 was $414,000. In January 2019, this note was paid in full.</w:t>
      </w:r>
    </w:p>
    <w:p>
      <w:pPr>
        <w:spacing w:after="0" w:line="193"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Notes Payable to an Affiliate. </w:t>
      </w:r>
      <w:r>
        <w:rPr>
          <w:rFonts w:ascii="Times New Roman" w:cs="Times New Roman" w:eastAsia="Times New Roman" w:hAnsi="Times New Roman"/>
          <w:sz w:val="18"/>
          <w:szCs w:val="18"/>
          <w:color w:val="auto"/>
        </w:rPr>
        <w:t>On February 2, 2016, we entered into a $1,500,000 note payable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annual interest rates of 3.75% with Shipley &amp; Sons, Ltd., a related party through the common ownership of Kenneth E. Shipley, a significant shareholder of our company and our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Chief Executive Officer. The note is due on demand. Interest paid on the note payable was $14,000 for the three months ended March 31, 2018. On October 18, 2018, this note payable was paid in full.</w:t>
      </w:r>
    </w:p>
    <w:p>
      <w:pPr>
        <w:spacing w:after="0" w:line="17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PILOT Agreement. </w:t>
      </w:r>
      <w:r>
        <w:rPr>
          <w:rFonts w:ascii="Times New Roman" w:cs="Times New Roman" w:eastAsia="Times New Roman" w:hAnsi="Times New Roman"/>
          <w:sz w:val="18"/>
          <w:szCs w:val="18"/>
          <w:color w:val="auto"/>
        </w:rPr>
        <w:t>In December 2016, we entered into a Payment in Lieu of Taxes (“PILOT”)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March 31, 2019, we had not drawn down on this credit facility.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contractual cash obligations as of March 31,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60" w:type="dxa"/>
            <w:vAlign w:val="bottom"/>
          </w:tcPr>
          <w:p>
            <w:pPr>
              <w:spacing w:after="0"/>
              <w:rPr>
                <w:sz w:val="10"/>
                <w:szCs w:val="10"/>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2 - 3 years</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4 - 5 years</w:t>
            </w: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6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$ 7,163,000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7,163,000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3,506,000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2,547,000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$ 3,075,000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969,000</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85" w:lineRule="exact"/>
        <w:rPr>
          <w:sz w:val="20"/>
          <w:szCs w:val="20"/>
          <w:color w:val="auto"/>
        </w:rPr>
      </w:pPr>
    </w:p>
    <w:p>
      <w:pPr>
        <w:ind w:right="60" w:firstLine="713"/>
        <w:spacing w:after="0" w:line="220" w:lineRule="exact"/>
        <w:rPr>
          <w:sz w:val="20"/>
          <w:szCs w:val="20"/>
          <w:color w:val="auto"/>
        </w:rPr>
      </w:pPr>
      <w:r>
        <w:rPr>
          <w:rFonts w:ascii="Times New Roman" w:cs="Times New Roman" w:eastAsia="Times New Roman" w:hAnsi="Times New Roman"/>
          <w:sz w:val="18"/>
          <w:szCs w:val="18"/>
          <w:color w:val="auto"/>
        </w:rPr>
        <w:t>We did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$1,549,000 and $2,186,000 as of March 31, 2019 and December 31, 2018,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March 31,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2018. Other than recent accounting pronouncement adoptions discussed in Note 1 of our condensed financial statements, we had no significant changes in those critical accounting estimates since our last annual report.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 Nature of Operations, Recent Accounting Pronouncements to our March 31, 2019 Condensed Financial Statements, included in Part I, Item 1, Financial Statements (Unaudited), of this Quarterly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0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for smaller reporting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(as defined in Rule 13a-15(e) of the Exchange Act). Based on this evaluation, the Chief Executive Officer and the Chief Financial Officer each concluded, as of the end of the period, our disclosure controls and procedures were not effective as of March 31, 2019 due to material weaknesses in internal control over financial reporting that were disclosed in our Annual Report on Form 10-K for the fiscal year ended December 31, 2018, and as described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0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filed with the SEC on April 9, 2019, we identified material weaknesses in our internal control over financial reporting during the preparation of our financial statements for the year ended December 31, 2018.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material weaknesses in financial reporting as of March 31, 2019 are summarized as follows:</w:t>
      </w:r>
    </w:p>
    <w:p>
      <w:pPr>
        <w:spacing w:after="0" w:line="212" w:lineRule="exact"/>
        <w:rPr>
          <w:sz w:val="20"/>
          <w:szCs w:val="20"/>
          <w:color w:val="auto"/>
        </w:rPr>
      </w:pPr>
    </w:p>
    <w:p>
      <w:pPr>
        <w:ind w:left="680" w:right="180" w:firstLine="648"/>
        <w:spacing w:after="0" w:line="266" w:lineRule="auto"/>
        <w:rPr>
          <w:sz w:val="20"/>
          <w:szCs w:val="20"/>
          <w:color w:val="auto"/>
        </w:rPr>
      </w:pPr>
      <w:r>
        <w:rPr>
          <w:rFonts w:ascii="Times New Roman" w:cs="Times New Roman" w:eastAsia="Times New Roman" w:hAnsi="Times New Roman"/>
          <w:sz w:val="18"/>
          <w:szCs w:val="18"/>
          <w:color w:val="auto"/>
        </w:rPr>
        <w:t>We determined that we did not have sufficient accounting processes and procedures in place, particularly in the areas of allowance for loan loss, finished goods inventory costing, revenue recognition, income taxes, and processing of accounts payable and accruals for period end cut-off.</w:t>
      </w:r>
    </w:p>
    <w:p>
      <w:pPr>
        <w:spacing w:after="0" w:line="257" w:lineRule="exact"/>
        <w:rPr>
          <w:sz w:val="20"/>
          <w:szCs w:val="20"/>
          <w:color w:val="auto"/>
        </w:rPr>
      </w:pPr>
    </w:p>
    <w:p>
      <w:pPr>
        <w:ind w:left="680" w:right="260" w:firstLine="648"/>
        <w:spacing w:after="0" w:line="282" w:lineRule="auto"/>
        <w:rPr>
          <w:sz w:val="20"/>
          <w:szCs w:val="20"/>
          <w:color w:val="auto"/>
        </w:rPr>
      </w:pPr>
      <w:r>
        <w:rPr>
          <w:rFonts w:ascii="Times New Roman" w:cs="Times New Roman" w:eastAsia="Times New Roman" w:hAnsi="Times New Roman"/>
          <w:sz w:val="18"/>
          <w:szCs w:val="18"/>
          <w:color w:val="auto"/>
        </w:rPr>
        <w:t>We determined that we did not have sufficient experienced personnel to support preparation of financial statements for compliance with U.S. GAAP and SEC rules.</w:t>
      </w:r>
    </w:p>
    <w:p>
      <w:pPr>
        <w:spacing w:after="0" w:line="229" w:lineRule="exact"/>
        <w:rPr>
          <w:sz w:val="20"/>
          <w:szCs w:val="20"/>
          <w:color w:val="auto"/>
        </w:rPr>
      </w:pPr>
    </w:p>
    <w:p>
      <w:pPr>
        <w:ind w:left="680" w:firstLine="648"/>
        <w:spacing w:after="0" w:line="266" w:lineRule="auto"/>
        <w:rPr>
          <w:sz w:val="20"/>
          <w:szCs w:val="20"/>
          <w:color w:val="auto"/>
        </w:rPr>
      </w:pPr>
      <w:r>
        <w:rPr>
          <w:rFonts w:ascii="Times New Roman" w:cs="Times New Roman" w:eastAsia="Times New Roman" w:hAnsi="Times New Roman"/>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Previously-Identified Material Weaknesses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previously described in Item 9A of our Annual Report on Form 10-K for the year ended December 31, 2018,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by the end of fiscal 2019.</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first quarter of fiscal 2019 that materially affected, or are reasonably likely to materially affect, our internal control over financial reporting.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See Note 11 - Commitments and Contingencies in our March 31, 2019 Condensed Financial Statements, included in Part I, Item 1, Financial Statements (Unaudited), of this Quarterly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31.1 *</w:t>
            </w:r>
          </w:p>
        </w:tc>
        <w:tc>
          <w:tcPr>
            <w:tcW w:w="5480" w:type="dxa"/>
            <w:vAlign w:val="bottom"/>
            <w:gridSpan w:val="5"/>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1">
              <w:r>
                <w:rPr>
                  <w:rFonts w:ascii="Times New Roman" w:cs="Times New Roman" w:eastAsia="Times New Roman" w:hAnsi="Times New Roman"/>
                  <w:sz w:val="18"/>
                  <w:szCs w:val="18"/>
                  <w:color w:val="0000EE"/>
                </w:rPr>
                <w:t>Rule 13a—14(a) / 15d—14(a) Certifications — Chief Executive Officer.</w:t>
              </w:r>
            </w:hyperlink>
          </w:p>
        </w:tc>
      </w:tr>
      <w:tr>
        <w:trPr>
          <w:trHeight w:val="20"/>
        </w:trPr>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41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5480" w:type="dxa"/>
            <w:vAlign w:val="bottom"/>
            <w:gridSpan w:val="5"/>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2">
              <w:r>
                <w:rPr>
                  <w:rFonts w:ascii="Times New Roman" w:cs="Times New Roman" w:eastAsia="Times New Roman" w:hAnsi="Times New Roman"/>
                  <w:sz w:val="18"/>
                  <w:szCs w:val="18"/>
                  <w:color w:val="0000EE"/>
                </w:rPr>
                <w:t>Rule 13a—14(a) / 15d—14(a) Certifications — Chief Financial Officer.</w:t>
              </w:r>
            </w:hyperlink>
          </w:p>
        </w:tc>
      </w:tr>
      <w:tr>
        <w:trPr>
          <w:trHeight w:val="20"/>
        </w:trPr>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5480" w:type="dxa"/>
            <w:vAlign w:val="bottom"/>
            <w:gridSpan w:val="5"/>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3">
              <w:r>
                <w:rPr>
                  <w:rFonts w:ascii="Times New Roman" w:cs="Times New Roman" w:eastAsia="Times New Roman" w:hAnsi="Times New Roman"/>
                  <w:sz w:val="18"/>
                  <w:szCs w:val="18"/>
                  <w:color w:val="0000EE"/>
                </w:rPr>
                <w:t>Section 1350 Certification.</w:t>
              </w:r>
            </w:hyperlink>
          </w:p>
        </w:tc>
      </w:tr>
      <w:tr>
        <w:trPr>
          <w:trHeight w:val="20"/>
        </w:trPr>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41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5480" w:type="dxa"/>
            <w:vAlign w:val="bottom"/>
            <w:gridSpan w:val="5"/>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4">
              <w:r>
                <w:rPr>
                  <w:rFonts w:ascii="Times New Roman" w:cs="Times New Roman" w:eastAsia="Times New Roman" w:hAnsi="Times New Roman"/>
                  <w:sz w:val="18"/>
                  <w:szCs w:val="18"/>
                  <w:color w:val="0000EE"/>
                </w:rPr>
                <w:t>Section 1350 Certification.</w:t>
              </w:r>
            </w:hyperlink>
          </w:p>
        </w:tc>
      </w:tr>
      <w:tr>
        <w:trPr>
          <w:trHeight w:val="20"/>
        </w:trPr>
        <w:tc>
          <w:tcPr>
            <w:tcW w:w="15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453"/>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Instance Document.</w:t>
            </w:r>
          </w:p>
        </w:tc>
      </w:tr>
      <w:tr>
        <w:trPr>
          <w:trHeight w:val="432"/>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432"/>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432"/>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432"/>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432"/>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r>
      <w:tr>
        <w:trPr>
          <w:trHeight w:val="432"/>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0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2019</w:t>
            </w:r>
          </w:p>
        </w:tc>
        <w:tc>
          <w:tcPr>
            <w:tcW w:w="60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Jeffrey V. Burt</w:t>
            </w:r>
          </w:p>
        </w:tc>
      </w:tr>
      <w:tr>
        <w:trPr>
          <w:trHeight w:val="191"/>
        </w:trPr>
        <w:tc>
          <w:tcPr>
            <w:tcW w:w="30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Jeffrey V. Burt</w:t>
            </w:r>
          </w:p>
        </w:tc>
      </w:tr>
      <w:tr>
        <w:trPr>
          <w:trHeight w:val="214"/>
        </w:trPr>
        <w:tc>
          <w:tcPr>
            <w:tcW w:w="3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16"/>
        </w:trPr>
        <w:tc>
          <w:tcPr>
            <w:tcW w:w="3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(On behalf of Registrant and as Principal Financial</w:t>
            </w:r>
          </w:p>
        </w:tc>
      </w:tr>
      <w:tr>
        <w:trPr>
          <w:trHeight w:val="236"/>
        </w:trPr>
        <w:tc>
          <w:tcPr>
            <w:tcW w:w="3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878"/>
        </w:trPr>
        <w:tc>
          <w:tcPr>
            <w:tcW w:w="3020" w:type="dxa"/>
            <w:vAlign w:val="bottom"/>
          </w:tcPr>
          <w:p>
            <w:pPr>
              <w:spacing w:after="0"/>
              <w:rPr>
                <w:sz w:val="24"/>
                <w:szCs w:val="24"/>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4080" w:type="dxa"/>
            <w:vAlign w:val="bottom"/>
          </w:tcPr>
          <w:p>
            <w:pPr>
              <w:spacing w:after="0"/>
              <w:rPr>
                <w:sz w:val="24"/>
                <w:szCs w:val="24"/>
                <w:color w:val="auto"/>
              </w:rPr>
            </w:pPr>
          </w:p>
        </w:tc>
      </w:tr>
      <w:tr>
        <w:trPr>
          <w:trHeight w:val="129"/>
        </w:trPr>
        <w:tc>
          <w:tcPr>
            <w:tcW w:w="30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Kenneth E. Shipley, certify that:</w:t>
      </w:r>
    </w:p>
    <w:p>
      <w:pPr>
        <w:spacing w:after="0" w:line="225" w:lineRule="exact"/>
        <w:rPr>
          <w:sz w:val="20"/>
          <w:szCs w:val="20"/>
          <w:color w:val="auto"/>
        </w:rPr>
      </w:pPr>
    </w:p>
    <w:p>
      <w:pPr>
        <w:ind w:left="820" w:hanging="172"/>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80" w:firstLine="648"/>
        <w:spacing w:after="0" w:line="266"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jc w:val="both"/>
        <w:ind w:right="240" w:firstLine="648"/>
        <w:spacing w:after="0" w:line="266"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right="620" w:firstLine="648"/>
        <w:spacing w:after="0" w:line="229" w:lineRule="exact"/>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ind w:left="260" w:right="40" w:firstLine="647"/>
        <w:spacing w:after="0" w:line="266" w:lineRule="auto"/>
        <w:tabs>
          <w:tab w:leader="none" w:pos="11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60" w:right="220" w:firstLine="647"/>
        <w:spacing w:after="0" w:line="266" w:lineRule="auto"/>
        <w:tabs>
          <w:tab w:leader="none" w:pos="120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60" w:firstLine="647"/>
        <w:spacing w:after="0" w:line="266" w:lineRule="auto"/>
        <w:tabs>
          <w:tab w:leader="none" w:pos="11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260" w:right="180" w:firstLine="647"/>
        <w:spacing w:after="0" w:line="266" w:lineRule="auto"/>
        <w:tabs>
          <w:tab w:leader="none" w:pos="120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80" w:firstLine="648"/>
        <w:spacing w:after="0" w:line="266"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260" w:right="140" w:firstLine="647"/>
        <w:spacing w:after="0" w:line="266" w:lineRule="auto"/>
        <w:tabs>
          <w:tab w:leader="none" w:pos="11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260" w:right="500" w:firstLine="647"/>
        <w:spacing w:after="0" w:line="282" w:lineRule="auto"/>
        <w:tabs>
          <w:tab w:leader="none" w:pos="11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2019</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50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34"/>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53"/>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Jeffrey V. Burt, certify that:</w:t>
      </w:r>
    </w:p>
    <w:p>
      <w:pPr>
        <w:spacing w:after="0" w:line="225" w:lineRule="exact"/>
        <w:rPr>
          <w:sz w:val="20"/>
          <w:szCs w:val="20"/>
          <w:color w:val="auto"/>
        </w:rPr>
      </w:pPr>
    </w:p>
    <w:p>
      <w:pPr>
        <w:ind w:left="820" w:hanging="172"/>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80" w:firstLine="648"/>
        <w:spacing w:after="0" w:line="266"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jc w:val="both"/>
        <w:ind w:right="240" w:firstLine="648"/>
        <w:spacing w:after="0" w:line="266"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right="620" w:firstLine="648"/>
        <w:spacing w:after="0" w:line="229" w:lineRule="exact"/>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ind w:left="260" w:right="40" w:firstLine="647"/>
        <w:spacing w:after="0" w:line="266" w:lineRule="auto"/>
        <w:tabs>
          <w:tab w:leader="none" w:pos="11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60" w:right="220" w:firstLine="647"/>
        <w:spacing w:after="0" w:line="266" w:lineRule="auto"/>
        <w:tabs>
          <w:tab w:leader="none" w:pos="12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60" w:firstLine="647"/>
        <w:spacing w:after="0" w:line="266" w:lineRule="auto"/>
        <w:tabs>
          <w:tab w:leader="none" w:pos="11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260" w:right="180" w:firstLine="647"/>
        <w:spacing w:after="0" w:line="266" w:lineRule="auto"/>
        <w:tabs>
          <w:tab w:leader="none" w:pos="12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80" w:firstLine="648"/>
        <w:spacing w:after="0" w:line="266"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260" w:right="140" w:firstLine="647"/>
        <w:spacing w:after="0" w:line="266" w:lineRule="auto"/>
        <w:tabs>
          <w:tab w:leader="none" w:pos="118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260" w:right="500" w:firstLine="647"/>
        <w:spacing w:after="0" w:line="282" w:lineRule="auto"/>
        <w:tabs>
          <w:tab w:leader="none" w:pos="11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2019</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V. Burt</w:t>
            </w:r>
          </w:p>
        </w:tc>
      </w:tr>
      <w:tr>
        <w:trPr>
          <w:trHeight w:val="191"/>
        </w:trPr>
        <w:tc>
          <w:tcPr>
            <w:tcW w:w="50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Jeffrey V. Burt</w:t>
            </w:r>
          </w:p>
        </w:tc>
      </w:tr>
      <w:tr>
        <w:trPr>
          <w:trHeight w:val="234"/>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53"/>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94" w:lineRule="exact"/>
        <w:rPr>
          <w:sz w:val="20"/>
          <w:szCs w:val="20"/>
          <w:color w:val="auto"/>
        </w:rPr>
      </w:pPr>
    </w:p>
    <w:p>
      <w:pPr>
        <w:ind w:right="40" w:firstLine="648"/>
        <w:spacing w:after="0" w:line="232" w:lineRule="exact"/>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March 31, 2019, as filed with the Securities and Exchange Commission on the date hereof (the “Report”), I, Kenneth E. Shipley, President and Chief Executive Officer of the Company, certify, pursuant to 18 U.S.C.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181" w:lineRule="exact"/>
        <w:rPr>
          <w:sz w:val="20"/>
          <w:szCs w:val="20"/>
          <w:color w:val="auto"/>
        </w:rPr>
      </w:pPr>
    </w:p>
    <w:p>
      <w:pPr>
        <w:ind w:left="1300" w:right="100" w:hanging="652"/>
        <w:spacing w:after="0" w:line="282" w:lineRule="auto"/>
        <w:tabs>
          <w:tab w:leader="none" w:pos="12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440" w:hanging="652"/>
        <w:spacing w:after="0" w:line="282" w:lineRule="auto"/>
        <w:tabs>
          <w:tab w:leader="none" w:pos="12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2019</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50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34"/>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53"/>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94" w:lineRule="exact"/>
        <w:rPr>
          <w:sz w:val="20"/>
          <w:szCs w:val="20"/>
          <w:color w:val="auto"/>
        </w:rPr>
      </w:pPr>
    </w:p>
    <w:p>
      <w:pPr>
        <w:ind w:right="180" w:firstLine="648"/>
        <w:spacing w:after="0" w:line="228" w:lineRule="exact"/>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March 31, 2019, as filed with the Securities and Exchange Commission on the date hereof (the “Report”), I, Jeffrey V. Burt, Chief Financial Officer of the Company, certify, pursuant to 18 U.S.C.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198" w:lineRule="exact"/>
        <w:rPr>
          <w:sz w:val="20"/>
          <w:szCs w:val="20"/>
          <w:color w:val="auto"/>
        </w:rPr>
      </w:pPr>
    </w:p>
    <w:p>
      <w:pPr>
        <w:ind w:left="1300" w:right="100" w:hanging="652"/>
        <w:spacing w:after="0" w:line="282" w:lineRule="auto"/>
        <w:tabs>
          <w:tab w:leader="none" w:pos="12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440" w:hanging="652"/>
        <w:spacing w:after="0" w:line="282" w:lineRule="auto"/>
        <w:tabs>
          <w:tab w:leader="none" w:pos="12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2019</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V. Burt</w:t>
            </w:r>
          </w:p>
        </w:tc>
      </w:tr>
      <w:tr>
        <w:trPr>
          <w:trHeight w:val="191"/>
        </w:trPr>
        <w:tc>
          <w:tcPr>
            <w:tcW w:w="50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Jeffrey V. Burt</w:t>
            </w:r>
          </w:p>
        </w:tc>
      </w:tr>
      <w:tr>
        <w:trPr>
          <w:trHeight w:val="234"/>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53"/>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1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2019-12-28T11:42:36Z</dcterms:created>
  <dcterms:modified xsi:type="dcterms:W3CDTF">2019-12-28T11:42:36Z</dcterms:modified>
</cp:coreProperties>
</file>