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egh-20240630x10q.htm"/>
        <w:bookmarkStart w:id="1" w:name="kslegh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4cea965d_d733_425b_9017_436b2843fa18"/>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2024</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001-38761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Legacy Housing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MdT908vP1USc7K5jaQ7sMQ_2_1"/>
      <w:bookmarkStart w:id="4" w:name="Tc_07x9G-CdwE2UGxQCS-dHxg_2_0"/>
      <w:bookmarkStart w:id="5" w:name="Tc_8TZY7x1eeUC7-KTo5AZEjw_1_1"/>
      <w:bookmarkStart w:id="6" w:name="Tc_pyOowEgOek-3n42s-poKwQ_1_0"/>
      <w:bookmarkStart w:id="7" w:name="_f8212589_33c9_46f4_8ee5_d937c00ae8a9"/>
      <w:bookmarkStart w:id="8" w:name="Tc_MdT908vP1USc7K5jaQ7sMQ_2_1"/>
      <w:bookmarkStart w:id="9" w:name="Tc_07x9G-CdwE2UGxQCS-dHxg_2_0"/>
      <w:bookmarkStart w:id="10" w:name="Tc_8TZY7x1eeUC7-KTo5AZEjw_1_1"/>
      <w:bookmarkStart w:id="11" w:name="Tc_pyOowEgOek-3n42s-poKwQ_1_0"/>
      <w:bookmarkStart w:id="12" w:name="_f8212589_33c9_46f4_8ee5_d937c00ae8a9"/>
      <w:bookmarkEnd w:id="8"/>
      <w:bookmarkEnd w:id="9"/>
      <w:bookmarkEnd w:id="10"/>
      <w:bookmarkEnd w:id="11"/>
      <w:bookmarkEnd w:id="12"/>
    </w:p>
    <w:tbl>
      <w:tblPr>
        <w:tblW w:w="3692" w:type="dxa"/>
        <w:jc w:val="left"/>
        <w:tblInd w:w="0" w:type="dxa"/>
        <w:tblLayout w:type="fixed"/>
        <w:tblCellMar>
          <w:top w:w="0" w:type="dxa"/>
          <w:left w:w="0" w:type="dxa"/>
          <w:bottom w:w="0" w:type="dxa"/>
          <w:right w:w="0" w:type="dxa"/>
        </w:tblCellMar>
      </w:tblPr>
      <w:tblGrid>
        <w:gridCol w:w="2236"/>
        <w:gridCol w:w="1456"/>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20-2897516</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Airport Freeway,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Bedford, Texas</w:t>
      </w:r>
      <w:r>
        <w:rPr>
          <w:rFonts w:ascii="Times New Roman;Times;serif" w:hAnsi="Times New Roman;Times;serif"/>
          <w:sz w:val="20"/>
        </w:rPr>
        <w:t xml:space="preserve"> </w:t>
      </w:r>
      <w:r>
        <w:rPr>
          <w:rFonts w:ascii="Times New Roman;Times;serif" w:hAnsi="Times New Roman;Times;serif"/>
          <w:b/>
          <w:sz w:val="18"/>
        </w:rPr>
        <w:t>76022</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(817) 799-4900</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41" w:type="dxa"/>
        <w:jc w:val="left"/>
        <w:tblInd w:w="0" w:type="dxa"/>
        <w:tblLayout w:type="fixed"/>
        <w:tblCellMar>
          <w:top w:w="0" w:type="dxa"/>
          <w:left w:w="0" w:type="dxa"/>
          <w:bottom w:w="0" w:type="dxa"/>
          <w:right w:w="0" w:type="dxa"/>
        </w:tblCellMar>
      </w:tblPr>
      <w:tblGrid>
        <w:gridCol w:w="1876"/>
        <w:gridCol w:w="109"/>
        <w:gridCol w:w="2356"/>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xml:space="preserve"> ☒ </w:t>
            </w:r>
          </w:p>
        </w:tc>
      </w:tr>
      <w:tr>
        <w:trPr/>
        <w:tc>
          <w:tcPr>
            <w:tcW w:w="1876" w:type="dxa"/>
            <w:tcBorders/>
            <w:vAlign w:val="center"/>
          </w:tcPr>
          <w:p>
            <w:pPr>
              <w:pStyle w:val="TableContents"/>
              <w:bidi w:val="0"/>
              <w:spacing w:before="0" w:after="200"/>
              <w:ind w:left="0" w:right="0" w:hanging="0"/>
              <w:jc w:val="center"/>
              <w:rPr/>
            </w:pPr>
            <w:r>
              <w:rPr/>
              <w:t>​</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200"/>
              <w:ind w:left="0" w:right="0" w:hanging="0"/>
              <w:jc w:val="center"/>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 xml:space="preserve">☐ </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_L3t0aTxpEK1-5Ts3E5hdQ_1_4"/>
      <w:bookmarkStart w:id="14" w:name="Tc_HfhiHGiKz0K0FDX5tGkA-w_1_2"/>
      <w:bookmarkStart w:id="15" w:name="Tc_I4-klnVe2kOpZzz8rN5cVw_1_0"/>
      <w:bookmarkStart w:id="16" w:name="_aaf4b83e_9dc9_4c74_9c83_000c221d0fa6"/>
      <w:bookmarkStart w:id="17" w:name="Tc__L3t0aTxpEK1-5Ts3E5hdQ_1_4"/>
      <w:bookmarkStart w:id="18" w:name="Tc_HfhiHGiKz0K0FDX5tGkA-w_1_2"/>
      <w:bookmarkStart w:id="19" w:name="Tc_I4-klnVe2kOpZzz8rN5cVw_1_0"/>
      <w:bookmarkStart w:id="20" w:name="_aaf4b83e_9dc9_4c74_9c83_000c221d0fa6"/>
      <w:bookmarkEnd w:id="17"/>
      <w:bookmarkEnd w:id="18"/>
      <w:bookmarkEnd w:id="19"/>
      <w:bookmarkEnd w:id="20"/>
    </w:p>
    <w:tbl>
      <w:tblPr>
        <w:tblW w:w="7855" w:type="dxa"/>
        <w:jc w:val="left"/>
        <w:tblInd w:w="0" w:type="dxa"/>
        <w:tblLayout w:type="fixed"/>
        <w:tblCellMar>
          <w:top w:w="0" w:type="dxa"/>
          <w:left w:w="0" w:type="dxa"/>
          <w:bottom w:w="0" w:type="dxa"/>
          <w:right w:w="0" w:type="dxa"/>
        </w:tblCellMar>
      </w:tblPr>
      <w:tblGrid>
        <w:gridCol w:w="2551"/>
        <w:gridCol w:w="326"/>
        <w:gridCol w:w="1276"/>
        <w:gridCol w:w="32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2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2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There were 24,316,488 shares of Common Stock ($0.001 par value) outstanding as of August 6, 2024.</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ccf9402a_188e_48aa_92e4_0e11a5b744c8"/>
      <w:bookmarkEnd w:id="21"/>
      <w:r>
        <w:rPr>
          <w:rFonts w:ascii="Times New Roman;Times;serif" w:hAnsi="Times New Roman;Times;serif"/>
          <w:b/>
          <w:sz w:val="20"/>
        </w:rPr>
        <w:t>LEGACY HOUSING CORPORATION</w:t>
      </w:r>
    </w:p>
    <w:p>
      <w:pPr>
        <w:pStyle w:val="TextBody"/>
        <w:bidi w:val="0"/>
        <w:spacing w:before="0" w:after="20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0" w:after="200"/>
        <w:ind w:left="0" w:right="0" w:hanging="0"/>
        <w:jc w:val="left"/>
        <w:rPr/>
      </w:pPr>
      <w:r>
        <w:rPr/>
        <w:t>​</w:t>
      </w:r>
    </w:p>
    <w:tbl>
      <w:tblPr>
        <w:tblW w:w="8722" w:type="dxa"/>
        <w:jc w:val="left"/>
        <w:tblInd w:w="0" w:type="dxa"/>
        <w:tblLayout w:type="fixed"/>
        <w:tblCellMar>
          <w:top w:w="0" w:type="dxa"/>
          <w:left w:w="0" w:type="dxa"/>
          <w:bottom w:w="0" w:type="dxa"/>
          <w:right w:w="0" w:type="dxa"/>
        </w:tblCellMar>
      </w:tblPr>
      <w:tblGrid>
        <w:gridCol w:w="124"/>
        <w:gridCol w:w="661"/>
        <w:gridCol w:w="7366"/>
        <w:gridCol w:w="5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9735" cy="175260"/>
                      <wp:effectExtent l="0" t="0" r="0" b="0"/>
                      <wp:wrapNone/>
                      <wp:docPr id="2" name="Frame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3"/>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2585" cy="29210"/>
                      <wp:effectExtent l="0" t="0" r="0" b="0"/>
                      <wp:wrapNone/>
                      <wp:docPr id="4" name="Frame4"/>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51" w:type="dxa"/>
            <w:gridSpan w:val="3"/>
            <w:tcBorders/>
            <w:vAlign w:val="center"/>
          </w:tcPr>
          <w:p>
            <w:pPr>
              <w:pStyle w:val="TableContents"/>
              <w:bidi w:val="0"/>
              <w:spacing w:before="0" w:after="0"/>
              <w:ind w:left="0" w:right="0" w:hanging="0"/>
              <w:jc w:val="left"/>
              <w:rPr/>
            </w:pPr>
            <w:hyperlink w:anchor="PARTIFINANCIALINFORMATION_124370">
              <w:r>
                <w:rPr>
                  <w:rStyle w:val="InternetLink"/>
                  <w:rFonts w:ascii="Times New Roman;Times;serif" w:hAnsi="Times New Roman;Times;serif"/>
                  <w:b w:val="false"/>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PARTIIOTHERINFORMATION_170690">
              <w:r>
                <w:rPr>
                  <w:rStyle w:val="InternetLink"/>
                  <w:rFonts w:ascii="Times New Roman;Times;serif" w:hAnsi="Times New Roman;Times;serif"/>
                  <w:b w:val="false"/>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SIGNATURES_65971">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3" w:name="PARTIFINANCIALINFORMATION_124370"/>
      <w:bookmarkStart w:id="24" w:name="_0ecbe342_79a1_4046_878f_8a98b8f67eb2"/>
      <w:bookmarkEnd w:id="23"/>
      <w:bookmarkEnd w:id="24"/>
      <w:r>
        <w:rPr>
          <w:rFonts w:ascii="Times New Roman;Times;serif" w:hAnsi="Times New Roman;Times;serif"/>
          <w:b/>
          <w:sz w:val="20"/>
        </w:rPr>
        <w:t>PART I – FINANCIAL INFORMATION</w:t>
      </w:r>
    </w:p>
    <w:p>
      <w:pPr>
        <w:pStyle w:val="TextBody"/>
        <w:bidi w:val="0"/>
        <w:spacing w:before="0" w:after="120"/>
        <w:ind w:left="0" w:right="0" w:hanging="0"/>
        <w:jc w:val="left"/>
        <w:rPr>
          <w:rFonts w:ascii="Times New Roman;Times;serif" w:hAnsi="Times New Roman;Times;serif"/>
          <w:b/>
          <w:sz w:val="20"/>
        </w:rPr>
      </w:pPr>
      <w:bookmarkStart w:id="25" w:name="Item1FinancialStatements_613532"/>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6" w:name="Tc_DTAoMMzDGE6NM62HVd-rBQ_45_5"/>
      <w:bookmarkStart w:id="27" w:name="Tc_ogqG3FfZ9UmjYuAr1U4XKw_45_2"/>
      <w:bookmarkStart w:id="28" w:name="Tc_T8kXAigGYkaO9G9c_g6-vQ_45_0"/>
      <w:bookmarkStart w:id="29" w:name="Tc_ls6LrEoyIUWOMJB-rODq_w_44_0"/>
      <w:bookmarkStart w:id="30" w:name="Tc_icyKEEa440O8O63S9bng1g_43_0"/>
      <w:bookmarkStart w:id="31" w:name="Tc_xgUvajl-T0WtymkkpIIsHA_42_0"/>
      <w:bookmarkStart w:id="32" w:name="Tc_4UQO5ecRYUKoCUUoPD1AUw_41_0"/>
      <w:bookmarkStart w:id="33" w:name="Tc_8K3N6pDpy0qSeCNy_0SY3A_40_0"/>
      <w:bookmarkStart w:id="34" w:name="_191f470e_7dca_4553_a380_fa192ed1e35c_3"/>
      <w:bookmarkStart w:id="35" w:name="_191f470e_7dca_4553_a380_fa192ed1e35c_2"/>
      <w:bookmarkStart w:id="36" w:name="_191f470e_7dca_4553_a380_fa192ed1e35c"/>
      <w:bookmarkStart w:id="37" w:name="Tc_ThxWbR9XR0C2Mxj_SVQO9g_39_0"/>
      <w:bookmarkStart w:id="38" w:name="Tc_rE1kn6CF_06TaO8uwUR5kA_38_0"/>
      <w:bookmarkStart w:id="39" w:name="Tc_Q3y_qpG16kOe-h5jw4CbXw_37_0"/>
      <w:bookmarkStart w:id="40" w:name="Tc_lJuPEbkM3kCYMJUod9REGg_36_0"/>
      <w:bookmarkStart w:id="41" w:name="Tc_aO8qzGnDSUCjZonxpuqboA_35_0"/>
      <w:bookmarkStart w:id="42" w:name="Tc_OQZ0ecihNEWJ-r9D5xhxsQ_34_0"/>
      <w:bookmarkStart w:id="43" w:name="Tc_wczQegB5h0qBrW_OLiuBqA_33_0"/>
      <w:bookmarkStart w:id="44" w:name="Tc_rmI-gW51e0GBJuOnO7uJ7g_32_0"/>
      <w:bookmarkStart w:id="45" w:name="Tc_lTcyDtGeK0mDXf9Bu-I7fw_31_0"/>
      <w:bookmarkStart w:id="46" w:name="Tc_hqDVwW-UxUyh5gF862JE9Q_30_0"/>
      <w:bookmarkStart w:id="47" w:name="Tc_gkMu1d-Rik-2OjMu7Sxf2g_29_0"/>
      <w:bookmarkStart w:id="48" w:name="Tc_q3VCnvL6UU6fHXd806H3Iw_28_0"/>
      <w:bookmarkStart w:id="49" w:name="Tc_XYWaUiR9D025ySkiGA1qOA_27_0"/>
      <w:bookmarkStart w:id="50" w:name="Tc_8UL4ZrSSWUySdOERL5604A_26_0"/>
      <w:bookmarkStart w:id="51" w:name="Tc_X-IKPYGsnUu1aatu6E6SrA_25_5"/>
      <w:bookmarkStart w:id="52" w:name="Tc_02iw2a03AEWjvwpSyX1X6A_25_2"/>
      <w:bookmarkStart w:id="53" w:name="Tc_qs0qp9GsTEW8_9rUK6RGog_25_0"/>
      <w:bookmarkStart w:id="54" w:name="Tc_M7EexwYSoEm0E2yyuFOTYA_24_0"/>
      <w:bookmarkStart w:id="55" w:name="Tc_kv2unZdP4UKL_l2x59fQCA_23_0"/>
      <w:bookmarkStart w:id="56" w:name="Tc_fly8zR4lzUWFiC_RbZpWGQ_22_5"/>
      <w:bookmarkStart w:id="57" w:name="Tc_puvB-EXee0y9RIZjU1YX3w_22_2"/>
      <w:bookmarkStart w:id="58" w:name="Tc_jgJ8W7CTc0K1cy9U86W8bw_22_0"/>
      <w:bookmarkStart w:id="59" w:name="Tc_siBUvxsPJ0m9m0x1pxXfwQ_21_0"/>
      <w:bookmarkStart w:id="60" w:name="Tc_K-O20ZrGS0eN3SPSSh6OJA_20_0"/>
      <w:bookmarkStart w:id="61" w:name="Tc_Hh6kY94VtkWtDyGDakoF6Q_19_0"/>
      <w:bookmarkStart w:id="62" w:name="Tc_46x4UwZXrUSO4pHr9fPwwA_18_0"/>
      <w:bookmarkStart w:id="63" w:name="Tc_lBNRp8I2EkyiEfg35YR6dg_17_0"/>
      <w:bookmarkStart w:id="64" w:name="Tc_zhh13uGZqkubsgKHhcdiMg_16_0"/>
      <w:bookmarkStart w:id="65" w:name="Tc_IsEFRMLjO0mQdrDupisY_g_15_0"/>
      <w:bookmarkStart w:id="66" w:name="Tc_5kGda2fm2kmbYSwFPyQhhA_14_0"/>
      <w:bookmarkStart w:id="67" w:name="Tc_7UT70ZDkNEKh5kB-wbEWZg_13_0"/>
      <w:bookmarkStart w:id="68" w:name="Tc_3RdHQS3ceUS7BOu3WAHzhg_12_0"/>
      <w:bookmarkStart w:id="69" w:name="Tc_DQH_D-YU3UC29xjtWIqgpA_11_0"/>
      <w:bookmarkStart w:id="70" w:name="Tc_rAbXIBT9HkmhZHJOvAOnNA_10_0"/>
      <w:bookmarkStart w:id="71" w:name="Tc_JL3TxW20-EiJrNJ6Cv53Vg_9_0"/>
      <w:bookmarkStart w:id="72" w:name="Tc_GZkUuGglPUmKx4CZva4aGg_8_0"/>
      <w:bookmarkStart w:id="73" w:name="Tc_ZmYl-heVtESrVYdW0-dk2w_7_0"/>
      <w:bookmarkStart w:id="74" w:name="Tc_lTlv6my3_EKh5bJrPC_IjA_6_0"/>
      <w:bookmarkStart w:id="75" w:name="Tc_NydeFfA_NkGTt1Ec9eIJLA_5_5"/>
      <w:bookmarkStart w:id="76" w:name="Tc_qbh7Vr7IKUWOsbixLH_V3g_5_2"/>
      <w:bookmarkStart w:id="77" w:name="Tc_MrgwwE2mI0eMfd0xKRneiw_5_0"/>
      <w:bookmarkStart w:id="78" w:name="Tc_aZw09OoyekGhS4onfYHH2w_4_0"/>
      <w:bookmarkStart w:id="79" w:name="Tc_5VqMBj4--k2JjDG7vKvgAg_3_0"/>
      <w:bookmarkStart w:id="80" w:name="Tc_QFWZcSxLVkibuG_yr7apPg_2_5"/>
      <w:bookmarkStart w:id="81" w:name="Tc_d4UHd6x8eU-Plq0E5pyjVA_2_2"/>
      <w:bookmarkStart w:id="82" w:name="Tc_KZ_WrRUlrUuJ0L9IAs9s8Q_1_5"/>
      <w:bookmarkStart w:id="83" w:name="Tc_95Eo1e9SU0ijm14Jbh3Dfw_1_2"/>
      <w:bookmarkStart w:id="84" w:name="_b40e166b_744b_4d24_82ee_483a34b92615"/>
      <w:bookmarkStart w:id="85" w:name="Tc_DTAoMMzDGE6NM62HVd-rBQ_45_5"/>
      <w:bookmarkStart w:id="86" w:name="Tc_ogqG3FfZ9UmjYuAr1U4XKw_45_2"/>
      <w:bookmarkStart w:id="87" w:name="Tc_T8kXAigGYkaO9G9c_g6-vQ_45_0"/>
      <w:bookmarkStart w:id="88" w:name="Tc_ls6LrEoyIUWOMJB-rODq_w_44_0"/>
      <w:bookmarkStart w:id="89" w:name="Tc_icyKEEa440O8O63S9bng1g_43_0"/>
      <w:bookmarkStart w:id="90" w:name="Tc_xgUvajl-T0WtymkkpIIsHA_42_0"/>
      <w:bookmarkStart w:id="91" w:name="Tc_4UQO5ecRYUKoCUUoPD1AUw_41_0"/>
      <w:bookmarkStart w:id="92" w:name="Tc_8K3N6pDpy0qSeCNy_0SY3A_40_0"/>
      <w:bookmarkStart w:id="93" w:name="_191f470e_7dca_4553_a380_fa192ed1e35c_3"/>
      <w:bookmarkStart w:id="94" w:name="_191f470e_7dca_4553_a380_fa192ed1e35c_2"/>
      <w:bookmarkStart w:id="95" w:name="_191f470e_7dca_4553_a380_fa192ed1e35c"/>
      <w:bookmarkStart w:id="96" w:name="Tc_ThxWbR9XR0C2Mxj_SVQO9g_39_0"/>
      <w:bookmarkStart w:id="97" w:name="Tc_rE1kn6CF_06TaO8uwUR5kA_38_0"/>
      <w:bookmarkStart w:id="98" w:name="Tc_Q3y_qpG16kOe-h5jw4CbXw_37_0"/>
      <w:bookmarkStart w:id="99" w:name="Tc_lJuPEbkM3kCYMJUod9REGg_36_0"/>
      <w:bookmarkStart w:id="100" w:name="Tc_aO8qzGnDSUCjZonxpuqboA_35_0"/>
      <w:bookmarkStart w:id="101" w:name="Tc_OQZ0ecihNEWJ-r9D5xhxsQ_34_0"/>
      <w:bookmarkStart w:id="102" w:name="Tc_wczQegB5h0qBrW_OLiuBqA_33_0"/>
      <w:bookmarkStart w:id="103" w:name="Tc_rmI-gW51e0GBJuOnO7uJ7g_32_0"/>
      <w:bookmarkStart w:id="104" w:name="Tc_lTcyDtGeK0mDXf9Bu-I7fw_31_0"/>
      <w:bookmarkStart w:id="105" w:name="Tc_hqDVwW-UxUyh5gF862JE9Q_30_0"/>
      <w:bookmarkStart w:id="106" w:name="Tc_gkMu1d-Rik-2OjMu7Sxf2g_29_0"/>
      <w:bookmarkStart w:id="107" w:name="Tc_q3VCnvL6UU6fHXd806H3Iw_28_0"/>
      <w:bookmarkStart w:id="108" w:name="Tc_XYWaUiR9D025ySkiGA1qOA_27_0"/>
      <w:bookmarkStart w:id="109" w:name="Tc_8UL4ZrSSWUySdOERL5604A_26_0"/>
      <w:bookmarkStart w:id="110" w:name="Tc_X-IKPYGsnUu1aatu6E6SrA_25_5"/>
      <w:bookmarkStart w:id="111" w:name="Tc_02iw2a03AEWjvwpSyX1X6A_25_2"/>
      <w:bookmarkStart w:id="112" w:name="Tc_qs0qp9GsTEW8_9rUK6RGog_25_0"/>
      <w:bookmarkStart w:id="113" w:name="Tc_M7EexwYSoEm0E2yyuFOTYA_24_0"/>
      <w:bookmarkStart w:id="114" w:name="Tc_kv2unZdP4UKL_l2x59fQCA_23_0"/>
      <w:bookmarkStart w:id="115" w:name="Tc_fly8zR4lzUWFiC_RbZpWGQ_22_5"/>
      <w:bookmarkStart w:id="116" w:name="Tc_puvB-EXee0y9RIZjU1YX3w_22_2"/>
      <w:bookmarkStart w:id="117" w:name="Tc_jgJ8W7CTc0K1cy9U86W8bw_22_0"/>
      <w:bookmarkStart w:id="118" w:name="Tc_siBUvxsPJ0m9m0x1pxXfwQ_21_0"/>
      <w:bookmarkStart w:id="119" w:name="Tc_K-O20ZrGS0eN3SPSSh6OJA_20_0"/>
      <w:bookmarkStart w:id="120" w:name="Tc_Hh6kY94VtkWtDyGDakoF6Q_19_0"/>
      <w:bookmarkStart w:id="121" w:name="Tc_46x4UwZXrUSO4pHr9fPwwA_18_0"/>
      <w:bookmarkStart w:id="122" w:name="Tc_lBNRp8I2EkyiEfg35YR6dg_17_0"/>
      <w:bookmarkStart w:id="123" w:name="Tc_zhh13uGZqkubsgKHhcdiMg_16_0"/>
      <w:bookmarkStart w:id="124" w:name="Tc_IsEFRMLjO0mQdrDupisY_g_15_0"/>
      <w:bookmarkStart w:id="125" w:name="Tc_5kGda2fm2kmbYSwFPyQhhA_14_0"/>
      <w:bookmarkStart w:id="126" w:name="Tc_7UT70ZDkNEKh5kB-wbEWZg_13_0"/>
      <w:bookmarkStart w:id="127" w:name="Tc_3RdHQS3ceUS7BOu3WAHzhg_12_0"/>
      <w:bookmarkStart w:id="128" w:name="Tc_DQH_D-YU3UC29xjtWIqgpA_11_0"/>
      <w:bookmarkStart w:id="129" w:name="Tc_rAbXIBT9HkmhZHJOvAOnNA_10_0"/>
      <w:bookmarkStart w:id="130" w:name="Tc_JL3TxW20-EiJrNJ6Cv53Vg_9_0"/>
      <w:bookmarkStart w:id="131" w:name="Tc_GZkUuGglPUmKx4CZva4aGg_8_0"/>
      <w:bookmarkStart w:id="132" w:name="Tc_ZmYl-heVtESrVYdW0-dk2w_7_0"/>
      <w:bookmarkStart w:id="133" w:name="Tc_lTlv6my3_EKh5bJrPC_IjA_6_0"/>
      <w:bookmarkStart w:id="134" w:name="Tc_NydeFfA_NkGTt1Ec9eIJLA_5_5"/>
      <w:bookmarkStart w:id="135" w:name="Tc_qbh7Vr7IKUWOsbixLH_V3g_5_2"/>
      <w:bookmarkStart w:id="136" w:name="Tc_MrgwwE2mI0eMfd0xKRneiw_5_0"/>
      <w:bookmarkStart w:id="137" w:name="Tc_aZw09OoyekGhS4onfYHH2w_4_0"/>
      <w:bookmarkStart w:id="138" w:name="Tc_5VqMBj4--k2JjDG7vKvgAg_3_0"/>
      <w:bookmarkStart w:id="139" w:name="Tc_QFWZcSxLVkibuG_yr7apPg_2_5"/>
      <w:bookmarkStart w:id="140" w:name="Tc_d4UHd6x8eU-Plq0E5pyjVA_2_2"/>
      <w:bookmarkStart w:id="141" w:name="Tc_KZ_WrRUlrUuJ0L9IAs9s8Q_1_5"/>
      <w:bookmarkStart w:id="142" w:name="Tc_95Eo1e9SU0ijm14Jbh3Dfw_1_2"/>
      <w:bookmarkStart w:id="143" w:name="_b40e166b_744b_4d24_82ee_483a34b92615"/>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7526"/>
        <w:gridCol w:w="326"/>
        <w:gridCol w:w="196"/>
        <w:gridCol w:w="691"/>
        <w:gridCol w:w="326"/>
        <w:gridCol w:w="224"/>
        <w:gridCol w:w="916"/>
      </w:tblGrid>
      <w:tr>
        <w:trPr/>
        <w:tc>
          <w:tcPr>
            <w:tcW w:w="7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79010" cy="175260"/>
                      <wp:effectExtent l="0" t="0" r="0" b="0"/>
                      <wp:wrapNone/>
                      <wp:docPr id="5" name="Frame5"/>
                      <a:graphic xmlns:a="http://schemas.openxmlformats.org/drawingml/2006/main">
                        <a:graphicData uri="http://schemas.microsoft.com/office/word/2010/wordprocessingShape">
                          <wps:wsp>
                            <wps:cNvSpPr txBox="1"/>
                            <wps:spPr>
                              <a:xfrm>
                                <a:off x="0" y="0"/>
                                <a:ext cx="477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38785" cy="175260"/>
                      <wp:effectExtent l="0" t="0" r="0" b="0"/>
                      <wp:wrapNone/>
                      <wp:docPr id="8" name="Frame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2240" cy="175260"/>
                      <wp:effectExtent l="0" t="0" r="0" b="0"/>
                      <wp:wrapNone/>
                      <wp:docPr id="10" name="Frame1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1660" cy="175260"/>
                      <wp:effectExtent l="0" t="0" r="0" b="0"/>
                      <wp:wrapNone/>
                      <wp:docPr id="11" name="Frame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4,656</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contracts - dealer financed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32,987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32,538</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consumer loans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7,682</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notes receivable from mobile home parks (“MHP”)</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42,459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18,156</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other notes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6,013</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33,176</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5,430</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4,915</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139,376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107,884</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loans receivable,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153,703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148,818</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mobile home parks (“MHP”),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140,328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163,824</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notes receivable,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15,784</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28,577</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7,793</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4,880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7,601</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 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1,794</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2,571</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40,460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37,880</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514,927</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506,742</w:t>
            </w:r>
          </w:p>
        </w:tc>
      </w:tr>
      <w:tr>
        <w:trPr/>
        <w:tc>
          <w:tcPr>
            <w:tcW w:w="75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4,090</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13,066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18,504</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11,785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10,104</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31,738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37,333</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w:t>
              <w:noBreakHyphen/>
              <w:t>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 less current portion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Lines of credit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11,861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23,680</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5,260</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51,708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70,007</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10,000,000 shares authorized: no shares issued or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90,000,000 shares authorized; 24,860,090 and 24,843,494 issued and 24,153,496 and 24,398,429 outstanding at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706,594 and 445,065 shares at June 30,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(4,477)</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181,954</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181,424</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291,087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259,758</w:t>
            </w:r>
          </w:p>
        </w:tc>
      </w:tr>
      <w:tr>
        <w:trPr/>
        <w:tc>
          <w:tcPr>
            <w:tcW w:w="75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463,219</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436,735</w:t>
            </w:r>
          </w:p>
        </w:tc>
      </w:tr>
      <w:tr>
        <w:trPr/>
        <w:tc>
          <w:tcPr>
            <w:tcW w:w="75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514,927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506,742</w:t>
            </w:r>
          </w:p>
        </w:tc>
      </w:tr>
    </w:tbl>
    <w:p>
      <w:pPr>
        <w:pStyle w:val="TextBody"/>
        <w:bidi w:val="0"/>
        <w:spacing w:lineRule="atLeast" w:line="24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44" w:name="_8cb1e284_75d4_42ad_bd4d_2681b2f2490b"/>
      <w:bookmarkEnd w:id="144"/>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5" w:name="Tc_l7sFq5O7gkaac7X23eohzg_27_11"/>
      <w:bookmarkStart w:id="146" w:name="Tc_smyML9jBvUu8SFYaBGCHIw_27_8"/>
      <w:bookmarkStart w:id="147" w:name="Tc_gi-BfFzrZka_ZMIZTYNZ7A_27_5"/>
      <w:bookmarkStart w:id="148" w:name="Tc_JhMicxVvQEO-SkTfZCKI4g_27_2"/>
      <w:bookmarkStart w:id="149" w:name="Tc_ePooTz83akyOQPGU0wsE3g_27_0"/>
      <w:bookmarkStart w:id="150" w:name="Tc_lydOJkBm90KchqIeyZA2ug_26_11"/>
      <w:bookmarkStart w:id="151" w:name="Tc_z-V5GvoyOE-5PwyV6WKg3g_26_8"/>
      <w:bookmarkStart w:id="152" w:name="Tc_SVT1YSV1-0S3eoSo5puBEQ_26_5"/>
      <w:bookmarkStart w:id="153" w:name="Tc_Ig676hnbIU27Q0cDjFpMtQ_26_2"/>
      <w:bookmarkStart w:id="154" w:name="Tc_igSpkswcqES7gpQrx4IxZQ_26_0"/>
      <w:bookmarkStart w:id="155" w:name="Tc_59pBUSDoUEaj6Zgw7-Bvrw_25_0"/>
      <w:bookmarkStart w:id="156" w:name="Tc_iJr-8tZR1E6n0dN9ok1t6A_24_0"/>
      <w:bookmarkStart w:id="157" w:name="Tc_QBtF7zGN_UaXaH4Asu2a3Q_23_0"/>
      <w:bookmarkStart w:id="158" w:name="Tc_eXkvSNiIdkWDVhSpwbFeuA_22_0"/>
      <w:bookmarkStart w:id="159" w:name="Tc_pVK5odjjzkmLW6HFfIbO6A_21_11"/>
      <w:bookmarkStart w:id="160" w:name="Tc_yyXnyFFvmE6asoJcHYzSqg_21_8"/>
      <w:bookmarkStart w:id="161" w:name="Tc_ef03w1U50Uai8agkxDe4DA_21_5"/>
      <w:bookmarkStart w:id="162" w:name="Tc_ZxwQI2Z3WEuCK7oDxChtUw_21_2"/>
      <w:bookmarkStart w:id="163" w:name="Tc_AV7pD8lDP0OJtpiCodktNA_21_0"/>
      <w:bookmarkStart w:id="164" w:name="Tc_ou62piiAi0qogX08LJctIg_20_0"/>
      <w:bookmarkStart w:id="165" w:name="Tc_oRdaZv1B5UCgHW9O-QeuLA_19_0"/>
      <w:bookmarkStart w:id="166" w:name="Tc_Csh47CDpo0-CpAqU9wvFkg_18_0"/>
      <w:bookmarkStart w:id="167" w:name="Tc_6_gsEu5VYE6_nwfIAjJHdQ_17_0"/>
      <w:bookmarkStart w:id="168" w:name="Tc_iAp99AiTZ0u13W-aDvJP-A_16_0"/>
      <w:bookmarkStart w:id="169" w:name="Tc_BzC_Ou6pdU2yabK4E1QEng_15_0"/>
      <w:bookmarkStart w:id="170" w:name="Tc_FWwEN635NUit5Ua4tCiM7g_14_0"/>
      <w:bookmarkStart w:id="171" w:name="Tc_nJbn8HPlA0i2ghwiSu1pJg_13_0"/>
      <w:bookmarkStart w:id="172" w:name="Tc_HH07Ee4ikkC3NqRCQP_dDg_12_0"/>
      <w:bookmarkStart w:id="173" w:name="Tc_7DlJ09Esq0iTrLpxrWgKpw_11_0"/>
      <w:bookmarkStart w:id="174" w:name="Tc_nY4TzyP1dEeNlIul4UhEjA_10_0"/>
      <w:bookmarkStart w:id="175" w:name="Tc_gZ4uhuXq8Ei5GBjzEmROdQ_9_0"/>
      <w:bookmarkStart w:id="176" w:name="Tc_GIw1oeYMyEqE_KLywdAv_Q_8_0"/>
      <w:bookmarkStart w:id="177" w:name="Tc_8fOXIZxgY0W89ymdQ_K0bA_7_0"/>
      <w:bookmarkStart w:id="178" w:name="Tc_WVVJDzPeEkOShWe0R4jfWg_6_0"/>
      <w:bookmarkStart w:id="179" w:name="Tc_1pNDX80y-UuP1_2spOEv2A_5_0"/>
      <w:bookmarkStart w:id="180" w:name="Tc_JK-moBDFokWLnG7_uexJiA_4_11"/>
      <w:bookmarkStart w:id="181" w:name="Tc_qfSreI6rYkOqCPKxbFuKLA_4_8"/>
      <w:bookmarkStart w:id="182" w:name="Tc_xrbyOj8JvkWfCmycjeg-eQ_4_5"/>
      <w:bookmarkStart w:id="183" w:name="Tc_Ije-drsBL06Eu0VsJwMWIw_4_2"/>
      <w:bookmarkStart w:id="184" w:name="Tc_1_igMX8qZkifNGo3vXDmwA_4_0"/>
      <w:bookmarkStart w:id="185" w:name="Tc_v0fvKJ-aDEqjdfVD8RkXjQ_3_0"/>
      <w:bookmarkStart w:id="186" w:name="Tc_Gvvz7ngOWkKStfSWOm-Mrw_2_11"/>
      <w:bookmarkStart w:id="187" w:name="Tc_9AXpyYtNSU-WtTbe9Nt8TA_2_8"/>
      <w:bookmarkStart w:id="188" w:name="Tc_L_Q64zTjvU68py7oD8CcIQ_2_5"/>
      <w:bookmarkStart w:id="189" w:name="Tc_NOP7RUR69keRePIXEJ_91Q_2_2"/>
      <w:bookmarkStart w:id="190" w:name="Tc_qPdXqtF72ECz5hF0fVznow_1_8"/>
      <w:bookmarkStart w:id="191" w:name="Tc_KrYteY-Y9kCVObGNscsTxw_1_2"/>
      <w:bookmarkStart w:id="192" w:name="_7a29ed4b_e30f_4141_83ab_845cd2833d92"/>
      <w:bookmarkStart w:id="193" w:name="Tc_l7sFq5O7gkaac7X23eohzg_27_11"/>
      <w:bookmarkStart w:id="194" w:name="Tc_smyML9jBvUu8SFYaBGCHIw_27_8"/>
      <w:bookmarkStart w:id="195" w:name="Tc_gi-BfFzrZka_ZMIZTYNZ7A_27_5"/>
      <w:bookmarkStart w:id="196" w:name="Tc_JhMicxVvQEO-SkTfZCKI4g_27_2"/>
      <w:bookmarkStart w:id="197" w:name="Tc_ePooTz83akyOQPGU0wsE3g_27_0"/>
      <w:bookmarkStart w:id="198" w:name="Tc_lydOJkBm90KchqIeyZA2ug_26_11"/>
      <w:bookmarkStart w:id="199" w:name="Tc_z-V5GvoyOE-5PwyV6WKg3g_26_8"/>
      <w:bookmarkStart w:id="200" w:name="Tc_SVT1YSV1-0S3eoSo5puBEQ_26_5"/>
      <w:bookmarkStart w:id="201" w:name="Tc_Ig676hnbIU27Q0cDjFpMtQ_26_2"/>
      <w:bookmarkStart w:id="202" w:name="Tc_igSpkswcqES7gpQrx4IxZQ_26_0"/>
      <w:bookmarkStart w:id="203" w:name="Tc_59pBUSDoUEaj6Zgw7-Bvrw_25_0"/>
      <w:bookmarkStart w:id="204" w:name="Tc_iJr-8tZR1E6n0dN9ok1t6A_24_0"/>
      <w:bookmarkStart w:id="205" w:name="Tc_QBtF7zGN_UaXaH4Asu2a3Q_23_0"/>
      <w:bookmarkStart w:id="206" w:name="Tc_eXkvSNiIdkWDVhSpwbFeuA_22_0"/>
      <w:bookmarkStart w:id="207" w:name="Tc_pVK5odjjzkmLW6HFfIbO6A_21_11"/>
      <w:bookmarkStart w:id="208" w:name="Tc_yyXnyFFvmE6asoJcHYzSqg_21_8"/>
      <w:bookmarkStart w:id="209" w:name="Tc_ef03w1U50Uai8agkxDe4DA_21_5"/>
      <w:bookmarkStart w:id="210" w:name="Tc_ZxwQI2Z3WEuCK7oDxChtUw_21_2"/>
      <w:bookmarkStart w:id="211" w:name="Tc_AV7pD8lDP0OJtpiCodktNA_21_0"/>
      <w:bookmarkStart w:id="212" w:name="Tc_ou62piiAi0qogX08LJctIg_20_0"/>
      <w:bookmarkStart w:id="213" w:name="Tc_oRdaZv1B5UCgHW9O-QeuLA_19_0"/>
      <w:bookmarkStart w:id="214" w:name="Tc_Csh47CDpo0-CpAqU9wvFkg_18_0"/>
      <w:bookmarkStart w:id="215" w:name="Tc_6_gsEu5VYE6_nwfIAjJHdQ_17_0"/>
      <w:bookmarkStart w:id="216" w:name="Tc_iAp99AiTZ0u13W-aDvJP-A_16_0"/>
      <w:bookmarkStart w:id="217" w:name="Tc_BzC_Ou6pdU2yabK4E1QEng_15_0"/>
      <w:bookmarkStart w:id="218" w:name="Tc_FWwEN635NUit5Ua4tCiM7g_14_0"/>
      <w:bookmarkStart w:id="219" w:name="Tc_nJbn8HPlA0i2ghwiSu1pJg_13_0"/>
      <w:bookmarkStart w:id="220" w:name="Tc_HH07Ee4ikkC3NqRCQP_dDg_12_0"/>
      <w:bookmarkStart w:id="221" w:name="Tc_7DlJ09Esq0iTrLpxrWgKpw_11_0"/>
      <w:bookmarkStart w:id="222" w:name="Tc_nY4TzyP1dEeNlIul4UhEjA_10_0"/>
      <w:bookmarkStart w:id="223" w:name="Tc_gZ4uhuXq8Ei5GBjzEmROdQ_9_0"/>
      <w:bookmarkStart w:id="224" w:name="Tc_GIw1oeYMyEqE_KLywdAv_Q_8_0"/>
      <w:bookmarkStart w:id="225" w:name="Tc_8fOXIZxgY0W89ymdQ_K0bA_7_0"/>
      <w:bookmarkStart w:id="226" w:name="Tc_WVVJDzPeEkOShWe0R4jfWg_6_0"/>
      <w:bookmarkStart w:id="227" w:name="Tc_1pNDX80y-UuP1_2spOEv2A_5_0"/>
      <w:bookmarkStart w:id="228" w:name="Tc_JK-moBDFokWLnG7_uexJiA_4_11"/>
      <w:bookmarkStart w:id="229" w:name="Tc_qfSreI6rYkOqCPKxbFuKLA_4_8"/>
      <w:bookmarkStart w:id="230" w:name="Tc_xrbyOj8JvkWfCmycjeg-eQ_4_5"/>
      <w:bookmarkStart w:id="231" w:name="Tc_Ije-drsBL06Eu0VsJwMWIw_4_2"/>
      <w:bookmarkStart w:id="232" w:name="Tc_1_igMX8qZkifNGo3vXDmwA_4_0"/>
      <w:bookmarkStart w:id="233" w:name="Tc_v0fvKJ-aDEqjdfVD8RkXjQ_3_0"/>
      <w:bookmarkStart w:id="234" w:name="Tc_Gvvz7ngOWkKStfSWOm-Mrw_2_11"/>
      <w:bookmarkStart w:id="235" w:name="Tc_9AXpyYtNSU-WtTbe9Nt8TA_2_8"/>
      <w:bookmarkStart w:id="236" w:name="Tc_L_Q64zTjvU68py7oD8CcIQ_2_5"/>
      <w:bookmarkStart w:id="237" w:name="Tc_NOP7RUR69keRePIXEJ_91Q_2_2"/>
      <w:bookmarkStart w:id="238" w:name="Tc_qPdXqtF72ECz5hF0fVznow_1_8"/>
      <w:bookmarkStart w:id="239" w:name="Tc_KrYteY-Y9kCVObGNscsTxw_1_2"/>
      <w:bookmarkStart w:id="240" w:name="_7a29ed4b_e30f_4141_83ab_845cd2833d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859" w:type="dxa"/>
        <w:jc w:val="left"/>
        <w:tblInd w:w="0" w:type="dxa"/>
        <w:tblLayout w:type="fixed"/>
        <w:tblCellMar>
          <w:top w:w="0" w:type="dxa"/>
          <w:left w:w="0" w:type="dxa"/>
          <w:bottom w:w="0" w:type="dxa"/>
          <w:right w:w="0" w:type="dxa"/>
        </w:tblCellMar>
      </w:tblPr>
      <w:tblGrid>
        <w:gridCol w:w="3736"/>
        <w:gridCol w:w="146"/>
        <w:gridCol w:w="211"/>
        <w:gridCol w:w="1036"/>
        <w:gridCol w:w="146"/>
        <w:gridCol w:w="211"/>
        <w:gridCol w:w="1036"/>
        <w:gridCol w:w="326"/>
        <w:gridCol w:w="211"/>
        <w:gridCol w:w="1036"/>
        <w:gridCol w:w="326"/>
        <w:gridCol w:w="211"/>
        <w:gridCol w:w="1036"/>
        <w:gridCol w:w="1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372360" cy="175260"/>
                      <wp:effectExtent l="0" t="0" r="0" b="0"/>
                      <wp:wrapNone/>
                      <wp:docPr id="12" name="Frame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85,497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69,640</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(6,505)</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24,165,320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24,380,894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24,279,038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24,377,803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24,780,903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25,101,937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24,899,616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25,085,158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80"/>
        <w:ind w:left="0" w:right="0" w:hanging="0"/>
        <w:jc w:val="center"/>
        <w:rPr>
          <w:rFonts w:ascii="Times New Roman;Times;serif" w:hAnsi="Times New Roman;Times;serif"/>
          <w:b/>
          <w:sz w:val="20"/>
        </w:rPr>
      </w:pPr>
      <w:bookmarkStart w:id="241" w:name="_d505695a_54d2_41d9_9288_5bc196a25133"/>
      <w:bookmarkEnd w:id="241"/>
      <w:r>
        <w:rPr>
          <w:rFonts w:ascii="Times New Roman;Times;serif" w:hAnsi="Times New Roman;Times;serif"/>
          <w:b/>
          <w:sz w:val="20"/>
        </w:rPr>
        <w:t>LEGACY HOUSING CORPORATION</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lineRule="atLeast" w:line="200" w:before="0" w:after="80"/>
        <w:ind w:left="0" w:right="0" w:hanging="0"/>
        <w:jc w:val="center"/>
        <w:rPr>
          <w:rFonts w:ascii="Times New Roman;Times;serif" w:hAnsi="Times New Roman;Times;serif"/>
          <w:b/>
          <w:sz w:val="20"/>
        </w:rPr>
      </w:pPr>
      <w:r>
        <w:rPr>
          <w:rFonts w:ascii="Times New Roman;Times;serif" w:hAnsi="Times New Roman;Times;serif"/>
          <w:b/>
          <w:sz w:val="20"/>
        </w:rPr>
        <w:t xml:space="preserve">(unaudited, in thousands) </w:t>
      </w:r>
    </w:p>
    <w:p>
      <w:pPr>
        <w:pStyle w:val="Normal"/>
        <w:bidi w:val="0"/>
        <w:spacing w:before="0" w:after="0"/>
        <w:jc w:val="left"/>
        <w:rPr>
          <w:sz w:val="4"/>
          <w:szCs w:val="4"/>
        </w:rPr>
      </w:pPr>
      <w:r>
        <w:rPr>
          <w:sz w:val="4"/>
          <w:szCs w:val="4"/>
        </w:rPr>
      </w:r>
      <w:bookmarkStart w:id="242" w:name="Tc_zS0y6Jcv_0GcFyLm7qtePA_49_5"/>
      <w:bookmarkStart w:id="243" w:name="Tc_2fkkXkWkHU65SAmUW4mTZg_49_2"/>
      <w:bookmarkStart w:id="244" w:name="Tc_shDKJvB4NkqtO0WBe8Couw_49_0"/>
      <w:bookmarkStart w:id="245" w:name="Tc_cnVEfPcl4U-HGQEPj8i6qg_48_5"/>
      <w:bookmarkStart w:id="246" w:name="Tc_eWrtDlD4wESMfKrhy5rrJA_48_2"/>
      <w:bookmarkStart w:id="247" w:name="Tc_lCCK5WXI6EqZAHGCsRSq5Q_48_0"/>
      <w:bookmarkStart w:id="248" w:name="Tc_O0Db9E7i-EaG_uifGtmtBQ_47_0"/>
      <w:bookmarkStart w:id="249" w:name="Tc_KRUfiwW48k26tnZM7MDC9Q_46_5"/>
      <w:bookmarkStart w:id="250" w:name="Tc_MtkMiLGVHUytz43ipVoYfA_46_2"/>
      <w:bookmarkStart w:id="251" w:name="Tc_Kpc202opDUKsrhJZwyGtbg_46_0"/>
      <w:bookmarkStart w:id="252" w:name="Tc_AvO4ZyogykS_x2W7kPGV5Q_45_0"/>
      <w:bookmarkStart w:id="253" w:name="Tc_909cuNofYkaM8NIIqlc-bA_44_0"/>
      <w:bookmarkStart w:id="254" w:name="Tc_offFzzCBEUOfCcrio8BnPw_43_0"/>
      <w:bookmarkStart w:id="255" w:name="Tc_f50CIo2xWkWTHlrn6Z4Tmg_42_0"/>
      <w:bookmarkStart w:id="256" w:name="Tc_g4QK4kv610utRivL_NE7_Q_41_0"/>
      <w:bookmarkStart w:id="257" w:name="Tc_UW1TXn6yf0SUN-X2o9_xzw_40_6"/>
      <w:bookmarkStart w:id="258" w:name="Tc_jcqsd_2tMEyEtW8JMv_ofQ_40_0"/>
      <w:bookmarkStart w:id="259" w:name="Tc_ccfqi382C0acP-UGz2jt_Q_39_0"/>
      <w:bookmarkStart w:id="260" w:name="Tc_bL5ZjGWNsU6xgODjYylvzA_38_0"/>
      <w:bookmarkStart w:id="261" w:name="Tc_tizDys55SEywZr3KJHaPZA_37_0"/>
      <w:bookmarkStart w:id="262" w:name="Tc_PvcE3-V11UKB06T8n5FT5A_36_0"/>
      <w:bookmarkStart w:id="263" w:name="Tc_KMqfi1zyAkyV12aS9c9PRg_35_0"/>
      <w:bookmarkStart w:id="264" w:name="Tc_bAQhmI4Kj0WbX9bQS_Nd9A_34_0"/>
      <w:bookmarkStart w:id="265" w:name="Tc_iWVFrqYFbES5NSHim17JpA_33_3"/>
      <w:bookmarkStart w:id="266" w:name="Tc_WRR_DoAmk0iZzX7RgHmp1A_33_0"/>
      <w:bookmarkStart w:id="267" w:name="Tc_0Yct5J8aRUGFrIUxO087dg_32_6"/>
      <w:bookmarkStart w:id="268" w:name="Tc_Y5rL_jwJh02cwZgFIy5B5g_32_0"/>
      <w:bookmarkStart w:id="269" w:name="Tc_fiupxop6qUCfR6tJ3xshLw_31_3"/>
      <w:bookmarkStart w:id="270" w:name="Tc_9HauPPLhTUavFLHRoDBe4g_31_0"/>
      <w:bookmarkStart w:id="271" w:name="Tc_F0BHckd1X0qikj-Rm1dDPQ_30_0"/>
      <w:bookmarkStart w:id="272" w:name="Tc_3Jm2j-MjCEe9uSRHRM2Uhg_29_0"/>
      <w:bookmarkStart w:id="273" w:name="Tc_cBy6XXrl3kuvOhJrZcOyQg_28_0"/>
      <w:bookmarkStart w:id="274" w:name="Tc_RPLRxRv3yU6hPnxIpFDyoQ_27_0"/>
      <w:bookmarkStart w:id="275" w:name="Tc_eqk-67uJ5kSn8zzMvYX0Zw_26_0"/>
      <w:bookmarkStart w:id="276" w:name="Tc_k7feRVrJyk-J6U2bKFxkuA_25_0"/>
      <w:bookmarkStart w:id="277" w:name="Tc_JtvgcwbUeUWCnTEYoU8g9Q_24_0"/>
      <w:bookmarkStart w:id="278" w:name="Tc_8gFQwjBfhk-DOJqsMKK_iQ_23_0"/>
      <w:bookmarkStart w:id="279" w:name="Tc_K37E5jI-fEe7tyw8JliZhw_22_0"/>
      <w:bookmarkStart w:id="280" w:name="Tc_XnzWwwFs4UeJtlKxY7llEQ_21_6"/>
      <w:bookmarkStart w:id="281" w:name="Tc_pWh9D2Y9zEawiswxevhoPg_21_0"/>
      <w:bookmarkStart w:id="282" w:name="Tc_5wM7q1u-wUKKczMaCLW8yQ_20_0"/>
      <w:bookmarkStart w:id="283" w:name="Tc_W3TebnuciUuHXsZo3Viv8Q_19_0"/>
      <w:bookmarkStart w:id="284" w:name="Tc_QQdJzdYuOEKGdDOkTzLLvQ_18_0"/>
      <w:bookmarkStart w:id="285" w:name="Tc_Nzo-ymV4cEqGwtdnB_yy0A_17_0"/>
      <w:bookmarkStart w:id="286" w:name="Tc_Wmhp2mMnHkiFjjF0nTTPkw_16_0"/>
      <w:bookmarkStart w:id="287" w:name="Tc_25181giwIEaPsGffyQP42Q_15_0"/>
      <w:bookmarkStart w:id="288" w:name="Tc_rLmgs0xVbkWXdswPhTs0bg_14_0"/>
      <w:bookmarkStart w:id="289" w:name="Tc_K2i-aDhKhUC4O1H_PVmV7g_13_0"/>
      <w:bookmarkStart w:id="290" w:name="Tc_NaME0smsiEqksZvyxEg5tQ_12_0"/>
      <w:bookmarkStart w:id="291" w:name="Tc_4_HkkSxeWUaV6Yj_nwM0Kg_11_0"/>
      <w:bookmarkStart w:id="292" w:name="Tc_aC6CWPaf9U-ZwkNnMa0wuw_10_0"/>
      <w:bookmarkStart w:id="293" w:name="Tc_ZaSAhUxFmEq0OpqSVUJpZw_9_0"/>
      <w:bookmarkStart w:id="294" w:name="Tc_HHlcZOUfjUuTkMUwQH61eA_8_0"/>
      <w:bookmarkStart w:id="295" w:name="Tc_6Jtp4jvTkEKuYIka_9u8tA_7_0"/>
      <w:bookmarkStart w:id="296" w:name="Tc_KsAxRbHiwUGTwiLJxmzAdQ_6_0"/>
      <w:bookmarkStart w:id="297" w:name="Tc_bFYzPwVfaUC2wC88XJuU5w_5_0"/>
      <w:bookmarkStart w:id="298" w:name="Tc_ISwfFVPO_EmQdiNF7u9pNw_4_5"/>
      <w:bookmarkStart w:id="299" w:name="Tc_Bemmq2WGwkOCAnt2Qde3ag_4_2"/>
      <w:bookmarkStart w:id="300" w:name="Tc_eIbHwaYOAkqX7x_cXyqcJw_4_0"/>
      <w:bookmarkStart w:id="301" w:name="Tc_2GLpmlmxnkSnLcxdl9LLxA_3_0"/>
      <w:bookmarkStart w:id="302" w:name="Tc_RYbsKzPUg0q1QcPTReVdqw_2_5"/>
      <w:bookmarkStart w:id="303" w:name="Tc_LRHaUzeEl0qfmNgtqdkOPw_2_2"/>
      <w:bookmarkStart w:id="304" w:name="Tc_DVvdLaCX8kegTq_gyHyFgg_1_2"/>
      <w:bookmarkStart w:id="305" w:name="_8aca14f0_f3f2_42d5_b562_baefeb3465e8"/>
      <w:bookmarkStart w:id="306" w:name="Tc_zS0y6Jcv_0GcFyLm7qtePA_49_5"/>
      <w:bookmarkStart w:id="307" w:name="Tc_2fkkXkWkHU65SAmUW4mTZg_49_2"/>
      <w:bookmarkStart w:id="308" w:name="Tc_shDKJvB4NkqtO0WBe8Couw_49_0"/>
      <w:bookmarkStart w:id="309" w:name="Tc_cnVEfPcl4U-HGQEPj8i6qg_48_5"/>
      <w:bookmarkStart w:id="310" w:name="Tc_eWrtDlD4wESMfKrhy5rrJA_48_2"/>
      <w:bookmarkStart w:id="311" w:name="Tc_lCCK5WXI6EqZAHGCsRSq5Q_48_0"/>
      <w:bookmarkStart w:id="312" w:name="Tc_O0Db9E7i-EaG_uifGtmtBQ_47_0"/>
      <w:bookmarkStart w:id="313" w:name="Tc_KRUfiwW48k26tnZM7MDC9Q_46_5"/>
      <w:bookmarkStart w:id="314" w:name="Tc_MtkMiLGVHUytz43ipVoYfA_46_2"/>
      <w:bookmarkStart w:id="315" w:name="Tc_Kpc202opDUKsrhJZwyGtbg_46_0"/>
      <w:bookmarkStart w:id="316" w:name="Tc_AvO4ZyogykS_x2W7kPGV5Q_45_0"/>
      <w:bookmarkStart w:id="317" w:name="Tc_909cuNofYkaM8NIIqlc-bA_44_0"/>
      <w:bookmarkStart w:id="318" w:name="Tc_offFzzCBEUOfCcrio8BnPw_43_0"/>
      <w:bookmarkStart w:id="319" w:name="Tc_f50CIo2xWkWTHlrn6Z4Tmg_42_0"/>
      <w:bookmarkStart w:id="320" w:name="Tc_g4QK4kv610utRivL_NE7_Q_41_0"/>
      <w:bookmarkStart w:id="321" w:name="Tc_UW1TXn6yf0SUN-X2o9_xzw_40_6"/>
      <w:bookmarkStart w:id="322" w:name="Tc_jcqsd_2tMEyEtW8JMv_ofQ_40_0"/>
      <w:bookmarkStart w:id="323" w:name="Tc_ccfqi382C0acP-UGz2jt_Q_39_0"/>
      <w:bookmarkStart w:id="324" w:name="Tc_bL5ZjGWNsU6xgODjYylvzA_38_0"/>
      <w:bookmarkStart w:id="325" w:name="Tc_tizDys55SEywZr3KJHaPZA_37_0"/>
      <w:bookmarkStart w:id="326" w:name="Tc_PvcE3-V11UKB06T8n5FT5A_36_0"/>
      <w:bookmarkStart w:id="327" w:name="Tc_KMqfi1zyAkyV12aS9c9PRg_35_0"/>
      <w:bookmarkStart w:id="328" w:name="Tc_bAQhmI4Kj0WbX9bQS_Nd9A_34_0"/>
      <w:bookmarkStart w:id="329" w:name="Tc_iWVFrqYFbES5NSHim17JpA_33_3"/>
      <w:bookmarkStart w:id="330" w:name="Tc_WRR_DoAmk0iZzX7RgHmp1A_33_0"/>
      <w:bookmarkStart w:id="331" w:name="Tc_0Yct5J8aRUGFrIUxO087dg_32_6"/>
      <w:bookmarkStart w:id="332" w:name="Tc_Y5rL_jwJh02cwZgFIy5B5g_32_0"/>
      <w:bookmarkStart w:id="333" w:name="Tc_fiupxop6qUCfR6tJ3xshLw_31_3"/>
      <w:bookmarkStart w:id="334" w:name="Tc_9HauPPLhTUavFLHRoDBe4g_31_0"/>
      <w:bookmarkStart w:id="335" w:name="Tc_F0BHckd1X0qikj-Rm1dDPQ_30_0"/>
      <w:bookmarkStart w:id="336" w:name="Tc_3Jm2j-MjCEe9uSRHRM2Uhg_29_0"/>
      <w:bookmarkStart w:id="337" w:name="Tc_cBy6XXrl3kuvOhJrZcOyQg_28_0"/>
      <w:bookmarkStart w:id="338" w:name="Tc_RPLRxRv3yU6hPnxIpFDyoQ_27_0"/>
      <w:bookmarkStart w:id="339" w:name="Tc_eqk-67uJ5kSn8zzMvYX0Zw_26_0"/>
      <w:bookmarkStart w:id="340" w:name="Tc_k7feRVrJyk-J6U2bKFxkuA_25_0"/>
      <w:bookmarkStart w:id="341" w:name="Tc_JtvgcwbUeUWCnTEYoU8g9Q_24_0"/>
      <w:bookmarkStart w:id="342" w:name="Tc_8gFQwjBfhk-DOJqsMKK_iQ_23_0"/>
      <w:bookmarkStart w:id="343" w:name="Tc_K37E5jI-fEe7tyw8JliZhw_22_0"/>
      <w:bookmarkStart w:id="344" w:name="Tc_XnzWwwFs4UeJtlKxY7llEQ_21_6"/>
      <w:bookmarkStart w:id="345" w:name="Tc_pWh9D2Y9zEawiswxevhoPg_21_0"/>
      <w:bookmarkStart w:id="346" w:name="Tc_5wM7q1u-wUKKczMaCLW8yQ_20_0"/>
      <w:bookmarkStart w:id="347" w:name="Tc_W3TebnuciUuHXsZo3Viv8Q_19_0"/>
      <w:bookmarkStart w:id="348" w:name="Tc_QQdJzdYuOEKGdDOkTzLLvQ_18_0"/>
      <w:bookmarkStart w:id="349" w:name="Tc_Nzo-ymV4cEqGwtdnB_yy0A_17_0"/>
      <w:bookmarkStart w:id="350" w:name="Tc_Wmhp2mMnHkiFjjF0nTTPkw_16_0"/>
      <w:bookmarkStart w:id="351" w:name="Tc_25181giwIEaPsGffyQP42Q_15_0"/>
      <w:bookmarkStart w:id="352" w:name="Tc_rLmgs0xVbkWXdswPhTs0bg_14_0"/>
      <w:bookmarkStart w:id="353" w:name="Tc_K2i-aDhKhUC4O1H_PVmV7g_13_0"/>
      <w:bookmarkStart w:id="354" w:name="Tc_NaME0smsiEqksZvyxEg5tQ_12_0"/>
      <w:bookmarkStart w:id="355" w:name="Tc_4_HkkSxeWUaV6Yj_nwM0Kg_11_0"/>
      <w:bookmarkStart w:id="356" w:name="Tc_aC6CWPaf9U-ZwkNnMa0wuw_10_0"/>
      <w:bookmarkStart w:id="357" w:name="Tc_ZaSAhUxFmEq0OpqSVUJpZw_9_0"/>
      <w:bookmarkStart w:id="358" w:name="Tc_HHlcZOUfjUuTkMUwQH61eA_8_0"/>
      <w:bookmarkStart w:id="359" w:name="Tc_6Jtp4jvTkEKuYIka_9u8tA_7_0"/>
      <w:bookmarkStart w:id="360" w:name="Tc_KsAxRbHiwUGTwiLJxmzAdQ_6_0"/>
      <w:bookmarkStart w:id="361" w:name="Tc_bFYzPwVfaUC2wC88XJuU5w_5_0"/>
      <w:bookmarkStart w:id="362" w:name="Tc_ISwfFVPO_EmQdiNF7u9pNw_4_5"/>
      <w:bookmarkStart w:id="363" w:name="Tc_Bemmq2WGwkOCAnt2Qde3ag_4_2"/>
      <w:bookmarkStart w:id="364" w:name="Tc_eIbHwaYOAkqX7x_cXyqcJw_4_0"/>
      <w:bookmarkStart w:id="365" w:name="Tc_2GLpmlmxnkSnLcxdl9LLxA_3_0"/>
      <w:bookmarkStart w:id="366" w:name="Tc_RYbsKzPUg0q1QcPTReVdqw_2_5"/>
      <w:bookmarkStart w:id="367" w:name="Tc_LRHaUzeEl0qfmNgtqdkOPw_2_2"/>
      <w:bookmarkStart w:id="368" w:name="Tc_DVvdLaCX8kegTq_gyHyFgg_1_2"/>
      <w:bookmarkStart w:id="369" w:name="_8aca14f0_f3f2_42d5_b562_baefeb3465e8"/>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tbl>
      <w:tblPr>
        <w:tblW w:w="10205" w:type="dxa"/>
        <w:jc w:val="left"/>
        <w:tblInd w:w="0" w:type="dxa"/>
        <w:tblLayout w:type="fixed"/>
        <w:tblCellMar>
          <w:top w:w="0" w:type="dxa"/>
          <w:left w:w="0" w:type="dxa"/>
          <w:bottom w:w="0" w:type="dxa"/>
          <w:right w:w="0" w:type="dxa"/>
        </w:tblCellMar>
      </w:tblPr>
      <w:tblGrid>
        <w:gridCol w:w="7291"/>
        <w:gridCol w:w="326"/>
        <w:gridCol w:w="211"/>
        <w:gridCol w:w="794"/>
        <w:gridCol w:w="326"/>
        <w:gridCol w:w="211"/>
        <w:gridCol w:w="794"/>
        <w:gridCol w:w="252"/>
      </w:tblGrid>
      <w:tr>
        <w:trPr/>
        <w:tc>
          <w:tcPr>
            <w:tcW w:w="7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29785" cy="175260"/>
                      <wp:effectExtent l="0" t="0" r="0" b="0"/>
                      <wp:wrapNone/>
                      <wp:docPr id="26" name="Frame26"/>
                      <a:graphic xmlns:a="http://schemas.openxmlformats.org/drawingml/2006/main">
                        <a:graphicData uri="http://schemas.microsoft.com/office/word/2010/wordprocessingShape">
                          <wps:wsp>
                            <wps:cNvSpPr txBox="1"/>
                            <wps:spPr>
                              <a:xfrm>
                                <a:off x="0" y="0"/>
                                <a:ext cx="462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4190" cy="175260"/>
                      <wp:effectExtent l="0" t="0" r="0" b="0"/>
                      <wp:wrapNone/>
                      <wp:docPr id="29" name="Frame2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4190" cy="175260"/>
                      <wp:effectExtent l="0" t="0" r="0" b="0"/>
                      <wp:wrapNone/>
                      <wp:docPr id="32" name="Frame3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0020" cy="175260"/>
                      <wp:effectExtent l="0" t="0" r="0" b="0"/>
                      <wp:wrapNone/>
                      <wp:docPr id="33" name="Frame3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52" w:type="dxa"/>
            <w:tcBorders/>
            <w:vAlign w:val="center"/>
          </w:tcPr>
          <w:p>
            <w:pPr>
              <w:pStyle w:val="TableContents"/>
              <w:bidi w:val="0"/>
              <w:spacing w:before="0" w:after="0"/>
              <w:ind w:left="0" w:right="0" w:hanging="0"/>
              <w:jc w:val="left"/>
              <w:rPr/>
            </w:pPr>
            <w:r>
              <w:rPr/>
              <w:t>  </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center"/>
              <w:rPr/>
            </w:pPr>
            <w:r>
              <w:rPr/>
              <w:t>​</w:t>
            </w:r>
          </w:p>
        </w:tc>
        <w:tc>
          <w:tcPr>
            <w:tcW w:w="252" w:type="dxa"/>
            <w:tcBorders/>
            <w:shd w:fill="CCEEFF" w:val="clear"/>
            <w:vAlign w:val="center"/>
          </w:tcPr>
          <w:p>
            <w:pPr>
              <w:pStyle w:val="TableContents"/>
              <w:bidi w:val="0"/>
              <w:spacing w:before="0" w:after="0"/>
              <w:ind w:left="0" w:right="0" w:hanging="0"/>
              <w:jc w:val="left"/>
              <w:rPr/>
            </w:pPr>
            <w:r>
              <w:rPr/>
              <w:t> </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31,296</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accounts and notes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long term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sale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payment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 cash items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activity,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MHP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(23,339)</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inventory loan activity,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 leased mobile homes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activity,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Escrow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leased property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investments - treasury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notes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collections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from purchased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3,937</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treasury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42,242</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lines of credit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(40,102)</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252"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252"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10,395</w:t>
            </w:r>
          </w:p>
        </w:tc>
        <w:tc>
          <w:tcPr>
            <w:tcW w:w="25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70" w:name="_f3fcc099_e695_4ead_82d9_79154f13a790"/>
      <w:bookmarkEnd w:id="370"/>
      <w:r>
        <w:rPr>
          <w:rFonts w:ascii="Times New Roman;Times;serif" w:hAnsi="Times New Roman;Times;serif"/>
          <w:b/>
          <w:sz w:val="20"/>
        </w:rPr>
        <w:t>LEGACY HOUSING CORPORATION</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71" w:name="Tc_hL2Wjppph0eOoOYuMBd1bA_12_16"/>
      <w:bookmarkStart w:id="372" w:name="Tc_E4Wm69xkZ0qZFItX2hxPkg_12_13"/>
      <w:bookmarkStart w:id="373" w:name="Tc_0xa45qaXvUy9UMGr5CTs_w_12_10"/>
      <w:bookmarkStart w:id="374" w:name="Tc_4bAlduKPDUWTIQitagDmVQ_12_7"/>
      <w:bookmarkStart w:id="375" w:name="Tc_SQIvKpBRZEeLbC2VANyhXQ_12_4"/>
      <w:bookmarkStart w:id="376" w:name="Tc_hUJyQFPYV0GS01KzhiDLxQ_12_0"/>
      <w:bookmarkStart w:id="377" w:name="Tc_WHbTwlxJu0OtJoMiTp6GPQ_11_11"/>
      <w:bookmarkStart w:id="378" w:name="Tc_RQBKtzzURUmamTVDYPl0HQ_11_8"/>
      <w:bookmarkStart w:id="379" w:name="Tc_GdfrLyYNsk6Hb2AGshQ_Wg_11_5"/>
      <w:bookmarkStart w:id="380" w:name="Tc_k9m9gzFCPUCff8csAflk8A_11_2"/>
      <w:bookmarkStart w:id="381" w:name="Tc_JpanmawNRU2ilpG_PXyIXA_11_0"/>
      <w:bookmarkStart w:id="382" w:name="Tc_mN_QgLlQzkarJ2VnOB_6Xw_10_14"/>
      <w:bookmarkStart w:id="383" w:name="Tc_5u8XSf6evUCxg7JUrK1AwA_10_8"/>
      <w:bookmarkStart w:id="384" w:name="Tc_C-OHGa8vqkqMpClCB9CJ6w_10_5"/>
      <w:bookmarkStart w:id="385" w:name="Tc_T_rwohC7zkqvLdLCNDQ4xw_10_0"/>
      <w:bookmarkStart w:id="386" w:name="Tc_PGS718jt50mcwduv38hwXg_9_14"/>
      <w:bookmarkStart w:id="387" w:name="Tc_OhxyHawBfE-dkqX6bU29CA_9_8"/>
      <w:bookmarkStart w:id="388" w:name="Tc_r9QYLJU_ykeK2A-UI2AprQ_9_5"/>
      <w:bookmarkStart w:id="389" w:name="Tc_tgf6BgC9d0ur1ElYzjjYSA_9_0"/>
      <w:bookmarkStart w:id="390" w:name="Tc_Pca4JNeqnUCwb157XF-2fQ_8_16"/>
      <w:bookmarkStart w:id="391" w:name="Tc_fOrLlaur5Eid2eYj66DUPg_8_13"/>
      <w:bookmarkStart w:id="392" w:name="Tc_wrK-Y_NAsEG11mjpu5mjkg_8_10"/>
      <w:bookmarkStart w:id="393" w:name="Tc_W1qs8c7xD0qwwjuE-TqMsg_8_7"/>
      <w:bookmarkStart w:id="394" w:name="Tc_T85VpAIdv0OhBgu07_9Y2w_8_4"/>
      <w:bookmarkStart w:id="395" w:name="Tc_qWGqLUE6cEWZLTIlMkl5JA_8_0"/>
      <w:bookmarkStart w:id="396" w:name="Tc_Ecym-nFglUq5PZfGHYtmvA_7_11"/>
      <w:bookmarkStart w:id="397" w:name="Tc_AGEFlt4NTkKogtMYDTqsLg_7_8"/>
      <w:bookmarkStart w:id="398" w:name="Tc_KElQA_nd-kuSuaqW1CS4Yg_7_5"/>
      <w:bookmarkStart w:id="399" w:name="Tc_LuYMiQzB9kS6bpawptkcQQ_7_2"/>
      <w:bookmarkStart w:id="400" w:name="Tc_DfTT739Ci02aqvFgi8Qjxw_7_0"/>
      <w:bookmarkStart w:id="401" w:name="Tc_f-TyWNM7n0uYkecFOUVfjw_6_14"/>
      <w:bookmarkStart w:id="402" w:name="Tc_n60mLUau9EeU9CjRxW34PA_6_8"/>
      <w:bookmarkStart w:id="403" w:name="Tc_R_Xl9ngYNES5BeP1GlVjBg_6_5"/>
      <w:bookmarkStart w:id="404" w:name="Tc__soFByGgNUeSrkAl4Eu6ig_6_0"/>
      <w:bookmarkStart w:id="405" w:name="Tc_vvTk6KQ63EiOxz-5UWWjyg_5_16"/>
      <w:bookmarkStart w:id="406" w:name="Tc_M8rEbIpdKkSRxWeo96i9_g_5_13"/>
      <w:bookmarkStart w:id="407" w:name="Tc_4tHByqjPikmKsLJ-98oj5Q_5_10"/>
      <w:bookmarkStart w:id="408" w:name="Tc_lqr7m6X5nUi234JbWpu9Ag_5_7"/>
      <w:bookmarkStart w:id="409" w:name="Tc_IsDlWo8Zt0adocLWc6Rpig_5_4"/>
      <w:bookmarkStart w:id="410" w:name="Tc_bTAkeSHTfkuq_nw36SRjrw_5_0"/>
      <w:bookmarkStart w:id="411" w:name="Tc_jVNJ_VufxkWkWpFzsW8jPw_4_11"/>
      <w:bookmarkStart w:id="412" w:name="Tc_klOfJ6PGm0WTA8hqdxcBEg_4_8"/>
      <w:bookmarkStart w:id="413" w:name="Tc_j2NxaydOoUG-Ij_eL2qHaQ_4_5"/>
      <w:bookmarkStart w:id="414" w:name="Tc_ZxDgJxtdDEKNsmr-NRuddw_4_2"/>
      <w:bookmarkStart w:id="415" w:name="Tc_Z1Kg3ShoLECJNqQoBW6W_w_4_0"/>
      <w:bookmarkStart w:id="416" w:name="Tc_lmxWG-xGiE-dNT982pHZQA_3_16"/>
      <w:bookmarkStart w:id="417" w:name="Tc_PKfOFbXc6Uy7qNr3Fjn_RA_3_13"/>
      <w:bookmarkStart w:id="418" w:name="Tc_tpWzNEb7QEy3Mms-AifClg_3_10"/>
      <w:bookmarkStart w:id="419" w:name="Tc_4ViAcWC3SU6cOhGBR7D3-w_3_7"/>
      <w:bookmarkStart w:id="420" w:name="Tc_-HWOeW0YSUC7WcpuUgD1JA_3_4"/>
      <w:bookmarkStart w:id="421" w:name="Tc_t5K6OFtcrU6_J7VteIOL9g_3_0"/>
      <w:bookmarkStart w:id="422" w:name="Tc_hvM1agWE3kCTFWCnpuZL5Q_2_16"/>
      <w:bookmarkStart w:id="423" w:name="Tc_gjl5TohFukesQ2WQAhZ3Ew_2_13"/>
      <w:bookmarkStart w:id="424" w:name="Tc_HhOdrKGbBEmzDq-1RC5Utw_2_10"/>
      <w:bookmarkStart w:id="425" w:name="Tc_i5ibLyoLOEqhwlAjLASh1Q_2_7"/>
      <w:bookmarkStart w:id="426" w:name="Tc_wxiXDwF8uES_eLGZ86UA8Q_2_4"/>
      <w:bookmarkStart w:id="427" w:name="Tc_8vezha1uQEqZoiP3C7q-DQ_2_2"/>
      <w:bookmarkStart w:id="428" w:name="Tc_KuoR7LU0y0S7pU5Va5sMiA_1_13"/>
      <w:bookmarkStart w:id="429" w:name="Tc_7LsoXhoFpEKsZzNoZNU6dQ_1_10"/>
      <w:bookmarkStart w:id="430" w:name="Tc_xPJaShmcyk-lJW4M-AEX5w_1_7"/>
      <w:bookmarkStart w:id="431" w:name="Tc_IPO5lC2bqEu3Ff8B0GH-vg_1_2"/>
      <w:bookmarkStart w:id="432" w:name="_87232b1a_1c67_4287_90b3_a0ec20c8873c"/>
      <w:bookmarkStart w:id="433" w:name="Tc_hL2Wjppph0eOoOYuMBd1bA_12_16"/>
      <w:bookmarkStart w:id="434" w:name="Tc_E4Wm69xkZ0qZFItX2hxPkg_12_13"/>
      <w:bookmarkStart w:id="435" w:name="Tc_0xa45qaXvUy9UMGr5CTs_w_12_10"/>
      <w:bookmarkStart w:id="436" w:name="Tc_4bAlduKPDUWTIQitagDmVQ_12_7"/>
      <w:bookmarkStart w:id="437" w:name="Tc_SQIvKpBRZEeLbC2VANyhXQ_12_4"/>
      <w:bookmarkStart w:id="438" w:name="Tc_hUJyQFPYV0GS01KzhiDLxQ_12_0"/>
      <w:bookmarkStart w:id="439" w:name="Tc_WHbTwlxJu0OtJoMiTp6GPQ_11_11"/>
      <w:bookmarkStart w:id="440" w:name="Tc_RQBKtzzURUmamTVDYPl0HQ_11_8"/>
      <w:bookmarkStart w:id="441" w:name="Tc_GdfrLyYNsk6Hb2AGshQ_Wg_11_5"/>
      <w:bookmarkStart w:id="442" w:name="Tc_k9m9gzFCPUCff8csAflk8A_11_2"/>
      <w:bookmarkStart w:id="443" w:name="Tc_JpanmawNRU2ilpG_PXyIXA_11_0"/>
      <w:bookmarkStart w:id="444" w:name="Tc_mN_QgLlQzkarJ2VnOB_6Xw_10_14"/>
      <w:bookmarkStart w:id="445" w:name="Tc_5u8XSf6evUCxg7JUrK1AwA_10_8"/>
      <w:bookmarkStart w:id="446" w:name="Tc_C-OHGa8vqkqMpClCB9CJ6w_10_5"/>
      <w:bookmarkStart w:id="447" w:name="Tc_T_rwohC7zkqvLdLCNDQ4xw_10_0"/>
      <w:bookmarkStart w:id="448" w:name="Tc_PGS718jt50mcwduv38hwXg_9_14"/>
      <w:bookmarkStart w:id="449" w:name="Tc_OhxyHawBfE-dkqX6bU29CA_9_8"/>
      <w:bookmarkStart w:id="450" w:name="Tc_r9QYLJU_ykeK2A-UI2AprQ_9_5"/>
      <w:bookmarkStart w:id="451" w:name="Tc_tgf6BgC9d0ur1ElYzjjYSA_9_0"/>
      <w:bookmarkStart w:id="452" w:name="Tc_Pca4JNeqnUCwb157XF-2fQ_8_16"/>
      <w:bookmarkStart w:id="453" w:name="Tc_fOrLlaur5Eid2eYj66DUPg_8_13"/>
      <w:bookmarkStart w:id="454" w:name="Tc_wrK-Y_NAsEG11mjpu5mjkg_8_10"/>
      <w:bookmarkStart w:id="455" w:name="Tc_W1qs8c7xD0qwwjuE-TqMsg_8_7"/>
      <w:bookmarkStart w:id="456" w:name="Tc_T85VpAIdv0OhBgu07_9Y2w_8_4"/>
      <w:bookmarkStart w:id="457" w:name="Tc_qWGqLUE6cEWZLTIlMkl5JA_8_0"/>
      <w:bookmarkStart w:id="458" w:name="Tc_Ecym-nFglUq5PZfGHYtmvA_7_11"/>
      <w:bookmarkStart w:id="459" w:name="Tc_AGEFlt4NTkKogtMYDTqsLg_7_8"/>
      <w:bookmarkStart w:id="460" w:name="Tc_KElQA_nd-kuSuaqW1CS4Yg_7_5"/>
      <w:bookmarkStart w:id="461" w:name="Tc_LuYMiQzB9kS6bpawptkcQQ_7_2"/>
      <w:bookmarkStart w:id="462" w:name="Tc_DfTT739Ci02aqvFgi8Qjxw_7_0"/>
      <w:bookmarkStart w:id="463" w:name="Tc_f-TyWNM7n0uYkecFOUVfjw_6_14"/>
      <w:bookmarkStart w:id="464" w:name="Tc_n60mLUau9EeU9CjRxW34PA_6_8"/>
      <w:bookmarkStart w:id="465" w:name="Tc_R_Xl9ngYNES5BeP1GlVjBg_6_5"/>
      <w:bookmarkStart w:id="466" w:name="Tc__soFByGgNUeSrkAl4Eu6ig_6_0"/>
      <w:bookmarkStart w:id="467" w:name="Tc_vvTk6KQ63EiOxz-5UWWjyg_5_16"/>
      <w:bookmarkStart w:id="468" w:name="Tc_M8rEbIpdKkSRxWeo96i9_g_5_13"/>
      <w:bookmarkStart w:id="469" w:name="Tc_4tHByqjPikmKsLJ-98oj5Q_5_10"/>
      <w:bookmarkStart w:id="470" w:name="Tc_lqr7m6X5nUi234JbWpu9Ag_5_7"/>
      <w:bookmarkStart w:id="471" w:name="Tc_IsDlWo8Zt0adocLWc6Rpig_5_4"/>
      <w:bookmarkStart w:id="472" w:name="Tc_bTAkeSHTfkuq_nw36SRjrw_5_0"/>
      <w:bookmarkStart w:id="473" w:name="Tc_jVNJ_VufxkWkWpFzsW8jPw_4_11"/>
      <w:bookmarkStart w:id="474" w:name="Tc_klOfJ6PGm0WTA8hqdxcBEg_4_8"/>
      <w:bookmarkStart w:id="475" w:name="Tc_j2NxaydOoUG-Ij_eL2qHaQ_4_5"/>
      <w:bookmarkStart w:id="476" w:name="Tc_ZxDgJxtdDEKNsmr-NRuddw_4_2"/>
      <w:bookmarkStart w:id="477" w:name="Tc_Z1Kg3ShoLECJNqQoBW6W_w_4_0"/>
      <w:bookmarkStart w:id="478" w:name="Tc_lmxWG-xGiE-dNT982pHZQA_3_16"/>
      <w:bookmarkStart w:id="479" w:name="Tc_PKfOFbXc6Uy7qNr3Fjn_RA_3_13"/>
      <w:bookmarkStart w:id="480" w:name="Tc_tpWzNEb7QEy3Mms-AifClg_3_10"/>
      <w:bookmarkStart w:id="481" w:name="Tc_4ViAcWC3SU6cOhGBR7D3-w_3_7"/>
      <w:bookmarkStart w:id="482" w:name="Tc_-HWOeW0YSUC7WcpuUgD1JA_3_4"/>
      <w:bookmarkStart w:id="483" w:name="Tc_t5K6OFtcrU6_J7VteIOL9g_3_0"/>
      <w:bookmarkStart w:id="484" w:name="Tc_hvM1agWE3kCTFWCnpuZL5Q_2_16"/>
      <w:bookmarkStart w:id="485" w:name="Tc_gjl5TohFukesQ2WQAhZ3Ew_2_13"/>
      <w:bookmarkStart w:id="486" w:name="Tc_HhOdrKGbBEmzDq-1RC5Utw_2_10"/>
      <w:bookmarkStart w:id="487" w:name="Tc_i5ibLyoLOEqhwlAjLASh1Q_2_7"/>
      <w:bookmarkStart w:id="488" w:name="Tc_wxiXDwF8uES_eLGZ86UA8Q_2_4"/>
      <w:bookmarkStart w:id="489" w:name="Tc_8vezha1uQEqZoiP3C7q-DQ_2_2"/>
      <w:bookmarkStart w:id="490" w:name="Tc_KuoR7LU0y0S7pU5Va5sMiA_1_13"/>
      <w:bookmarkStart w:id="491" w:name="Tc_7LsoXhoFpEKsZzNoZNU6dQ_1_10"/>
      <w:bookmarkStart w:id="492" w:name="Tc_xPJaShmcyk-lJW4M-AEX5w_1_7"/>
      <w:bookmarkStart w:id="493" w:name="Tc_IPO5lC2bqEu3Ff8B0GH-vg_1_2"/>
      <w:bookmarkStart w:id="494" w:name="_87232b1a_1c67_4287_90b3_a0ec20c8873c"/>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10205" w:type="dxa"/>
        <w:jc w:val="left"/>
        <w:tblInd w:w="0" w:type="dxa"/>
        <w:tblLayout w:type="fixed"/>
        <w:tblCellMar>
          <w:top w:w="0" w:type="dxa"/>
          <w:left w:w="0" w:type="dxa"/>
          <w:bottom w:w="0" w:type="dxa"/>
          <w:right w:w="0" w:type="dxa"/>
        </w:tblCellMar>
      </w:tblPr>
      <w:tblGrid>
        <w:gridCol w:w="2394"/>
        <w:gridCol w:w="326"/>
        <w:gridCol w:w="1036"/>
        <w:gridCol w:w="326"/>
        <w:gridCol w:w="261"/>
        <w:gridCol w:w="430"/>
        <w:gridCol w:w="326"/>
        <w:gridCol w:w="211"/>
        <w:gridCol w:w="644"/>
        <w:gridCol w:w="326"/>
        <w:gridCol w:w="249"/>
        <w:gridCol w:w="922"/>
        <w:gridCol w:w="326"/>
        <w:gridCol w:w="211"/>
        <w:gridCol w:w="781"/>
        <w:gridCol w:w="326"/>
        <w:gridCol w:w="211"/>
        <w:gridCol w:w="899"/>
      </w:tblGrid>
      <w:tr>
        <w:trPr/>
        <w:tc>
          <w:tcPr>
            <w:tcW w:w="2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20190" cy="175260"/>
                      <wp:effectExtent l="0" t="0" r="0" b="0"/>
                      <wp:wrapNone/>
                      <wp:docPr id="34" name="Frame34"/>
                      <a:graphic xmlns:a="http://schemas.openxmlformats.org/drawingml/2006/main">
                        <a:graphicData uri="http://schemas.microsoft.com/office/word/2010/wordprocessingShape">
                          <wps:wsp>
                            <wps:cNvSpPr txBox="1"/>
                            <wps:spPr>
                              <a:xfrm>
                                <a:off x="0" y="0"/>
                                <a:ext cx="152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5735" cy="175260"/>
                      <wp:effectExtent l="0" t="0" r="0" b="0"/>
                      <wp:wrapNone/>
                      <wp:docPr id="38" name="Frame3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3050" cy="175260"/>
                      <wp:effectExtent l="0" t="0" r="0" b="0"/>
                      <wp:wrapNone/>
                      <wp:docPr id="39" name="Frame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8940" cy="175260"/>
                      <wp:effectExtent l="0" t="0" r="0" b="0"/>
                      <wp:wrapNone/>
                      <wp:docPr id="42" name="Frame4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5470" cy="175260"/>
                      <wp:effectExtent l="0" t="0" r="0" b="0"/>
                      <wp:wrapNone/>
                      <wp:docPr id="45" name="Frame45"/>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0865" cy="175260"/>
                      <wp:effectExtent l="0" t="0" r="0" b="0"/>
                      <wp:wrapNone/>
                      <wp:docPr id="51" name="Frame5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3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382,104</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change in accounting principle, net of taxes (Note 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January 1, 2023 (as adjusted for change in accounting principle)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381,406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24,823,266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397,873</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24,836,862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413,189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5" w:name="Tc_7U7Aag5KoUGrNe6N2oPCAQ_12_16"/>
      <w:bookmarkStart w:id="496" w:name="Tc_wXl1-GuzM0OgjhelWLc52A_12_13"/>
      <w:bookmarkStart w:id="497" w:name="Tc_E_N90HfHrUaPOM9aaP9tXw_12_10"/>
      <w:bookmarkStart w:id="498" w:name="Tc_2vDZf9KQKkS9jQohHzcc0g_12_7"/>
      <w:bookmarkStart w:id="499" w:name="Tc_gshW6QtO6EaPRYyXGftOiA_12_4"/>
      <w:bookmarkStart w:id="500" w:name="Tc_VBndTJbM_ECcmKLKgEMx4Q_12_0"/>
      <w:bookmarkStart w:id="501" w:name="Tc_mLj2YKbUpkyMu1LR5rRfgQ_11_11"/>
      <w:bookmarkStart w:id="502" w:name="Tc_UymSdKyTj0yuVgW97FDaBQ_11_8"/>
      <w:bookmarkStart w:id="503" w:name="Tc_6BEFwJ9yhUaFa5UAyhIPPw_11_5"/>
      <w:bookmarkStart w:id="504" w:name="Tc_GUzOBT439EKi35Gokw4UNA_11_2"/>
      <w:bookmarkStart w:id="505" w:name="Tc_22O7bRIRxk2obOz7Qnko1g_11_0"/>
      <w:bookmarkStart w:id="506" w:name="Tc_KyKGT7dFgkCNetdPD3BLpQ_10_14"/>
      <w:bookmarkStart w:id="507" w:name="Tc_4xTZvuwxDUSfkBfxdyyn6g_10_11"/>
      <w:bookmarkStart w:id="508" w:name="Tc_iNCt8_lAiEu_q5Tl92ZLOQ_10_5"/>
      <w:bookmarkStart w:id="509" w:name="Tc_67P4cllr3kuU8xFcpzK2Xg_10_2"/>
      <w:bookmarkStart w:id="510" w:name="Tc_9hXqH13dCUeefglQatWxsg_10_0"/>
      <w:bookmarkStart w:id="511" w:name="Tc_at2Uz7yOKky1GflvNoCOMQ_9_14"/>
      <w:bookmarkStart w:id="512" w:name="Tc_y-EQTmIF-k2UKuNIBLOWUg_9_8"/>
      <w:bookmarkStart w:id="513" w:name="Tc_JYAgKOlwZ0yqdKcD1PQvLQ_9_5"/>
      <w:bookmarkStart w:id="514" w:name="Tc_3DnG2bANKkiG9heA3PafRA_9_0"/>
      <w:bookmarkStart w:id="515" w:name="Tc_9vsqcqcLckmVq8X6jn9S6g_8_16"/>
      <w:bookmarkStart w:id="516" w:name="Tc_ahnOOhkIB02cXbf64-NSyA_8_13"/>
      <w:bookmarkStart w:id="517" w:name="Tc_axf5ATsOC02CspD1Nc8Upg_8_10"/>
      <w:bookmarkStart w:id="518" w:name="Tc_Cv3HqJ2BcEeU0YV9PMGrNw_8_7"/>
      <w:bookmarkStart w:id="519" w:name="Tc_bxjG56Y6jkGX11M9RS9fgA_8_4"/>
      <w:bookmarkStart w:id="520" w:name="Tc_BBS_b0DeYESqp78qeZgQzg_8_0"/>
      <w:bookmarkStart w:id="521" w:name="Tc_ZSPBCUaJ9UuwUdaERNsYJQ_7_11"/>
      <w:bookmarkStart w:id="522" w:name="Tc_M9eXIZz9ZEGS8rilet26HA_7_8"/>
      <w:bookmarkStart w:id="523" w:name="Tc_fJSq5Dedpk-KBx0iQjzhwQ_7_5"/>
      <w:bookmarkStart w:id="524" w:name="Tc__n0jphZM1EeN2YMhS6xzgQ_7_2"/>
      <w:bookmarkStart w:id="525" w:name="Tc_mYSE2LfBsUOW9c4p8sEQvA_7_0"/>
      <w:bookmarkStart w:id="526" w:name="Tc_I9zFW4suC0aNLrRbZtgGpw_6_14"/>
      <w:bookmarkStart w:id="527" w:name="Tc_h7fMpX-h_02iD_XoZxIfhA_6_11"/>
      <w:bookmarkStart w:id="528" w:name="Tc_ysQy3LfCEEG3Mv2TYY1qUA_6_5"/>
      <w:bookmarkStart w:id="529" w:name="Tc_DoedSbTqCUmpxZ8o39K7Mg_6_2"/>
      <w:bookmarkStart w:id="530" w:name="Tc__i31Z6EghUK1cHCh4cbBfA_6_0"/>
      <w:bookmarkStart w:id="531" w:name="Tc_2-Y9NbYS2Ee_ILvqi0Sb-w_5_14"/>
      <w:bookmarkStart w:id="532" w:name="Tc_YBkpXsZlWUypHTiEAvpwtA_5_8"/>
      <w:bookmarkStart w:id="533" w:name="Tc_znFMYLvRYUmJmyYuxqWRww_5_0"/>
      <w:bookmarkStart w:id="534" w:name="Tc_U33BkIUwXUeyV1vgLMWQOA_4_14"/>
      <w:bookmarkStart w:id="535" w:name="Tc_Ns5uIiENn0yFR2jKlWeaoA_4_8"/>
      <w:bookmarkStart w:id="536" w:name="Tc_zUxscTw95kWkeGIzEeAklQ_4_5"/>
      <w:bookmarkStart w:id="537" w:name="Tc_fbluI8SVy0qrqukFfzk2jg_4_0"/>
      <w:bookmarkStart w:id="538" w:name="Tc_6nqHO38USkqYiVC5GfzTxA_3_16"/>
      <w:bookmarkStart w:id="539" w:name="Tc_OzTp2GM2BE2EkKuFKL0j6w_3_13"/>
      <w:bookmarkStart w:id="540" w:name="Tc_albvvAYBhUaenFnedGJm4Q_3_10"/>
      <w:bookmarkStart w:id="541" w:name="Tc_QOp-bLR2AkOTBQF6ZSIfiA_3_7"/>
      <w:bookmarkStart w:id="542" w:name="Tc_M-ITF1nH_kW-kuc9WA8IBQ_3_4"/>
      <w:bookmarkStart w:id="543" w:name="Tc__Eaa7q1XuEOivQkGoH0oAw_3_0"/>
      <w:bookmarkStart w:id="544" w:name="Tc_130cFhrup0Od0rTyVT5kdQ_2_16"/>
      <w:bookmarkStart w:id="545" w:name="Tc_6l-jA9BnGkq0X0TSG9-v4A_2_13"/>
      <w:bookmarkStart w:id="546" w:name="Tc_4ERKKhZEmEG5Zg0yafwfGw_2_10"/>
      <w:bookmarkStart w:id="547" w:name="Tc_31H0Glwaoke-zfw2mJT5wg_2_7"/>
      <w:bookmarkStart w:id="548" w:name="Tc_wHvSxEwn-EWxDNDRRZHdmA_2_4"/>
      <w:bookmarkStart w:id="549" w:name="Tc_N-cD7nb1BU25Dmj3elAl_g_2_2"/>
      <w:bookmarkStart w:id="550" w:name="Tc_ol6BYA6IkkGCAGFPU4cmuQ_1_13"/>
      <w:bookmarkStart w:id="551" w:name="Tc_dpnZOlVGR06LB4G05LdCNA_1_10"/>
      <w:bookmarkStart w:id="552" w:name="Tc_ZVo43WUis0OG3qNToduaVQ_1_7"/>
      <w:bookmarkStart w:id="553" w:name="Tc_QDVHQsVAA0mSStiQZvrn_w_1_2"/>
      <w:bookmarkStart w:id="554" w:name="_44db5902_bfff_45be_9bb6_8833ac7df111"/>
      <w:bookmarkStart w:id="555" w:name="Tc_7U7Aag5KoUGrNe6N2oPCAQ_12_16"/>
      <w:bookmarkStart w:id="556" w:name="Tc_wXl1-GuzM0OgjhelWLc52A_12_13"/>
      <w:bookmarkStart w:id="557" w:name="Tc_E_N90HfHrUaPOM9aaP9tXw_12_10"/>
      <w:bookmarkStart w:id="558" w:name="Tc_2vDZf9KQKkS9jQohHzcc0g_12_7"/>
      <w:bookmarkStart w:id="559" w:name="Tc_gshW6QtO6EaPRYyXGftOiA_12_4"/>
      <w:bookmarkStart w:id="560" w:name="Tc_VBndTJbM_ECcmKLKgEMx4Q_12_0"/>
      <w:bookmarkStart w:id="561" w:name="Tc_mLj2YKbUpkyMu1LR5rRfgQ_11_11"/>
      <w:bookmarkStart w:id="562" w:name="Tc_UymSdKyTj0yuVgW97FDaBQ_11_8"/>
      <w:bookmarkStart w:id="563" w:name="Tc_6BEFwJ9yhUaFa5UAyhIPPw_11_5"/>
      <w:bookmarkStart w:id="564" w:name="Tc_GUzOBT439EKi35Gokw4UNA_11_2"/>
      <w:bookmarkStart w:id="565" w:name="Tc_22O7bRIRxk2obOz7Qnko1g_11_0"/>
      <w:bookmarkStart w:id="566" w:name="Tc_KyKGT7dFgkCNetdPD3BLpQ_10_14"/>
      <w:bookmarkStart w:id="567" w:name="Tc_4xTZvuwxDUSfkBfxdyyn6g_10_11"/>
      <w:bookmarkStart w:id="568" w:name="Tc_iNCt8_lAiEu_q5Tl92ZLOQ_10_5"/>
      <w:bookmarkStart w:id="569" w:name="Tc_67P4cllr3kuU8xFcpzK2Xg_10_2"/>
      <w:bookmarkStart w:id="570" w:name="Tc_9hXqH13dCUeefglQatWxsg_10_0"/>
      <w:bookmarkStart w:id="571" w:name="Tc_at2Uz7yOKky1GflvNoCOMQ_9_14"/>
      <w:bookmarkStart w:id="572" w:name="Tc_y-EQTmIF-k2UKuNIBLOWUg_9_8"/>
      <w:bookmarkStart w:id="573" w:name="Tc_JYAgKOlwZ0yqdKcD1PQvLQ_9_5"/>
      <w:bookmarkStart w:id="574" w:name="Tc_3DnG2bANKkiG9heA3PafRA_9_0"/>
      <w:bookmarkStart w:id="575" w:name="Tc_9vsqcqcLckmVq8X6jn9S6g_8_16"/>
      <w:bookmarkStart w:id="576" w:name="Tc_ahnOOhkIB02cXbf64-NSyA_8_13"/>
      <w:bookmarkStart w:id="577" w:name="Tc_axf5ATsOC02CspD1Nc8Upg_8_10"/>
      <w:bookmarkStart w:id="578" w:name="Tc_Cv3HqJ2BcEeU0YV9PMGrNw_8_7"/>
      <w:bookmarkStart w:id="579" w:name="Tc_bxjG56Y6jkGX11M9RS9fgA_8_4"/>
      <w:bookmarkStart w:id="580" w:name="Tc_BBS_b0DeYESqp78qeZgQzg_8_0"/>
      <w:bookmarkStart w:id="581" w:name="Tc_ZSPBCUaJ9UuwUdaERNsYJQ_7_11"/>
      <w:bookmarkStart w:id="582" w:name="Tc_M9eXIZz9ZEGS8rilet26HA_7_8"/>
      <w:bookmarkStart w:id="583" w:name="Tc_fJSq5Dedpk-KBx0iQjzhwQ_7_5"/>
      <w:bookmarkStart w:id="584" w:name="Tc__n0jphZM1EeN2YMhS6xzgQ_7_2"/>
      <w:bookmarkStart w:id="585" w:name="Tc_mYSE2LfBsUOW9c4p8sEQvA_7_0"/>
      <w:bookmarkStart w:id="586" w:name="Tc_I9zFW4suC0aNLrRbZtgGpw_6_14"/>
      <w:bookmarkStart w:id="587" w:name="Tc_h7fMpX-h_02iD_XoZxIfhA_6_11"/>
      <w:bookmarkStart w:id="588" w:name="Tc_ysQy3LfCEEG3Mv2TYY1qUA_6_5"/>
      <w:bookmarkStart w:id="589" w:name="Tc_DoedSbTqCUmpxZ8o39K7Mg_6_2"/>
      <w:bookmarkStart w:id="590" w:name="Tc__i31Z6EghUK1cHCh4cbBfA_6_0"/>
      <w:bookmarkStart w:id="591" w:name="Tc_2-Y9NbYS2Ee_ILvqi0Sb-w_5_14"/>
      <w:bookmarkStart w:id="592" w:name="Tc_YBkpXsZlWUypHTiEAvpwtA_5_8"/>
      <w:bookmarkStart w:id="593" w:name="Tc_znFMYLvRYUmJmyYuxqWRww_5_0"/>
      <w:bookmarkStart w:id="594" w:name="Tc_U33BkIUwXUeyV1vgLMWQOA_4_14"/>
      <w:bookmarkStart w:id="595" w:name="Tc_Ns5uIiENn0yFR2jKlWeaoA_4_8"/>
      <w:bookmarkStart w:id="596" w:name="Tc_zUxscTw95kWkeGIzEeAklQ_4_5"/>
      <w:bookmarkStart w:id="597" w:name="Tc_fbluI8SVy0qrqukFfzk2jg_4_0"/>
      <w:bookmarkStart w:id="598" w:name="Tc_6nqHO38USkqYiVC5GfzTxA_3_16"/>
      <w:bookmarkStart w:id="599" w:name="Tc_OzTp2GM2BE2EkKuFKL0j6w_3_13"/>
      <w:bookmarkStart w:id="600" w:name="Tc_albvvAYBhUaenFnedGJm4Q_3_10"/>
      <w:bookmarkStart w:id="601" w:name="Tc_QOp-bLR2AkOTBQF6ZSIfiA_3_7"/>
      <w:bookmarkStart w:id="602" w:name="Tc_M-ITF1nH_kW-kuc9WA8IBQ_3_4"/>
      <w:bookmarkStart w:id="603" w:name="Tc__Eaa7q1XuEOivQkGoH0oAw_3_0"/>
      <w:bookmarkStart w:id="604" w:name="Tc_130cFhrup0Od0rTyVT5kdQ_2_16"/>
      <w:bookmarkStart w:id="605" w:name="Tc_6l-jA9BnGkq0X0TSG9-v4A_2_13"/>
      <w:bookmarkStart w:id="606" w:name="Tc_4ERKKhZEmEG5Zg0yafwfGw_2_10"/>
      <w:bookmarkStart w:id="607" w:name="Tc_31H0Glwaoke-zfw2mJT5wg_2_7"/>
      <w:bookmarkStart w:id="608" w:name="Tc_wHvSxEwn-EWxDNDRRZHdmA_2_4"/>
      <w:bookmarkStart w:id="609" w:name="Tc_N-cD7nb1BU25Dmj3elAl_g_2_2"/>
      <w:bookmarkStart w:id="610" w:name="Tc_ol6BYA6IkkGCAGFPU4cmuQ_1_13"/>
      <w:bookmarkStart w:id="611" w:name="Tc_dpnZOlVGR06LB4G05LdCNA_1_10"/>
      <w:bookmarkStart w:id="612" w:name="Tc_ZVo43WUis0OG3qNToduaVQ_1_7"/>
      <w:bookmarkStart w:id="613" w:name="Tc_QDVHQsVAA0mSStiQZvrn_w_1_2"/>
      <w:bookmarkStart w:id="614" w:name="_44db5902_bfff_45be_9bb6_8833ac7df111"/>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tbl>
      <w:tblPr>
        <w:tblW w:w="10205" w:type="dxa"/>
        <w:jc w:val="left"/>
        <w:tblInd w:w="0" w:type="dxa"/>
        <w:tblLayout w:type="fixed"/>
        <w:tblCellMar>
          <w:top w:w="0" w:type="dxa"/>
          <w:left w:w="0" w:type="dxa"/>
          <w:bottom w:w="0" w:type="dxa"/>
          <w:right w:w="0" w:type="dxa"/>
        </w:tblCellMar>
      </w:tblPr>
      <w:tblGrid>
        <w:gridCol w:w="2586"/>
        <w:gridCol w:w="326"/>
        <w:gridCol w:w="1036"/>
        <w:gridCol w:w="326"/>
        <w:gridCol w:w="261"/>
        <w:gridCol w:w="430"/>
        <w:gridCol w:w="326"/>
        <w:gridCol w:w="211"/>
        <w:gridCol w:w="669"/>
        <w:gridCol w:w="109"/>
        <w:gridCol w:w="249"/>
        <w:gridCol w:w="922"/>
        <w:gridCol w:w="326"/>
        <w:gridCol w:w="211"/>
        <w:gridCol w:w="781"/>
        <w:gridCol w:w="326"/>
        <w:gridCol w:w="211"/>
        <w:gridCol w:w="899"/>
      </w:tblGrid>
      <w:tr>
        <w:trPr/>
        <w:tc>
          <w:tcPr>
            <w:tcW w:w="2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42110" cy="175260"/>
                      <wp:effectExtent l="0" t="0" r="0" b="0"/>
                      <wp:wrapNone/>
                      <wp:docPr id="52" name="Frame52"/>
                      <a:graphic xmlns:a="http://schemas.openxmlformats.org/drawingml/2006/main">
                        <a:graphicData uri="http://schemas.microsoft.com/office/word/2010/wordprocessingShape">
                          <wps:wsp>
                            <wps:cNvSpPr txBox="1"/>
                            <wps:spPr>
                              <a:xfrm>
                                <a:off x="0" y="0"/>
                                <a:ext cx="164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5735" cy="175260"/>
                      <wp:effectExtent l="0" t="0" r="0" b="0"/>
                      <wp:wrapNone/>
                      <wp:docPr id="56" name="Frame5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73050" cy="175260"/>
                      <wp:effectExtent l="0" t="0" r="0" b="0"/>
                      <wp:wrapNone/>
                      <wp:docPr id="57" name="Frame5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24815" cy="175260"/>
                      <wp:effectExtent l="0" t="0" r="0" b="0"/>
                      <wp:wrapNone/>
                      <wp:docPr id="60" name="Frame60"/>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85470" cy="175260"/>
                      <wp:effectExtent l="0" t="0" r="0" b="0"/>
                      <wp:wrapNone/>
                      <wp:docPr id="63" name="Frame6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0865" cy="175260"/>
                      <wp:effectExtent l="0" t="0" r="0" b="0"/>
                      <wp:wrapNone/>
                      <wp:docPr id="69" name="Frame6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24,843,494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436,735</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24,852,740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450,361</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24,860,090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463,219</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consumers, through its own retail stores, and to dealers and mobile home parks.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condensed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condensed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months and six months ended June 30, 2024 are not necessarily indicative of the results to be expected for the year ending December 31, 2024, or any other period. The accompanying balance sheet as of December 31, 2023 was derived from audited financial statements included in the Company's annual report on Form 10-K for the year ended December 31, 2023 (the “Form 10-K”), filed on March 15, 2024. The accompanying financial statements do not include all of the information and footnotes required by GAAP for annual financial statements. Accordingly, they should be read in conjunction with the audited financial statements and notes thereto included in the Form 10-K.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condensed financial statements primarily relate to the determination and valuation of accounts receivable, loans to mobile home parks, consumer loans receivable, other notes receivable, loans to dealers, inventory obsolescence, income taxes, fair value of financial instruments and contingent liabilities. Actual results could differ from these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chief operating decision maker, the Chief Executive Officer, are based upon analyses of our company as one operating segment.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MHP and dealer loans interest includes interest income from the consumer, MHP and dealer finance loan portfolios. Other revenue consists of contract deposit forfeitures, consignment fees, commercial lease rents, service fees and other miscellaneous income.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the provisions of Accounting Standards Codification (“ASC”) 718, </w:t>
      </w:r>
      <w:r>
        <w:rPr>
          <w:rFonts w:ascii="Times New Roman;Times;serif" w:hAnsi="Times New Roman;Times;serif"/>
          <w:i/>
          <w:sz w:val="20"/>
        </w:rPr>
        <w:t>Compensation—Stock Compensation</w:t>
      </w:r>
      <w:r>
        <w:rPr>
          <w:rFonts w:ascii="Times New Roman;Times;serif" w:hAnsi="Times New Roman;Times;serif"/>
          <w:sz w:val="20"/>
        </w:rPr>
        <w:t>. Share-based compensation expense is recognized based on an award’s estimated 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00"/>
        <w:ind w:left="0" w:right="0" w:firstLine="720"/>
        <w:jc w:val="left"/>
        <w:rPr/>
      </w:pPr>
      <w:r>
        <w:rPr/>
        <w:t>“</w:t>
      </w:r>
      <w:r>
        <w:rPr>
          <w:rFonts w:ascii="Times New Roman;Times;serif" w:hAnsi="Times New Roman;Times;serif"/>
          <w:sz w:val="20"/>
        </w:rPr>
        <w:t xml:space="preserve">Accounts receivable, net” includes receivables from direct sales of mobile homes, sales of parts and supplies to customers, inventory finance fees and interest.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June 30, 2024, December 31, 2023 and December 31, 2022, the allowance for doubtful accounts totaled $601, $651 and $279,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Leased Property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offers mobile home park operators the opportunity to lease mobile homes for rent in lieu of purchasing the homes for cash or under a longer-term financing agreement. In this arrangement, the title for the mobile homes remains with the Company, and the lease is accounted for as an operating lease.</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bookmarkStart w:id="615" w:name="Tc_oADxrw8llES3Skrl9w11FQ_6_12"/>
      <w:bookmarkStart w:id="616" w:name="Tc_N6Kel1CitUifjU3Ho4hSmw_6_9"/>
      <w:bookmarkStart w:id="617" w:name="Tc_r1hOVpujMUyM9nWonhcdEQ_6_5"/>
      <w:bookmarkStart w:id="618" w:name="Tc_3EHxXE2glUaqvYsc45_j4Q_6_2"/>
      <w:bookmarkStart w:id="619" w:name="Tc_Vcxr92tMo02Q-sG8MUErEQ_6_0"/>
      <w:bookmarkStart w:id="620" w:name="Tc_0dm36x36ZUWtUxBi1LCv-Q_5_0"/>
      <w:bookmarkStart w:id="621" w:name="Tc_7nfWbKvwJk-FPMmmpowSJg_4_0"/>
      <w:bookmarkStart w:id="622" w:name="Tc_48fpFHWEekSTtMOWQkheAg_3_12"/>
      <w:bookmarkStart w:id="623" w:name="Tc__MNYulrBM0KlTraEpLrMVw_3_9"/>
      <w:bookmarkStart w:id="624" w:name="Tc_h2c38QvmDUmet-SBh867Lw_3_5"/>
      <w:bookmarkStart w:id="625" w:name="Tc_5QQK-4LkvES92z7als1ixQ_3_2"/>
      <w:bookmarkStart w:id="626" w:name="Tc_Dj5U1NyYj0-PEeGuB_1sdw_3_0"/>
      <w:bookmarkStart w:id="627" w:name="Tc_v0J09O9Ss0uqRQUYQOmnww_2_12"/>
      <w:bookmarkStart w:id="628" w:name="Tc_cSt9-ETuykCAN1AQxhwaaw_2_9"/>
      <w:bookmarkStart w:id="629" w:name="Tc_VDBuF4UgZUeGNtgXMMtr9g_2_5"/>
      <w:bookmarkStart w:id="630" w:name="Tc_k78L8gFxsk2yYAE4iG6qhA_2_2"/>
      <w:bookmarkStart w:id="631" w:name="Tc_IJQ2QNHVYEuG_yJVIXYxIQ_1_9"/>
      <w:bookmarkStart w:id="632" w:name="Tc_X7isXvzzwkiSi4qINw0v6A_1_2"/>
      <w:bookmarkStart w:id="633" w:name="Tc_Yrnep7jpYkS6gfNAfynH-g_7_2"/>
      <w:bookmarkStart w:id="634" w:name="Tc_9C4Jw5QsDEiP36byzOcwsw_7_0"/>
      <w:bookmarkStart w:id="635" w:name="Tc_Qh9pSaWNd0eEJw7huA44JA_6_0"/>
      <w:bookmarkStart w:id="636" w:name="Tc_RrBlKXeIDkK66n4sLOX6Uw_5_0"/>
      <w:bookmarkStart w:id="637" w:name="Tc_h0b34x_CKkGjayQ8V1WBHw_4_0"/>
      <w:bookmarkStart w:id="638" w:name="Tc_P8VR3afRukKKHvPAeL5QNw_3_0"/>
      <w:bookmarkStart w:id="639" w:name="Tc_TGozs1k16EiHY4X_2r3rqA_2_0"/>
      <w:bookmarkStart w:id="640" w:name="Tc_9WF9dvSpikaClDsPzaqOEA_1_2"/>
      <w:bookmarkStart w:id="641" w:name="Tc__3y7V_srF0S3Mi9iHHI2-A_1_0"/>
      <w:bookmarkStart w:id="642" w:name="_8d4c732b_708b_41b6_b5ec_19ba65bd9ac9"/>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sz w:val="20"/>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leased mobile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 Depreciation expense for the leased property was $169 and $157 for the three months ended June 30, 2024 and 2023, respectively, and $294 and $317 for the six months ended June 30, 2024 and 2023, respectively.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Future minimum lease income under all operating leases for each of the next five years at June 30, 2024, is as follows:</w:t>
      </w:r>
    </w:p>
    <w:tbl>
      <w:tblPr>
        <w:tblW w:w="2171" w:type="dxa"/>
        <w:jc w:val="left"/>
        <w:tblInd w:w="0" w:type="dxa"/>
        <w:tblLayout w:type="fixed"/>
        <w:tblCellMar>
          <w:top w:w="0" w:type="dxa"/>
          <w:left w:w="0" w:type="dxa"/>
          <w:bottom w:w="0" w:type="dxa"/>
          <w:right w:w="0" w:type="dxa"/>
        </w:tblCellMar>
      </w:tblPr>
      <w:tblGrid>
        <w:gridCol w:w="946"/>
        <w:gridCol w:w="326"/>
        <w:gridCol w:w="211"/>
        <w:gridCol w:w="68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0710" cy="175260"/>
                      <wp:effectExtent l="0" t="0" r="0" b="0"/>
                      <wp:wrapNone/>
                      <wp:docPr id="70" name="Frame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6880" cy="175260"/>
                      <wp:effectExtent l="0" t="0" r="0" b="0"/>
                      <wp:wrapNone/>
                      <wp:docPr id="73" name="Frame7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5,453</w:t>
            </w:r>
          </w:p>
        </w:tc>
      </w:tr>
    </w:tbl>
    <w:p>
      <w:pPr>
        <w:pStyle w:val="TextBody"/>
        <w:bidi w:val="0"/>
        <w:spacing w:before="0" w:after="12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Product Warranties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provides retail home buyers with a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within the warranty liability for the three and six months ended June 30, 2024 and 2023:</w:t>
      </w:r>
    </w:p>
    <w:p>
      <w:pPr>
        <w:pStyle w:val="TextBody"/>
        <w:bidi w:val="0"/>
        <w:spacing w:before="0" w:after="120"/>
        <w:ind w:left="0" w:right="0" w:firstLine="720"/>
        <w:jc w:val="left"/>
        <w:rPr/>
      </w:pPr>
      <w:r>
        <w:rPr/>
        <w:t>​</w:t>
      </w:r>
    </w:p>
    <w:tbl>
      <w:tblPr>
        <w:tblW w:w="8572" w:type="dxa"/>
        <w:jc w:val="left"/>
        <w:tblInd w:w="0" w:type="dxa"/>
        <w:tblLayout w:type="fixed"/>
        <w:tblCellMar>
          <w:top w:w="0" w:type="dxa"/>
          <w:left w:w="0" w:type="dxa"/>
          <w:bottom w:w="0" w:type="dxa"/>
          <w:right w:w="0" w:type="dxa"/>
        </w:tblCellMar>
      </w:tblPr>
      <w:tblGrid>
        <w:gridCol w:w="3616"/>
        <w:gridCol w:w="109"/>
        <w:gridCol w:w="252"/>
        <w:gridCol w:w="684"/>
        <w:gridCol w:w="390"/>
        <w:gridCol w:w="252"/>
        <w:gridCol w:w="684"/>
        <w:gridCol w:w="146"/>
        <w:gridCol w:w="326"/>
        <w:gridCol w:w="217"/>
        <w:gridCol w:w="587"/>
        <w:gridCol w:w="335"/>
        <w:gridCol w:w="217"/>
        <w:gridCol w:w="757"/>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6160" cy="175260"/>
                      <wp:effectExtent l="0" t="0" r="0" b="0"/>
                      <wp:wrapNone/>
                      <wp:docPr id="74" name="Frame74"/>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0020" cy="175260"/>
                      <wp:effectExtent l="0" t="0" r="0" b="0"/>
                      <wp:wrapNone/>
                      <wp:docPr id="76" name="Frame7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4340" cy="175260"/>
                      <wp:effectExtent l="0" t="0" r="0" b="0"/>
                      <wp:wrapNone/>
                      <wp:docPr id="77" name="Frame7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7650" cy="175260"/>
                      <wp:effectExtent l="0" t="0" r="0" b="0"/>
                      <wp:wrapNone/>
                      <wp:docPr id="78" name="Frame78"/>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0020" cy="175260"/>
                      <wp:effectExtent l="0" t="0" r="0" b="0"/>
                      <wp:wrapNone/>
                      <wp:docPr id="79" name="Frame7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4340" cy="175260"/>
                      <wp:effectExtent l="0" t="0" r="0" b="0"/>
                      <wp:wrapNone/>
                      <wp:docPr id="80" name="Frame8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81" name="Frame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7795" cy="175260"/>
                      <wp:effectExtent l="0" t="0" r="0" b="0"/>
                      <wp:wrapNone/>
                      <wp:docPr id="83" name="Frame8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2745" cy="175260"/>
                      <wp:effectExtent l="0" t="0" r="0" b="0"/>
                      <wp:wrapNone/>
                      <wp:docPr id="84" name="Frame84"/>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2725" cy="175260"/>
                      <wp:effectExtent l="0" t="0" r="0" b="0"/>
                      <wp:wrapNone/>
                      <wp:docPr id="85" name="Frame8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7795" cy="175260"/>
                      <wp:effectExtent l="0" t="0" r="0" b="0"/>
                      <wp:wrapNone/>
                      <wp:docPr id="86" name="Frame8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0695" cy="175260"/>
                      <wp:effectExtent l="0" t="0" r="0" b="0"/>
                      <wp:wrapNone/>
                      <wp:docPr id="87" name="Frame87"/>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5" w:type="dxa"/>
            <w:tcBorders/>
            <w:vAlign w:val="center"/>
          </w:tcPr>
          <w:p>
            <w:pPr>
              <w:pStyle w:val="TableContents"/>
              <w:bidi w:val="0"/>
              <w:spacing w:before="0" w:after="0"/>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warranty reserve accrued (released)</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end of period</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2,829</w:t>
            </w:r>
          </w:p>
        </w:tc>
      </w:tr>
    </w:tbl>
    <w:p>
      <w:pPr>
        <w:pStyle w:val="TextBody"/>
        <w:bidi w:val="0"/>
        <w:spacing w:before="0" w:after="120"/>
        <w:ind w:left="0" w:right="0" w:hanging="0"/>
        <w:jc w:val="left"/>
        <w:rPr/>
      </w:pPr>
      <w:r>
        <w:rPr/>
        <w:t>​</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2016, the FASB issued ASU 2016 13 Financial Instruments—Credit Losses (Topic 326): Measurement of Credit Losses on Financial Instruments, which 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 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 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2022, the FASB issued ASU 2022-06, Reference Rate Reform (Topic 848): Deferral of the Sunset Date of Topic 848. The amendments in this update extend the transition relief period for reference rate reform from December 31, 2022 to December 31, 2024. The 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(“ASU 2023-07”). ASU 2023-07 aims to improve reportable segment disclosure requirements, 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currently are evaluating the impact of ASU 2023-07 on our financial statements.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643" w:name="Tc_u1TGBbx-v0GAdOxxsUq9XQ_7_0"/>
      <w:bookmarkStart w:id="644" w:name="Tc_avXMLkOKS0KBE34lO8ESag_6_12"/>
      <w:bookmarkStart w:id="645" w:name="Tc_t6Cth9NjdUKapvCnKJ_Jnw_6_7"/>
      <w:bookmarkStart w:id="646" w:name="Tc_Figz6O0SJkORHVRhkG5ZJw_6_2"/>
      <w:bookmarkStart w:id="647" w:name="Tc_Pkhp1g4WvkWsXmPHJNiuFg_6_0"/>
      <w:bookmarkStart w:id="648" w:name="Tc_kbISgIwlPUSrDe0TXDHjmg_5_20"/>
      <w:bookmarkStart w:id="649" w:name="Tc_tYtvFkZZA0OFarPKQj1Fsg_5_17"/>
      <w:bookmarkStart w:id="650" w:name="Tc_pYpRmoIeY0Wh3B8wj9FiKw_5_15"/>
      <w:bookmarkStart w:id="651" w:name="Tc_T0Vg3oaWhEidskQNp0WkFA_5_12"/>
      <w:bookmarkStart w:id="652" w:name="Tc_2XXOcT6DuU2vAqP9YZbyjg_5_10"/>
      <w:bookmarkStart w:id="653" w:name="Tc_h7zfhCLLcUam-MPjquJkHQ_5_7"/>
      <w:bookmarkStart w:id="654" w:name="Tc_9odTtMIMLkWg5hbtd-BlWw_5_5"/>
      <w:bookmarkStart w:id="655" w:name="Tc_RkAd0kfLvE-cx3-T_aj-KQ_5_2"/>
      <w:bookmarkStart w:id="656" w:name="Tc_--aacdVrFEC0MgRZtSEpeA_4_20"/>
      <w:bookmarkStart w:id="657" w:name="Tc_akU8HFmVWUmqSuw54lBebA_4_15"/>
      <w:bookmarkStart w:id="658" w:name="Tc_NX4meGUgBUayj6Z8ZZ6YSQ_4_10"/>
      <w:bookmarkStart w:id="659" w:name="Tc_nXM_EtMTO0um-oAZyyed6g_4_5"/>
      <w:bookmarkStart w:id="660" w:name="Tc_KvnPksRjjEyRT2DcN3_c3w_3_20"/>
      <w:bookmarkStart w:id="661" w:name="Tc_Cn9qD-ShmUu9OeHtJ__Sjw_3_15"/>
      <w:bookmarkStart w:id="662" w:name="Tc_pblYZJJhN0WwUf5uoOLdxA_3_10"/>
      <w:bookmarkStart w:id="663" w:name="Tc_BBAyAUPGrkShZVmbN6YYCA_3_5"/>
      <w:bookmarkStart w:id="664" w:name="Tc_jaeZ69ZXkECwFA03pmWWZQ_2_17"/>
      <w:bookmarkStart w:id="665" w:name="Tc_yUO9VYY9D0GQzNK4wsTp6Q_2_12"/>
      <w:bookmarkStart w:id="666" w:name="Tc_yjYK5L8wREapco2MxIG0Fw_2_7"/>
      <w:bookmarkStart w:id="667" w:name="Tc_C6_T1TZxckqwb45KioOlAQ_2_2"/>
      <w:bookmarkStart w:id="668" w:name="Tc_koFg7_rwS0yRpYWddpIqaQ_1_12"/>
      <w:bookmarkStart w:id="669" w:name="Tc_qA7CRQojrk2rBX6alHx_kA_1_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ascii="Times New Roman;Times;serif" w:hAnsi="Times New Roman;Times;serif"/>
          <w:sz w:val="20"/>
        </w:rPr>
        <w:t xml:space="preserve">make a down payment. These financed sales contain a significant financing component and any interest income is recorded separately in the statement of income.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is measured as the amount of consideration expected to be received in exchange for transferring the homes to the customers. Sales and other similar taxes collected concurrently with revenue-producing activities are excluded from revenue.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and contract costs were $381 and $765 for the three months ended June 30, 2024 and 2023, respectively, and $813 and $1,394 for the six months ended June 30, 2024 and 2023,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2024 and 2023, total cost of product sales included $1,340 and $3,949 of costs relating to </w:t>
      </w:r>
      <w:r>
        <w:rPr>
          <w:rFonts w:ascii="Times New Roman;Times;serif" w:hAnsi="Times New Roman;Times;serif"/>
          <w:color w:val="222222"/>
          <w:sz w:val="20"/>
          <w:shd w:fill="FFFFFF" w:val="clear"/>
        </w:rPr>
        <w:t xml:space="preserve">subcontracted production for commercial sales, transportation and delivery costs, and certain other costs incurred for retail store and commercial sales. </w:t>
      </w:r>
      <w:r>
        <w:rPr>
          <w:rFonts w:ascii="Times New Roman;Times;serif" w:hAnsi="Times New Roman;Times;serif"/>
          <w:sz w:val="20"/>
        </w:rPr>
        <w:t xml:space="preserve">For the six months ended June 30, 2024 and 2023, total cost of product sales included $2,748 and $6,573 of costs relating to </w:t>
      </w:r>
      <w:r>
        <w:rPr>
          <w:rFonts w:ascii="Times New Roman;Times;serif" w:hAnsi="Times New Roman;Times;serif"/>
          <w:color w:val="222222"/>
          <w:sz w:val="20"/>
          <w:shd w:fill="FFFFFF" w:val="clear"/>
        </w:rPr>
        <w:t>subcontracted production for commercial sales, transportation and delivery costs, and certain other costs incurred for retail store and commercial sales.</w:t>
      </w:r>
      <w:r>
        <w:rPr>
          <w:rFonts w:ascii="Times New Roman;Times;serif" w:hAnsi="Times New Roman;Times;serif"/>
          <w:sz w:val="20"/>
        </w:rPr>
        <w:t xml:space="preserv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Other revenue consists of contract deposit forfeitures, consignment fees, commercial lease rents,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Sales Concentration. The following table presents mobile home park (“MHP”) sales to independent third parties and their affiliates that are greater than 5.0% of our total product sales for the three and six months ended June 30, 2024 and 2023:</w:t>
      </w:r>
    </w:p>
    <w:p>
      <w:pPr>
        <w:pStyle w:val="TextBody"/>
        <w:bidi w:val="0"/>
        <w:spacing w:before="0" w:after="0"/>
        <w:ind w:left="0" w:right="0" w:hanging="0"/>
        <w:jc w:val="left"/>
        <w:rPr/>
      </w:pPr>
      <w:r>
        <w:rPr/>
        <w:t>​</w:t>
      </w:r>
    </w:p>
    <w:tbl>
      <w:tblPr>
        <w:tblW w:w="9533" w:type="dxa"/>
        <w:jc w:val="left"/>
        <w:tblInd w:w="0" w:type="dxa"/>
        <w:tblLayout w:type="fixed"/>
        <w:tblCellMar>
          <w:top w:w="0" w:type="dxa"/>
          <w:left w:w="0" w:type="dxa"/>
          <w:bottom w:w="0" w:type="dxa"/>
          <w:right w:w="0" w:type="dxa"/>
        </w:tblCellMar>
      </w:tblPr>
      <w:tblGrid>
        <w:gridCol w:w="1921"/>
        <w:gridCol w:w="109"/>
        <w:gridCol w:w="211"/>
        <w:gridCol w:w="571"/>
        <w:gridCol w:w="326"/>
        <w:gridCol w:w="691"/>
        <w:gridCol w:w="109"/>
        <w:gridCol w:w="211"/>
        <w:gridCol w:w="571"/>
        <w:gridCol w:w="326"/>
        <w:gridCol w:w="691"/>
        <w:gridCol w:w="109"/>
        <w:gridCol w:w="211"/>
        <w:gridCol w:w="571"/>
        <w:gridCol w:w="326"/>
        <w:gridCol w:w="691"/>
        <w:gridCol w:w="109"/>
        <w:gridCol w:w="146"/>
        <w:gridCol w:w="571"/>
        <w:gridCol w:w="326"/>
        <w:gridCol w:w="73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19835" cy="175260"/>
                      <wp:effectExtent l="0" t="0" r="0" b="0"/>
                      <wp:wrapNone/>
                      <wp:docPr id="88" name="Frame8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62585" cy="175260"/>
                      <wp:effectExtent l="0" t="0" r="0" b="0"/>
                      <wp:wrapNone/>
                      <wp:docPr id="91"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3" name="Frame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8785" cy="175260"/>
                      <wp:effectExtent l="0" t="0" r="0" b="0"/>
                      <wp:wrapNone/>
                      <wp:docPr id="98" name="Frame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103"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2710" cy="175260"/>
                      <wp:effectExtent l="0" t="0" r="0" b="0"/>
                      <wp:wrapNone/>
                      <wp:docPr id="105" name="Frame1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67360" cy="175260"/>
                      <wp:effectExtent l="0" t="0" r="0" b="0"/>
                      <wp:wrapNone/>
                      <wp:docPr id="108" name="Frame1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07"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1"/>
              <w:ind w:left="0" w:right="0" w:hanging="0"/>
              <w:jc w:val="left"/>
              <w:rPr/>
            </w:pPr>
            <w:r>
              <w:rPr/>
              <w:t>​</w:t>
            </w:r>
          </w:p>
        </w:tc>
        <w:tc>
          <w:tcPr>
            <w:tcW w:w="3687"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7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3rd party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9,534</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Independent 3rd party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2,114</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bl>
    <w:p>
      <w:pPr>
        <w:pStyle w:val="TextBody"/>
        <w:bidi w:val="0"/>
        <w:spacing w:before="0" w:after="200"/>
        <w:ind w:left="0" w:right="0" w:firstLine="720"/>
        <w:jc w:val="left"/>
        <w:rPr/>
      </w:pPr>
      <w:r>
        <w:rPr/>
        <w: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No other MHP customer accounted for more than 5.0% of our total product sales.</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670" w:name="Tc_BpyzDeeo7EetDrutMtPZDA_17_11"/>
      <w:bookmarkStart w:id="671" w:name="Tc_vzdVtfm49kS2cG9D9CZR8g_17_8"/>
      <w:bookmarkStart w:id="672" w:name="Tc_ryExXhp7x02Pbpb5Otonog_17_5"/>
      <w:bookmarkStart w:id="673" w:name="Tc_EyCwnj1hkkeh4mRz_KsTxA_17_2"/>
      <w:bookmarkStart w:id="674" w:name="Tc_6oOLcAUv_kihixs2EfmljQ_17_0"/>
      <w:bookmarkStart w:id="675" w:name="Tc_G_f4wbcqd0qjqsOYSj_s0g_16_0"/>
      <w:bookmarkStart w:id="676" w:name="Tc_YezuV-IHEEm7YIE3to-JrQ_15_0"/>
      <w:bookmarkStart w:id="677" w:name="Tc_7Ih6f4aUpUi-fxl6q5gjTg_14_12"/>
      <w:bookmarkStart w:id="678" w:name="Tc_NWGER4d6s0COvh34vfpU-w_14_6"/>
      <w:bookmarkStart w:id="679" w:name="Tc_LDnEw6TdMEaNchcJ88UYMg_14_0"/>
      <w:bookmarkStart w:id="680" w:name="Tc_S_efZ-aDlU2yHHi09XvzkA_13_0"/>
      <w:bookmarkStart w:id="681" w:name="Tc_TiEvYnQ0CEGFzIDls65Ofw_12_0"/>
      <w:bookmarkStart w:id="682" w:name="Tc_QrIuACOe3kSKEgttWanjxg_11_0"/>
      <w:bookmarkStart w:id="683" w:name="Tc_4Up8NGMU_EGdMD8g4M3ELw_10_0"/>
      <w:bookmarkStart w:id="684" w:name="Tc_6ptMjDRbKkGU42Mq1krouw_9_0"/>
      <w:bookmarkStart w:id="685" w:name="Tc_nucCDvNPT0iRpzu6JWAi-g_8_0"/>
      <w:bookmarkStart w:id="686" w:name="Tc_tYsziJ0Lnk6HT3hp-DEmQg_7_0"/>
      <w:bookmarkStart w:id="687" w:name="Tc_TSYZ0042D0qm61l3u-c0AA_6_0"/>
      <w:bookmarkStart w:id="688" w:name="Tc_cJSCx_pBLEOq0-RvQn5kmg_5_11"/>
      <w:bookmarkStart w:id="689" w:name="Tc_zbTjxfPR-UuDQlwnfJGnyQ_5_8"/>
      <w:bookmarkStart w:id="690" w:name="Tc_l6KU79i1_E6MjEDbJjnwTg_5_5"/>
      <w:bookmarkStart w:id="691" w:name="Tc_SanN4pcmV0yjHIWl0EC9mA_5_2"/>
      <w:bookmarkStart w:id="692" w:name="Tc_FuljjZvpLU25FD8CrwHi0A_5_0"/>
      <w:bookmarkStart w:id="693" w:name="Tc_W9fc_M5huk-ox6zJx-nXiw_4_0"/>
      <w:bookmarkStart w:id="694" w:name="Tc_xTxDq01mvEigux6i8GjWNQ_3_11"/>
      <w:bookmarkStart w:id="695" w:name="Tc_A48gMSHNxkOAm_1kcGrbPg_3_8"/>
      <w:bookmarkStart w:id="696" w:name="Tc_gnfLAVikpk6gHPNd9PBnKA_3_5"/>
      <w:bookmarkStart w:id="697" w:name="Tc_h3GNHeXOHUyaGAeXzIl_CA_3_2"/>
      <w:bookmarkStart w:id="698" w:name="Tc_kyrXF0ONi0Ky0UaFvjONdA_2_8"/>
      <w:bookmarkStart w:id="699" w:name="Tc_MwOqexRf-EqudwRp_0LRyw_2_2"/>
      <w:bookmarkStart w:id="700" w:name="Tc_-UTyO6X3s0eyfegd8b0Gig_1_8"/>
      <w:bookmarkStart w:id="701" w:name="Tc_FTpvxt0O2k6Z_uY6KBP5kw_1_2"/>
      <w:bookmarkStart w:id="702" w:name="_ded46cf4_4195_4e2e_853a_24a715dba9c7"/>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sz w:val="20"/>
        </w:rPr>
        <w:t>Disaggregation of Revenue. The following table summarizes customer contract revenues disaggregated by the source of the revenue for the three and six months ended June 30, 2024 and 2023:</w:t>
      </w:r>
    </w:p>
    <w:p>
      <w:pPr>
        <w:pStyle w:val="TextBody"/>
        <w:bidi w:val="0"/>
        <w:spacing w:before="0" w:after="0"/>
        <w:ind w:left="0" w:right="0" w:hanging="0"/>
        <w:jc w:val="left"/>
        <w:rPr/>
      </w:pPr>
      <w:r>
        <w:rPr/>
        <w:t>​</w:t>
      </w:r>
    </w:p>
    <w:tbl>
      <w:tblPr>
        <w:tblW w:w="8541" w:type="dxa"/>
        <w:jc w:val="left"/>
        <w:tblInd w:w="0" w:type="dxa"/>
        <w:tblLayout w:type="fixed"/>
        <w:tblCellMar>
          <w:top w:w="0" w:type="dxa"/>
          <w:left w:w="0" w:type="dxa"/>
          <w:bottom w:w="0" w:type="dxa"/>
          <w:right w:w="0" w:type="dxa"/>
        </w:tblCellMar>
      </w:tblPr>
      <w:tblGrid>
        <w:gridCol w:w="3901"/>
        <w:gridCol w:w="109"/>
        <w:gridCol w:w="211"/>
        <w:gridCol w:w="676"/>
        <w:gridCol w:w="326"/>
        <w:gridCol w:w="211"/>
        <w:gridCol w:w="676"/>
        <w:gridCol w:w="109"/>
        <w:gridCol w:w="211"/>
        <w:gridCol w:w="676"/>
        <w:gridCol w:w="326"/>
        <w:gridCol w:w="211"/>
        <w:gridCol w:w="89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77135" cy="175260"/>
                      <wp:effectExtent l="0" t="0" r="0" b="0"/>
                      <wp:wrapNone/>
                      <wp:docPr id="109" name="Frame10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9260" cy="175260"/>
                      <wp:effectExtent l="0" t="0" r="0" b="0"/>
                      <wp:wrapNone/>
                      <wp:docPr id="118"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0230" cy="175260"/>
                      <wp:effectExtent l="0" t="0" r="0" b="0"/>
                      <wp:wrapNone/>
                      <wp:docPr id="121" name="Frame12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32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3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11,178</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31,458</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finance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29,290</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8,248</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product sales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85,497</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consumer installment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MHP notes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6,711</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dealer finance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105,493</w:t>
            </w:r>
          </w:p>
        </w:tc>
      </w:tr>
    </w:tbl>
    <w:tbl>
      <w:tblPr>
        <w:tblW w:w="9231" w:type="dxa"/>
        <w:jc w:val="left"/>
        <w:tblInd w:w="0" w:type="dxa"/>
        <w:tblLayout w:type="fixed"/>
        <w:tblCellMar>
          <w:top w:w="28" w:type="dxa"/>
          <w:left w:w="28" w:type="dxa"/>
          <w:bottom w:w="28" w:type="dxa"/>
          <w:right w:w="28" w:type="dxa"/>
        </w:tblCellMar>
      </w:tblPr>
      <w:tblGrid>
        <w:gridCol w:w="124"/>
        <w:gridCol w:w="331"/>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sales revenue from ancillary products and services including parts, freight and other services</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3. 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13.2% as of June 30, 2024 and December 31, 2023. Consumer loans receivable have maturities that range from 2 to 30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uses payment history to monitor the credit quality of the consumer loans on an ongoing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also receive escrow payments for property taxes and insurance included in its consumer loan collections. The liabilities associated with these escrow collections totaled $11,785 and $10,104 as of June 30, 2024 and December 31, 2023, respectively, and are included in escrow liability in the accompanying balance sheets.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Allowance for Loan Losses—Consumer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Collateral for repossessed loans is acquired through foreclosure or similar proceedings and is recorded at the estimated fair value of the home, less the costs to sell. At repossession, the collateral is recorded at the same amount as the principal balance as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$3,296 and $2,215 as of June 30, 2024 and December 31, 2023, respectively, and are included in other assets in the accompanying balance sheets.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703" w:name="Tc_nb1auFsxf0usY-et7aoWdQ_9_7"/>
      <w:bookmarkStart w:id="704" w:name="Tc_iIQcraUDVUuw8xk2-KD8fA_9_2"/>
      <w:bookmarkStart w:id="705" w:name="Tc_jSK2GECpJkmjpPXeeznEVA_9_0"/>
      <w:bookmarkStart w:id="706" w:name="Tc_i4bE2mGJM0yXiGAnmskiEg_8_0"/>
      <w:bookmarkStart w:id="707" w:name="Tc_WGJOrDSi-ki92cbcVvRs4g_7_0"/>
      <w:bookmarkStart w:id="708" w:name="Tc_GRCiRje7EESZQmg6x7Dd1g_6_0"/>
      <w:bookmarkStart w:id="709" w:name="Tc_xqBel7mcH0egSpEybEZYMQ_5_7"/>
      <w:bookmarkStart w:id="710" w:name="Tc_n0a70NJWQUKjqxPH2ggbdg_5_2"/>
      <w:bookmarkStart w:id="711" w:name="Tc_StJIfeO7e0ufjX4Il2ovqw_5_0"/>
      <w:bookmarkStart w:id="712" w:name="Tc_RLDa7ui4q0iSnU0InhfaEQ_4_0"/>
      <w:bookmarkStart w:id="713" w:name="Tc_bhgVvGWOmUKbTNWt0NOr1g_3_7"/>
      <w:bookmarkStart w:id="714" w:name="Tc_huuwkdmbRk-_FTF3x9Kquw_3_2"/>
      <w:bookmarkStart w:id="715" w:name="Tc_HhyupE1EA0iCaxGZj_pzUw_3_0"/>
      <w:bookmarkStart w:id="716" w:name="Tc_2WQvD-u8P0SHeC5rxpz4zQ_2_10"/>
      <w:bookmarkStart w:id="717" w:name="Tc_5d5LfmTgIUersexpnr4S3Q_2_7"/>
      <w:bookmarkStart w:id="718" w:name="Tc_wJi4fVwjsUOy2aYTL1zNRQ_2_5"/>
      <w:bookmarkStart w:id="719" w:name="Tc_3-r-xmwNL06ni5BWcbZHjQ_2_2"/>
      <w:bookmarkStart w:id="720" w:name="Tc_-VEjbasNikWrmVutojVA4Q_1_7"/>
      <w:bookmarkStart w:id="721" w:name="Tc_PwPJ59wSnkewsyjAyGK3sw_1_2"/>
      <w:bookmarkStart w:id="722" w:name="Tc_BXKPrAxxoE-__MgYiB7IfA_8_5"/>
      <w:bookmarkStart w:id="723" w:name="Tc_Gj69wg2k6Ema3CX4Qb58AQ_8_2"/>
      <w:bookmarkStart w:id="724" w:name="Tc_dYHmdf_N9Uq4cUFfUs05yg_8_0"/>
      <w:bookmarkStart w:id="725" w:name="Tc_ffJ5nx1MmkmLkHxKjuAPwg_7_5"/>
      <w:bookmarkStart w:id="726" w:name="Tc_fdSH2Hc290m74wqFGg4_Ig_7_2"/>
      <w:bookmarkStart w:id="727" w:name="Tc_LodUmiSBQ0emj_CNw-BSRg_7_0"/>
      <w:bookmarkStart w:id="728" w:name="Tc_a7_jJlSaCUuAVvQSI8ehpg_6_5"/>
      <w:bookmarkStart w:id="729" w:name="Tc_cZBYjXju_UObKV0Z5IFIzQ_6_2"/>
      <w:bookmarkStart w:id="730" w:name="Tc_sfefB5vvo0OEjGCG0koNpw_6_0"/>
      <w:bookmarkStart w:id="731" w:name="Tc_g5XpDXVh3EK7NKNo065f9g_5_5"/>
      <w:bookmarkStart w:id="732" w:name="Tc_3MkvxhgPIECwzATObrkJJA_5_2"/>
      <w:bookmarkStart w:id="733" w:name="Tc_7dW4dNycB0G0czN8ECmNQw_5_0"/>
      <w:bookmarkStart w:id="734" w:name="Tc_YI8GBojw2EaK2IdSx5-o3A_4_5"/>
      <w:bookmarkStart w:id="735" w:name="Tc_RHIyOSUipEaeyLHWDIVRgw_4_2"/>
      <w:bookmarkStart w:id="736" w:name="Tc_ZJeBdb3ey0Ssok-2A69xug_4_0"/>
      <w:bookmarkStart w:id="737" w:name="Tc_U2mnCqONXU69vl480osnWw_3_5"/>
      <w:bookmarkStart w:id="738" w:name="Tc_FtF8dy_MIEmTXj6zwgUu1w_3_2"/>
      <w:bookmarkStart w:id="739" w:name="Tc_bXrW7_9WTkSDzdkCpr_HEw_3_0"/>
      <w:bookmarkStart w:id="740" w:name="Tc_sAWZBRA8pEGuyEwqYFla6w_2_5"/>
      <w:bookmarkStart w:id="741" w:name="Tc_EJhLtzTCR0ipdY_98hMc5Q_2_2"/>
      <w:bookmarkStart w:id="742" w:name="Tc_8UEi4Q0GUU6gGuUk9PtA2w_1_5"/>
      <w:bookmarkStart w:id="743" w:name="Tc_QFWJDE8HWkWFEQjovrocKg_1_2"/>
      <w:bookmarkStart w:id="744" w:name="Tc_iYf5Duj9ikmeckcbiP6Dug_6_11"/>
      <w:bookmarkStart w:id="745" w:name="Tc_fhtg6xXiNEicigj6Nf7A0A_6_8"/>
      <w:bookmarkStart w:id="746" w:name="Tc_EbuFDFBVWE6YoXeQsosxYw_6_5"/>
      <w:bookmarkStart w:id="747" w:name="Tc_BxMBm_AHMEKC4GxY35Uw8w_6_2"/>
      <w:bookmarkStart w:id="748" w:name="Tc_UViaR0K20U6EP-lhZcQpmw_6_0"/>
      <w:bookmarkStart w:id="749" w:name="Tc_aYrQaIiUtkKgmf2WqdzZmA_5_0"/>
      <w:bookmarkStart w:id="750" w:name="Tc_v-rHjLgEk0KCKylOCg-fnQ_4_0"/>
      <w:bookmarkStart w:id="751" w:name="Tc_ex2JHv_Lj0S856AP0Ejdbg_3_11"/>
      <w:bookmarkStart w:id="752" w:name="Tc_lLI19PqAPU2V9X03nfFyRA_3_8"/>
      <w:bookmarkStart w:id="753" w:name="Tc_Op4MMf4a6EawketdbydZ3A_3_5"/>
      <w:bookmarkStart w:id="754" w:name="Tc_IuVoRKO6VUOie4npbd2g2g_3_2"/>
      <w:bookmarkStart w:id="755" w:name="Tc_wboeUfJDEUKt7lPb0rEJ3Q_3_0"/>
      <w:bookmarkStart w:id="756" w:name="Tc_KkIRPPwgx0uZNsqt0xHHgQ_2_11"/>
      <w:bookmarkStart w:id="757" w:name="Tc_mBF1NZPB_Uu9NMN63sCrgA_2_8"/>
      <w:bookmarkStart w:id="758" w:name="Tc_Ezstm0QUqEqCAGEsWy0DKw_2_5"/>
      <w:bookmarkStart w:id="759" w:name="Tc_4dJBpQVTQEqnZJNu6W0PrA_2_2"/>
      <w:bookmarkStart w:id="760" w:name="Tc_Yw1fTea0H0q4HU00L4UdVQ_1_8"/>
      <w:bookmarkStart w:id="761" w:name="Tc_VbO5yaw93EOusMxA5wPBPA_1_2"/>
      <w:bookmarkStart w:id="762" w:name="Tc_yWyzJRJXkkSSdI2qOcfuQw_6_5"/>
      <w:bookmarkStart w:id="763" w:name="Tc_oZQVPmlVqka6IIo0Yn1slg_6_2"/>
      <w:bookmarkStart w:id="764" w:name="Tc_tyBfqN0qi0SrtzJtVc3eAA_6_0"/>
      <w:bookmarkStart w:id="765" w:name="Tc_lOTRZSPnA0q2XXY0lWNbcg_5_0"/>
      <w:bookmarkStart w:id="766" w:name="Tc_DsY_5mgQRU6wvOGfxRJylQ_4_0"/>
      <w:bookmarkStart w:id="767" w:name="Tc_2XPXvbwpF0i7vKXlv2xi4g_3_5"/>
      <w:bookmarkStart w:id="768" w:name="Tc_9nqkCUE23U6X7hkyiiVM9Q_3_2"/>
      <w:bookmarkStart w:id="769" w:name="Tc_bBwnG7BUCEySiqXQGM05MA_3_0"/>
      <w:bookmarkStart w:id="770" w:name="Tc_O4QKXlB3nU69IaJxJa9-Wg_2_5"/>
      <w:bookmarkStart w:id="771" w:name="Tc_WAOObBXoPUyE6h79F204tg_2_2"/>
      <w:bookmarkStart w:id="772" w:name="Tc_ZQMtp-LFj0-CTq_5wx8WYA_1_5"/>
      <w:bookmarkStart w:id="773" w:name="Tc_NeAIvyieaEaKLyAX3dABqA_1_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sz w:val="20"/>
        </w:rPr>
        <w:t>Consumer loans receivable, net of allowance for loan losses and deferred financing fees, consists of the following:</w:t>
      </w:r>
    </w:p>
    <w:p>
      <w:pPr>
        <w:pStyle w:val="TextBody"/>
        <w:bidi w:val="0"/>
        <w:spacing w:before="0" w:after="0"/>
        <w:ind w:left="0" w:right="0" w:hanging="0"/>
        <w:jc w:val="left"/>
        <w:rPr/>
      </w:pPr>
      <w:r>
        <w:rPr/>
        <w:t>​</w:t>
      </w:r>
    </w:p>
    <w:tbl>
      <w:tblPr>
        <w:tblW w:w="6968" w:type="dxa"/>
        <w:jc w:val="left"/>
        <w:tblInd w:w="0" w:type="dxa"/>
        <w:tblLayout w:type="fixed"/>
        <w:tblCellMar>
          <w:top w:w="0" w:type="dxa"/>
          <w:left w:w="0" w:type="dxa"/>
          <w:bottom w:w="0" w:type="dxa"/>
          <w:right w:w="0" w:type="dxa"/>
        </w:tblCellMar>
      </w:tblPr>
      <w:tblGrid>
        <w:gridCol w:w="3526"/>
        <w:gridCol w:w="326"/>
        <w:gridCol w:w="252"/>
        <w:gridCol w:w="933"/>
        <w:gridCol w:w="326"/>
        <w:gridCol w:w="305"/>
        <w:gridCol w:w="130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39010" cy="175260"/>
                      <wp:effectExtent l="0" t="0" r="0" b="0"/>
                      <wp:wrapNone/>
                      <wp:docPr id="122" name="Frame12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0020" cy="175260"/>
                      <wp:effectExtent l="0" t="0" r="0" b="0"/>
                      <wp:wrapNone/>
                      <wp:docPr id="124" name="Frame1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2455" cy="175260"/>
                      <wp:effectExtent l="0" t="0" r="0" b="0"/>
                      <wp:wrapNone/>
                      <wp:docPr id="125" name="Frame12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3675" cy="175260"/>
                      <wp:effectExtent l="0" t="0" r="0" b="0"/>
                      <wp:wrapNone/>
                      <wp:docPr id="127" name="Frame12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25500" cy="175260"/>
                      <wp:effectExtent l="0" t="0" r="0" b="0"/>
                      <wp:wrapNone/>
                      <wp:docPr id="128" name="Frame128"/>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164,750</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 net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161,803</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156,500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w:t>
      </w:r>
    </w:p>
    <w:p>
      <w:pPr>
        <w:pStyle w:val="TextBody"/>
        <w:bidi w:val="0"/>
        <w:spacing w:before="0" w:after="0"/>
        <w:ind w:left="0" w:right="0" w:hanging="0"/>
        <w:jc w:val="left"/>
        <w:rPr/>
      </w:pPr>
      <w:r>
        <w:rPr/>
        <w:t>​</w:t>
      </w:r>
    </w:p>
    <w:tbl>
      <w:tblPr>
        <w:tblW w:w="9081" w:type="dxa"/>
        <w:jc w:val="left"/>
        <w:tblInd w:w="0" w:type="dxa"/>
        <w:tblLayout w:type="fixed"/>
        <w:tblCellMar>
          <w:top w:w="0" w:type="dxa"/>
          <w:left w:w="0" w:type="dxa"/>
          <w:bottom w:w="0" w:type="dxa"/>
          <w:right w:w="0" w:type="dxa"/>
        </w:tblCellMar>
      </w:tblPr>
      <w:tblGrid>
        <w:gridCol w:w="3901"/>
        <w:gridCol w:w="326"/>
        <w:gridCol w:w="279"/>
        <w:gridCol w:w="716"/>
        <w:gridCol w:w="431"/>
        <w:gridCol w:w="279"/>
        <w:gridCol w:w="557"/>
        <w:gridCol w:w="109"/>
        <w:gridCol w:w="258"/>
        <w:gridCol w:w="663"/>
        <w:gridCol w:w="399"/>
        <w:gridCol w:w="258"/>
        <w:gridCol w:w="534"/>
        <w:gridCol w:w="37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477135" cy="175260"/>
                      <wp:effectExtent l="0" t="0" r="0" b="0"/>
                      <wp:wrapNone/>
                      <wp:docPr id="129" name="Frame12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7165" cy="175260"/>
                      <wp:effectExtent l="0" t="0" r="0" b="0"/>
                      <wp:wrapNone/>
                      <wp:docPr id="131" name="Frame13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54660" cy="175260"/>
                      <wp:effectExtent l="0" t="0" r="0" b="0"/>
                      <wp:wrapNone/>
                      <wp:docPr id="132" name="Frame132"/>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73685" cy="175260"/>
                      <wp:effectExtent l="0" t="0" r="0" b="0"/>
                      <wp:wrapNone/>
                      <wp:docPr id="133" name="Frame13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7165" cy="175260"/>
                      <wp:effectExtent l="0" t="0" r="0" b="0"/>
                      <wp:wrapNone/>
                      <wp:docPr id="134" name="Frame13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53695" cy="175260"/>
                      <wp:effectExtent l="0" t="0" r="0" b="0"/>
                      <wp:wrapNone/>
                      <wp:docPr id="135" name="Frame135"/>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3830" cy="175260"/>
                      <wp:effectExtent l="0" t="0" r="0" b="0"/>
                      <wp:wrapNone/>
                      <wp:docPr id="137" name="Frame13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1005" cy="175260"/>
                      <wp:effectExtent l="0" t="0" r="0" b="0"/>
                      <wp:wrapNone/>
                      <wp:docPr id="138" name="Frame13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3365" cy="175260"/>
                      <wp:effectExtent l="0" t="0" r="0" b="0"/>
                      <wp:wrapNone/>
                      <wp:docPr id="139" name="Frame13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3830" cy="175260"/>
                      <wp:effectExtent l="0" t="0" r="0" b="0"/>
                      <wp:wrapNone/>
                      <wp:docPr id="140" name="Frame14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39090" cy="175260"/>
                      <wp:effectExtent l="0" t="0" r="0" b="0"/>
                      <wp:wrapNone/>
                      <wp:docPr id="141" name="Frame141"/>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5585" cy="175260"/>
                      <wp:effectExtent l="0" t="0" r="0" b="0"/>
                      <wp:wrapNone/>
                      <wp:docPr id="142" name="Frame14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1" w:type="dxa"/>
            <w:tcBorders/>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1" w:type="dxa"/>
            <w:tcBorders/>
            <w:vAlign w:val="center"/>
          </w:tcPr>
          <w:p>
            <w:pPr>
              <w:pStyle w:val="TableContents"/>
              <w:bidi w:val="0"/>
              <w:spacing w:before="0" w:after="0"/>
              <w:ind w:left="0" w:right="0" w:hanging="0"/>
              <w:jc w:val="left"/>
              <w:rPr/>
            </w:pPr>
            <w:r>
              <w:rPr/>
              <w:t>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9" w:type="dxa"/>
            <w:tcBorders/>
            <w:vAlign w:val="center"/>
          </w:tcPr>
          <w:p>
            <w:pPr>
              <w:pStyle w:val="TableContents"/>
              <w:bidi w:val="0"/>
              <w:spacing w:before="0" w:after="0"/>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31"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7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431"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99"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w:t>
      </w:r>
    </w:p>
    <w:p>
      <w:pPr>
        <w:pStyle w:val="TextBody"/>
        <w:bidi w:val="0"/>
        <w:spacing w:before="0" w:after="0"/>
        <w:ind w:left="0" w:right="0" w:hanging="0"/>
        <w:jc w:val="left"/>
        <w:rPr/>
      </w:pPr>
      <w:r>
        <w:rPr/>
        <w:t>​</w:t>
      </w:r>
    </w:p>
    <w:tbl>
      <w:tblPr>
        <w:tblW w:w="7913" w:type="dxa"/>
        <w:jc w:val="left"/>
        <w:tblInd w:w="0" w:type="dxa"/>
        <w:tblLayout w:type="fixed"/>
        <w:tblCellMar>
          <w:top w:w="0" w:type="dxa"/>
          <w:left w:w="0" w:type="dxa"/>
          <w:bottom w:w="0" w:type="dxa"/>
          <w:right w:w="0" w:type="dxa"/>
        </w:tblCellMar>
      </w:tblPr>
      <w:tblGrid>
        <w:gridCol w:w="4471"/>
        <w:gridCol w:w="326"/>
        <w:gridCol w:w="252"/>
        <w:gridCol w:w="933"/>
        <w:gridCol w:w="326"/>
        <w:gridCol w:w="326"/>
        <w:gridCol w:w="1279"/>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839085" cy="175260"/>
                      <wp:effectExtent l="0" t="0" r="0" b="0"/>
                      <wp:wrapNone/>
                      <wp:docPr id="143" name="Frame143"/>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0020" cy="175260"/>
                      <wp:effectExtent l="0" t="0" r="0" b="0"/>
                      <wp:wrapNone/>
                      <wp:docPr id="145" name="Frame14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2455" cy="175260"/>
                      <wp:effectExtent l="0" t="0" r="0" b="0"/>
                      <wp:wrapNone/>
                      <wp:docPr id="146" name="Frame14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12165" cy="175260"/>
                      <wp:effectExtent l="0" t="0" r="0" b="0"/>
                      <wp:wrapNone/>
                      <wp:docPr id="149" name="Frame149"/>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164,750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162,500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158,173</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203</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and December 31, 2023, the total principal outstanding for consumer loans on nonaccrual status was $2,250 and $1,565, respectively. A detailed aging of consumer loans receivable that are past due is as follows: </w:t>
      </w:r>
    </w:p>
    <w:p>
      <w:pPr>
        <w:pStyle w:val="TextBody"/>
        <w:bidi w:val="0"/>
        <w:spacing w:before="0" w:after="0"/>
        <w:ind w:left="0" w:right="0" w:hanging="0"/>
        <w:jc w:val="left"/>
        <w:rPr/>
      </w:pPr>
      <w:r>
        <w:rPr/>
        <w:t>​</w:t>
      </w:r>
    </w:p>
    <w:tbl>
      <w:tblPr>
        <w:tblW w:w="7765" w:type="dxa"/>
        <w:jc w:val="left"/>
        <w:tblInd w:w="0" w:type="dxa"/>
        <w:tblLayout w:type="fixed"/>
        <w:tblCellMar>
          <w:top w:w="0" w:type="dxa"/>
          <w:left w:w="0" w:type="dxa"/>
          <w:bottom w:w="0" w:type="dxa"/>
          <w:right w:w="0" w:type="dxa"/>
        </w:tblCellMar>
      </w:tblPr>
      <w:tblGrid>
        <w:gridCol w:w="2746"/>
        <w:gridCol w:w="109"/>
        <w:gridCol w:w="252"/>
        <w:gridCol w:w="933"/>
        <w:gridCol w:w="326"/>
        <w:gridCol w:w="571"/>
        <w:gridCol w:w="326"/>
        <w:gridCol w:w="331"/>
        <w:gridCol w:w="1229"/>
        <w:gridCol w:w="326"/>
        <w:gridCol w:w="6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43710" cy="175260"/>
                      <wp:effectExtent l="0" t="0" r="0" b="0"/>
                      <wp:wrapNone/>
                      <wp:docPr id="150" name="Frame15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0020" cy="175260"/>
                      <wp:effectExtent l="0" t="0" r="0" b="0"/>
                      <wp:wrapNone/>
                      <wp:docPr id="152" name="Frame15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2455" cy="175260"/>
                      <wp:effectExtent l="0" t="0" r="0" b="0"/>
                      <wp:wrapNone/>
                      <wp:docPr id="153" name="Frame15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5" name="Frame1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0185" cy="175260"/>
                      <wp:effectExtent l="0" t="0" r="0" b="0"/>
                      <wp:wrapNone/>
                      <wp:docPr id="157" name="Frame15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80415" cy="175260"/>
                      <wp:effectExtent l="0" t="0" r="0" b="0"/>
                      <wp:wrapNone/>
                      <wp:docPr id="158" name="Frame158"/>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1160" cy="175260"/>
                      <wp:effectExtent l="0" t="0" r="0" b="0"/>
                      <wp:wrapNone/>
                      <wp:docPr id="160" name="Frame16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164,750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 consumer loans: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31 - 60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61 - 90 days past due</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91 - 120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120 days past due</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consumer loan portfolio based on the aging status of the loan and by payment activity. Loan delinquency reporting generally is based on borrower payment activity relative to the contractual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774" w:name="Tc_ruSzTYfHv0-lvNrA2-kQbw_6_23"/>
      <w:bookmarkStart w:id="775" w:name="Tc_7DhzQrHrOkal2B2CaGDr1g_6_20"/>
      <w:bookmarkStart w:id="776" w:name="Tc_Ry1NYXKDWkaeYgShgn3ggg_6_17"/>
      <w:bookmarkStart w:id="777" w:name="Tc_XMsndgfBE0yrXm4oSoOrMA_6_14"/>
      <w:bookmarkStart w:id="778" w:name="Tc_YnEDciz2eEmtTCua0ltEvg_6_11"/>
      <w:bookmarkStart w:id="779" w:name="Tc_UU-3OQd730W5F8XEoHeOFg_6_8"/>
      <w:bookmarkStart w:id="780" w:name="Tc_Hnzj0pF_R02OhQ7W1mQblg_6_5"/>
      <w:bookmarkStart w:id="781" w:name="Tc_Km_4Hexa3kObJd1oLpekJg_6_2"/>
      <w:bookmarkStart w:id="782" w:name="Tc_dfYGz3OatESEZrwOkZ_gaw_6_0"/>
      <w:bookmarkStart w:id="783" w:name="Tc_Qz1OMaMmAk-HwL4jmN8HQg_5_3"/>
      <w:bookmarkStart w:id="784" w:name="Tc_gXStGZ9Hj02mO6Xwncw73Q_5_0"/>
      <w:bookmarkStart w:id="785" w:name="Tc_WST62dAJlUKlpGXEVCHodw_4_15"/>
      <w:bookmarkStart w:id="786" w:name="Tc_MfsJWIPplEO24ZaDk6nwlg_4_3"/>
      <w:bookmarkStart w:id="787" w:name="Tc_dyulGXklx02iSA6hJ2jTHg_4_0"/>
      <w:bookmarkStart w:id="788" w:name="Tc_e3J3fOTGB0KjDfnKEJ85DQ_3_23"/>
      <w:bookmarkStart w:id="789" w:name="Tc_D-EnZrMAqEOzGGoVlkhDhw_3_20"/>
      <w:bookmarkStart w:id="790" w:name="Tc_f2uRgekhVkOfwPpofDQCcg_3_17"/>
      <w:bookmarkStart w:id="791" w:name="Tc_2mpKTbovTU69fSPTNpydWg_3_14"/>
      <w:bookmarkStart w:id="792" w:name="Tc_bu2L1fvnU0qIt-5KlRh1Xw_3_11"/>
      <w:bookmarkStart w:id="793" w:name="Tc_X457K7WNvU65flyapql7nA_3_8"/>
      <w:bookmarkStart w:id="794" w:name="Tc_TMNKpDzIk02XjF7q22KtJg_3_5"/>
      <w:bookmarkStart w:id="795" w:name="Tc_mycz2a_bdUqjpGEHDIlZzA_3_2"/>
      <w:bookmarkStart w:id="796" w:name="Tc_kJqI2ou58Ey6cYgs0VM6nw_3_0"/>
      <w:bookmarkStart w:id="797" w:name="Tc_xBxcKjMEbkOHYfPym7WFdw_2_23"/>
      <w:bookmarkStart w:id="798" w:name="Tc_OmBH3GrdlUKj8uLtjr7zVg_2_20"/>
      <w:bookmarkStart w:id="799" w:name="Tc_TFZIQEldTU-GgO1OW4NKLA_2_17"/>
      <w:bookmarkStart w:id="800" w:name="Tc_505Ulvpl9kySNCO0tE_xTw_2_14"/>
      <w:bookmarkStart w:id="801" w:name="Tc_EU-VZgjamUuG8Xa4uIRCjw_2_11"/>
      <w:bookmarkStart w:id="802" w:name="Tc_pFjhunRQMU6lILQa0MKDnQ_2_8"/>
      <w:bookmarkStart w:id="803" w:name="Tc_uwfcoNpMO0GePXMGb6GDIg_2_5"/>
      <w:bookmarkStart w:id="804" w:name="Tc_bTx5vPHhs0iAYuIueG4hPg_2_2"/>
      <w:bookmarkStart w:id="805" w:name="Tc_19NbyCnLnUedOYiX7N097w_1_2"/>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sz w:val="20"/>
        </w:rPr>
        <w:t xml:space="preserve">terms of the loan. The following table disaggregates the outstanding principal balance of consumer loans receivable by credit quality indicator based on delinquency status and fiscal year of origination: </w:t>
      </w:r>
    </w:p>
    <w:p>
      <w:pPr>
        <w:pStyle w:val="TextBody"/>
        <w:bidi w:val="0"/>
        <w:spacing w:before="0" w:after="0"/>
        <w:ind w:left="0" w:right="0" w:hanging="0"/>
        <w:jc w:val="left"/>
        <w:rPr/>
      </w:pPr>
      <w:r>
        <w:rPr/>
        <w:t>​</w:t>
      </w:r>
    </w:p>
    <w:tbl>
      <w:tblPr>
        <w:tblW w:w="10142"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676"/>
        <w:gridCol w:w="109"/>
        <w:gridCol w:w="211"/>
        <w:gridCol w:w="781"/>
        <w:gridCol w:w="109"/>
        <w:gridCol w:w="347"/>
        <w:gridCol w:w="868"/>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05535" cy="175260"/>
                      <wp:effectExtent l="0" t="0" r="0" b="0"/>
                      <wp:wrapNone/>
                      <wp:docPr id="161" name="Frame16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29260" cy="175260"/>
                      <wp:effectExtent l="0" t="0" r="0" b="0"/>
                      <wp:wrapNone/>
                      <wp:docPr id="176" name="Frame1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0345" cy="175260"/>
                      <wp:effectExtent l="0" t="0" r="0" b="0"/>
                      <wp:wrapNone/>
                      <wp:docPr id="184" name="Frame18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51180" cy="175260"/>
                      <wp:effectExtent l="0" t="0" r="0" b="0"/>
                      <wp:wrapNone/>
                      <wp:docPr id="185" name="Frame185"/>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92"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160,620</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31,002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60,869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164,750</w:t>
            </w:r>
          </w:p>
        </w:tc>
        <w:tc>
          <w:tcPr>
            <w:tcW w:w="109"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4. NOTES RECEIVABLE FROM MOBILE HOME PARKS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notes receivable from mobile home parks (“MHP Notes”) relate to mobile homes sold to mobile home parks and financed through notes receivable. The MHP Notes have varying maturity dates and require monthly principal and interest payments. The interest rate on the MHP Notes can be fixed or variable, and the interest rates range from 6.9% to 12.5%, excluding the Default Loans defined below. The average interest rate per loan, excluding the Default Loans below, was approximately 8.0% as of June 30, 2024 and December 31, 2023, with maturities that range from 1 to 10 years. The collateral underlying the MHP Notes are individual mobile homes which can be repossessed and resold. The MHP Notes are generally personally guaranteed by borrowers with substantial financial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2024, the Company had concentrations of MHP Notes with three independent third-parties and their respective affiliates that equated to 23.8%, 14.9% and 13.3% of the principal balance outstanding, all of which was secured by the mobile homes. As of December 31, 2023, the Company had concentrations of MHP Notes with three independent third-parties and their respective affiliates that equated to 24.5%, 17.9% and 14.0% of the principal balance outstanding, all of which was secured by the mobile homes.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June 30, 2024 and December 31, 2023, the MHP Notes balance is presented net of unamortized finance fees of $1,232 and $1,565, respectively. The finance fees are amortized over the life of the MHP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and December 31, 2023 there were past due balances of $156 and $98, respectively, on the MHP Notes excluding the Default Loans, as defined below. For the three months ended June 30, 2024 and 2023, there were no charge offs recorded for MHP Notes. For the six months ended June 30, 2024 and 2023, there were no charge offs recorded for MHP Notes. Allowance for loan loss for the MHP Notes was $711 and $735 as of June 30, 2024 and December 31, 2023, respectively. As of June 30, 2024 and December 31, 2023, there was a minimal impaired balance of MHP Notes. Collateral for repossessed loans is acquired through foreclosure or similar proceedings and is recorded at the estimated fair value of the home, less the costs to sell.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Approximately $49 million of MHP Notes and Other notes receivable is with borrowers either owned or operated by one individual. Approximately $32 million of these notes currently is in default (the “Default Loans”) and is the subject of ongoing litigation in which the Company is the plaintiff. These notes are collateralized by mobile homes and land and are personally guaranteed by multiple borrowers. The Company evaluated the recoverability of these notes as of June 30, 2024 and determined a provision for expected loan losses is not necessary based on the analysis of the fair value of underlying collateral. The Company accelerated the Default Loans at the end of January, 2024. Upon acceleration, the loans accrue interest at a rate of 17.5% and are due on demand. At June 30, 2024 the Default Loans are presented on the accompanying balance sheets under the heading Current assets, with $21 million in Current portion of notes receivable from mobile home parks (“MHP”) and $11 million in Current portion of other notes receivable. During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806" w:name="Tc_GFPUd0ydbUydvFOEEKXZCw_8_0"/>
      <w:bookmarkStart w:id="807" w:name="Tc_NDgX6e592EyUy5i676mv9Q_7_0"/>
      <w:bookmarkStart w:id="808" w:name="Tc_0ol8_6Zsb0eeD9eqr2GVYA_6_3"/>
      <w:bookmarkStart w:id="809" w:name="Tc_IO59HC0QaUaBUoSXDcKvpA_6_0"/>
      <w:bookmarkStart w:id="810" w:name="Tc_ShLxXTzYBUqEVz0nqYC6-g_5_0"/>
      <w:bookmarkStart w:id="811" w:name="Tc_O_CjHbDYmESkS9gpBoUg3A_4_0"/>
      <w:bookmarkStart w:id="812" w:name="Tc_Ldw5sCqe9ku942GUHyX-Pw_3_5"/>
      <w:bookmarkStart w:id="813" w:name="Tc_CSp8LKLGkU-N0XzBx4qdnA_3_2"/>
      <w:bookmarkStart w:id="814" w:name="Tc_7_wEr_0o_UetvOyL5MqE7w_3_0"/>
      <w:bookmarkStart w:id="815" w:name="Tc_sbdQvcNwgEKBvOV709KgFQ_2_5"/>
      <w:bookmarkStart w:id="816" w:name="Tc_glWIb7og4kaCXWcPHWIibg_2_2"/>
      <w:bookmarkStart w:id="817" w:name="Tc_RRFCAD6dYUS3tXg7lhZwYQ_1_5"/>
      <w:bookmarkStart w:id="818" w:name="Tc_b_NlfLLw6ka0osOlzm3pmg_1_2"/>
      <w:bookmarkStart w:id="819" w:name="Tc_II1GGzHgYEGj3ac2whWdcA_7_12"/>
      <w:bookmarkStart w:id="820" w:name="Tc_AWnU8Q-iqEKYXW-yWj7Gnw_7_9"/>
      <w:bookmarkStart w:id="821" w:name="Tc_S4Zuu0q7SEGguqWDbrIT-Q_7_5"/>
      <w:bookmarkStart w:id="822" w:name="Tc_32mu_RwqaEmqiO6-nEbUMg_7_2"/>
      <w:bookmarkStart w:id="823" w:name="Tc_nswydlB_J0u8NF02RIAyCA_7_0"/>
      <w:bookmarkStart w:id="824" w:name="Tc_J4kYBq7l0ESdHMlGA85hJA_6_13"/>
      <w:bookmarkStart w:id="825" w:name="Tc_3gNPcqq1C0a2mEYCl-UkUQ_6_10"/>
      <w:bookmarkStart w:id="826" w:name="Tc_CIinmtQ05EGUB7ji3c7Ceg_6_6"/>
      <w:bookmarkStart w:id="827" w:name="Tc_psXgJnUTKEqzKG0dipKWIA_6_3"/>
      <w:bookmarkStart w:id="828" w:name="Tc_r0Y8KXXnjESAjw0LE8mbPA_6_0"/>
      <w:bookmarkStart w:id="829" w:name="Tc__rQhQgrOIUCHzC3-e2RBMA_5_0"/>
      <w:bookmarkStart w:id="830" w:name="Tc_xUMxNNoQfEi4aj_cBZnPoA_4_13"/>
      <w:bookmarkStart w:id="831" w:name="Tc_Dzoqx-A2MkCvvqNYyKCaVA_4_12"/>
      <w:bookmarkStart w:id="832" w:name="Tc_ZhVlrP8WG0iVDKdSnKkHSg_4_9"/>
      <w:bookmarkStart w:id="833" w:name="Tc_0JxSbVb4S0itdjb7SKdT3A_4_5"/>
      <w:bookmarkStart w:id="834" w:name="Tc_6yNNLvCFBEO_RrIsBRe6Nw_4_2"/>
      <w:bookmarkStart w:id="835" w:name="Tc_rfi5L5KXjkCOrzGOVRVefQ_4_0"/>
      <w:bookmarkStart w:id="836" w:name="Tc_-xwAaXQtxEiLp22dLMqSsA_3_12"/>
      <w:bookmarkStart w:id="837" w:name="Tc_c5ay3dJyA0G-EKnv4yBGRg_3_9"/>
      <w:bookmarkStart w:id="838" w:name="Tc_7CptrTlBZ02-xQnlK1EkkA_3_5"/>
      <w:bookmarkStart w:id="839" w:name="Tc_compPH1nwkClCBi1FZdaKg_3_2"/>
      <w:bookmarkStart w:id="840" w:name="Tc_JWZYkBXYnkmU38VmgQaO-g_2_9"/>
      <w:bookmarkStart w:id="841" w:name="Tc_BQXzrfKIzkCNzBu7aXmBtA_2_2"/>
      <w:bookmarkStart w:id="842" w:name="Tc_LxhtyrVMgU2BBag_sYqqWA_1_9"/>
      <w:bookmarkStart w:id="843" w:name="Tc_FRwstwRATE6fFieR4VFjuw_1_2"/>
      <w:bookmarkStart w:id="844" w:name="Tc_qmyq75kbeEeASaVHVXputg_6_5"/>
      <w:bookmarkStart w:id="845" w:name="Tc_y0UgnGHwoEenc4PgM29MEA_6_2"/>
      <w:bookmarkStart w:id="846" w:name="Tc_WmLlDEBeJk6lAC8rY-RQoA_6_0"/>
      <w:bookmarkStart w:id="847" w:name="Tc_iO04NzENi0CG64Jpvvll0g_5_0"/>
      <w:bookmarkStart w:id="848" w:name="Tc_tPPg6Sf3VUm7vKaLfxFvwQ_4_0"/>
      <w:bookmarkStart w:id="849" w:name="Tc_V7Hd3HoXjkyOk7RbZO6oWw_3_5"/>
      <w:bookmarkStart w:id="850" w:name="Tc_svUofYCxiEG2lh13m1uy1Q_3_2"/>
      <w:bookmarkStart w:id="851" w:name="Tc_IkXmCgBRDUmUYszQpBX_sA_3_0"/>
      <w:bookmarkStart w:id="852" w:name="Tc_lz--SMgzWUOYt5jl3Jrp7w_2_5"/>
      <w:bookmarkStart w:id="853" w:name="Tc_7Jas9fSFqEKHkMPCMm5EWw_2_2"/>
      <w:bookmarkStart w:id="854" w:name="Tc_481UjjMwKUexZnZ1Hkapkg_1_5"/>
      <w:bookmarkStart w:id="855" w:name="Tc_-F1I1o8AbEiyE7NyIw2F3g_1_2"/>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sz w:val="20"/>
        </w:rPr>
        <w:t>the three months ended March 31, 2024, the Company foreclosed on property of $1.1 million and homes of $1.2 million that are included on the accompanying balance sheets in Property, plant and equipment, net and Other assets, respectively. During the three months ended June 30, 2024, the Company foreclosed on homes of $4.3 million that are included on the accompanying balance sheets in Other assets. On July 27, 2024, the Company entered into a Settlement Agreement and Release (the “Settlement Agreement”) with the borrowers and guarantors. This Settlement Agreement is described in more detail in Note 19, Subsequent Events, in these Notes to Condensed Financial Statements (Unaudited) for the quarter ended June 30,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Notes receivable from mobile home parks, net of allowance for loan losses and deferred financing fees, consisted of the following at June 30, 2024 and December 31, 2023:</w:t>
      </w:r>
    </w:p>
    <w:p>
      <w:pPr>
        <w:pStyle w:val="TextBody"/>
        <w:bidi w:val="0"/>
        <w:spacing w:before="0" w:after="0"/>
        <w:ind w:left="0" w:right="0" w:hanging="0"/>
        <w:jc w:val="left"/>
        <w:rPr/>
      </w:pPr>
      <w:r>
        <w:rPr/>
        <w:t>​</w:t>
      </w:r>
    </w:p>
    <w:tbl>
      <w:tblPr>
        <w:tblW w:w="6489" w:type="dxa"/>
        <w:jc w:val="left"/>
        <w:tblInd w:w="0" w:type="dxa"/>
        <w:tblLayout w:type="fixed"/>
        <w:tblCellMar>
          <w:top w:w="0" w:type="dxa"/>
          <w:left w:w="0" w:type="dxa"/>
          <w:bottom w:w="0" w:type="dxa"/>
          <w:right w:w="0" w:type="dxa"/>
        </w:tblCellMar>
      </w:tblPr>
      <w:tblGrid>
        <w:gridCol w:w="3526"/>
        <w:gridCol w:w="109"/>
        <w:gridCol w:w="242"/>
        <w:gridCol w:w="898"/>
        <w:gridCol w:w="109"/>
        <w:gridCol w:w="305"/>
        <w:gridCol w:w="130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39010" cy="175260"/>
                      <wp:effectExtent l="0" t="0" r="0" b="0"/>
                      <wp:wrapNone/>
                      <wp:docPr id="186" name="Frame186"/>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3670" cy="175260"/>
                      <wp:effectExtent l="0" t="0" r="0" b="0"/>
                      <wp:wrapNone/>
                      <wp:docPr id="188" name="Frame18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70230" cy="175260"/>
                      <wp:effectExtent l="0" t="0" r="0" b="0"/>
                      <wp:wrapNone/>
                      <wp:docPr id="189" name="Frame18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3675" cy="175260"/>
                      <wp:effectExtent l="0" t="0" r="0" b="0"/>
                      <wp:wrapNone/>
                      <wp:docPr id="191" name="Frame19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25500" cy="175260"/>
                      <wp:effectExtent l="0" t="0" r="0" b="0"/>
                      <wp:wrapNone/>
                      <wp:docPr id="192" name="Frame192"/>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184,730</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w:t>
            </w:r>
          </w:p>
        </w:tc>
        <w:tc>
          <w:tcPr>
            <w:tcW w:w="109"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3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182,787</w:t>
            </w:r>
          </w:p>
        </w:tc>
        <w:tc>
          <w:tcPr>
            <w:tcW w:w="109"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181,980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three and six months ended June 30, 2024 and 2023:</w:t>
      </w:r>
    </w:p>
    <w:p>
      <w:pPr>
        <w:pStyle w:val="TextBody"/>
        <w:bidi w:val="0"/>
        <w:spacing w:before="0" w:after="0"/>
        <w:ind w:left="0" w:right="0" w:hanging="0"/>
        <w:jc w:val="left"/>
        <w:rPr/>
      </w:pPr>
      <w:r>
        <w:rPr/>
        <w:t>​</w:t>
      </w:r>
    </w:p>
    <w:tbl>
      <w:tblPr>
        <w:tblW w:w="7336" w:type="dxa"/>
        <w:jc w:val="left"/>
        <w:tblInd w:w="0" w:type="dxa"/>
        <w:tblLayout w:type="fixed"/>
        <w:tblCellMar>
          <w:top w:w="0" w:type="dxa"/>
          <w:left w:w="0" w:type="dxa"/>
          <w:bottom w:w="0" w:type="dxa"/>
          <w:right w:w="0" w:type="dxa"/>
        </w:tblCellMar>
      </w:tblPr>
      <w:tblGrid>
        <w:gridCol w:w="3901"/>
        <w:gridCol w:w="109"/>
        <w:gridCol w:w="246"/>
        <w:gridCol w:w="492"/>
        <w:gridCol w:w="127"/>
        <w:gridCol w:w="246"/>
        <w:gridCol w:w="492"/>
        <w:gridCol w:w="109"/>
        <w:gridCol w:w="109"/>
        <w:gridCol w:w="211"/>
        <w:gridCol w:w="436"/>
        <w:gridCol w:w="109"/>
        <w:gridCol w:w="211"/>
        <w:gridCol w:w="53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77135" cy="175260"/>
                      <wp:effectExtent l="0" t="0" r="0" b="0"/>
                      <wp:wrapNone/>
                      <wp:docPr id="193" name="Frame19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6210" cy="175260"/>
                      <wp:effectExtent l="0" t="0" r="0" b="0"/>
                      <wp:wrapNone/>
                      <wp:docPr id="195" name="Frame19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12420" cy="175260"/>
                      <wp:effectExtent l="0" t="0" r="0" b="0"/>
                      <wp:wrapNone/>
                      <wp:docPr id="196" name="Frame196"/>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0645" cy="175260"/>
                      <wp:effectExtent l="0" t="0" r="0" b="0"/>
                      <wp:wrapNone/>
                      <wp:docPr id="197" name="Frame197"/>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6210" cy="175260"/>
                      <wp:effectExtent l="0" t="0" r="0" b="0"/>
                      <wp:wrapNone/>
                      <wp:docPr id="198" name="Frame19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12420" cy="175260"/>
                      <wp:effectExtent l="0" t="0" r="0" b="0"/>
                      <wp:wrapNone/>
                      <wp:docPr id="199" name="Frame199"/>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76860" cy="175260"/>
                      <wp:effectExtent l="0" t="0" r="0" b="0"/>
                      <wp:wrapNone/>
                      <wp:docPr id="203" name="Frame20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41630" cy="175260"/>
                      <wp:effectExtent l="0" t="0" r="0" b="0"/>
                      <wp:wrapNone/>
                      <wp:docPr id="206" name="Frame206"/>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7" w:type="dxa"/>
            <w:tcBorders/>
            <w:vAlign w:val="center"/>
          </w:tcPr>
          <w:p>
            <w:pPr>
              <w:pStyle w:val="TableContents"/>
              <w:bidi w:val="0"/>
              <w:spacing w:before="0" w:after="1"/>
              <w:ind w:left="0" w:right="0" w:hanging="0"/>
              <w:jc w:val="left"/>
              <w:rPr/>
            </w:pPr>
            <w:r>
              <w:rPr/>
              <w:t>​</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12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2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2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358</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impaired and general reserve for allowance for loan losses at June 30, 2024 and December 31, 2023: </w:t>
      </w:r>
    </w:p>
    <w:p>
      <w:pPr>
        <w:pStyle w:val="TextBody"/>
        <w:bidi w:val="0"/>
        <w:spacing w:before="0" w:after="200"/>
        <w:ind w:left="0" w:right="0" w:firstLine="720"/>
        <w:jc w:val="left"/>
        <w:rPr/>
      </w:pPr>
      <w:r>
        <w:rPr/>
        <w:t>​</w:t>
      </w:r>
    </w:p>
    <w:tbl>
      <w:tblPr>
        <w:tblW w:w="7434" w:type="dxa"/>
        <w:jc w:val="left"/>
        <w:tblInd w:w="0" w:type="dxa"/>
        <w:tblLayout w:type="fixed"/>
        <w:tblCellMar>
          <w:top w:w="0" w:type="dxa"/>
          <w:left w:w="0" w:type="dxa"/>
          <w:bottom w:w="0" w:type="dxa"/>
          <w:right w:w="0" w:type="dxa"/>
        </w:tblCellMar>
      </w:tblPr>
      <w:tblGrid>
        <w:gridCol w:w="4471"/>
        <w:gridCol w:w="109"/>
        <w:gridCol w:w="242"/>
        <w:gridCol w:w="898"/>
        <w:gridCol w:w="109"/>
        <w:gridCol w:w="326"/>
        <w:gridCol w:w="1279"/>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39085" cy="175260"/>
                      <wp:effectExtent l="0" t="0" r="0" b="0"/>
                      <wp:wrapNone/>
                      <wp:docPr id="207" name="Frame207"/>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3670" cy="175260"/>
                      <wp:effectExtent l="0" t="0" r="0" b="0"/>
                      <wp:wrapNone/>
                      <wp:docPr id="209" name="Frame20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70230" cy="175260"/>
                      <wp:effectExtent l="0" t="0" r="0" b="0"/>
                      <wp:wrapNone/>
                      <wp:docPr id="210" name="Frame21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12165" cy="175260"/>
                      <wp:effectExtent l="0" t="0" r="0" b="0"/>
                      <wp:wrapNone/>
                      <wp:docPr id="213" name="Frame213"/>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MHP loans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184,730</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25,368</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31,215</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159,363</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153,065</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730</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MHP portfolio based on the aging status of the loan and by payment activity. Loan delinquency reporting is generally based upon borrower payment activity relative to the contractual terms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56" w:name="Tc_3fcNVCafnE664dQhb6FBgg_6_23"/>
      <w:bookmarkStart w:id="857" w:name="Tc_B_sXYewo-UOBEH4MHCtddw_6_20"/>
      <w:bookmarkStart w:id="858" w:name="Tc_4_XSY5AZUUaV3WfatPSO-w_6_17"/>
      <w:bookmarkStart w:id="859" w:name="Tc_QmsB2_CJ_kmtE17hzsMyTQ_6_14"/>
      <w:bookmarkStart w:id="860" w:name="Tc_H1u0XzfuBUCZ7udJQmXBhg_6_11"/>
      <w:bookmarkStart w:id="861" w:name="Tc_j_--KRxpBk26-x3z-lHXdw_6_8"/>
      <w:bookmarkStart w:id="862" w:name="Tc_fHJPGOR7b0qNuYRDSe6MrQ_6_5"/>
      <w:bookmarkStart w:id="863" w:name="Tc_9BqxTFoV90eXXykZTVH1Fw_6_2"/>
      <w:bookmarkStart w:id="864" w:name="Tc_OdsKWB7SI0ed0vtVIGZ-Dw_6_0"/>
      <w:bookmarkStart w:id="865" w:name="Tc_gNikGTUZ4ECGCd77NzerZQ_5_18"/>
      <w:bookmarkStart w:id="866" w:name="Tc_UtNQkq_Q40KoPDxNmg9ljA_5_3"/>
      <w:bookmarkStart w:id="867" w:name="Tc_k-xq7bExd0qWgXSKoRoRMA_5_0"/>
      <w:bookmarkStart w:id="868" w:name="Tc_pvVkDAX9sESaEAyQJi2sEQ_4_18"/>
      <w:bookmarkStart w:id="869" w:name="Tc_J2O0teqEAUmuuj8_UFunYg_4_15"/>
      <w:bookmarkStart w:id="870" w:name="Tc_9PmesHTN3UiWSTQrTzJ86Q_4_12"/>
      <w:bookmarkStart w:id="871" w:name="Tc_pfKQ1h1tkkip1HwPePf7Fg_4_3"/>
      <w:bookmarkStart w:id="872" w:name="Tc_B1pokUbZkUm10iE4nXpfgQ_4_0"/>
      <w:bookmarkStart w:id="873" w:name="Tc_SFMEgkmRd02tIHqKSC-sHw_3_23"/>
      <w:bookmarkStart w:id="874" w:name="Tc_szE5KSMIZEixTFrSSVT-Eg_3_20"/>
      <w:bookmarkStart w:id="875" w:name="Tc_tXda6BDo7UecaUJ6iYFgcw_3_17"/>
      <w:bookmarkStart w:id="876" w:name="Tc_6qmFyntMXkWvJNgQKs487A_3_14"/>
      <w:bookmarkStart w:id="877" w:name="Tc_ONm1mUsZGEaW2mRLhwUhiA_3_11"/>
      <w:bookmarkStart w:id="878" w:name="Tc_aYXPQC05kE66Hwx8wgNDBw_3_8"/>
      <w:bookmarkStart w:id="879" w:name="Tc_BnMiwfLtLE6R2QsIGlpkuw_3_5"/>
      <w:bookmarkStart w:id="880" w:name="Tc_9PTEF2-pWEG77EL56NsbBQ_3_2"/>
      <w:bookmarkStart w:id="881" w:name="Tc_V2LM_FU8oUyQtSPv4qD2TQ_3_0"/>
      <w:bookmarkStart w:id="882" w:name="Tc_3CYUJuMEBE-7QMufiwwzIg_2_23"/>
      <w:bookmarkStart w:id="883" w:name="Tc_gYlV0G1C1k-_awICaGESJQ_2_20"/>
      <w:bookmarkStart w:id="884" w:name="Tc_6-CnlrhhNUqkOAiWJJ2Tgg_2_17"/>
      <w:bookmarkStart w:id="885" w:name="Tc_4_ODGzxr9USQWoWPB6yK8A_2_14"/>
      <w:bookmarkStart w:id="886" w:name="Tc_2jKwyuMcKUu5JThQLqF5eg_2_11"/>
      <w:bookmarkStart w:id="887" w:name="Tc__cPw8sZB9ESe_MOx7N4FwA_2_8"/>
      <w:bookmarkStart w:id="888" w:name="Tc_zL46OxkFakGF66w1XDikDA_2_5"/>
      <w:bookmarkStart w:id="889" w:name="Tc_nI44r7Oca0eSdy3SzLG78A_2_2"/>
      <w:bookmarkStart w:id="890" w:name="Tc_bUKb42uS7kOzzVU_hdwF-A_1_2"/>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 xml:space="preserve">of the loan. The following table disaggregates the outstanding principal balance of MHP receivable by credit quality indicator based on delinquency status and fiscal year of origination and is presented as of June 30, 2024: </w:t>
      </w:r>
    </w:p>
    <w:p>
      <w:pPr>
        <w:pStyle w:val="TextBody"/>
        <w:bidi w:val="0"/>
        <w:spacing w:before="0" w:after="200"/>
        <w:ind w:left="0" w:right="0" w:firstLine="720"/>
        <w:jc w:val="left"/>
        <w:rPr/>
      </w:pPr>
      <w:r>
        <w:rPr/>
        <w:t>​</w:t>
      </w:r>
    </w:p>
    <w:tbl>
      <w:tblPr>
        <w:tblW w:w="10037"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571"/>
        <w:gridCol w:w="109"/>
        <w:gridCol w:w="211"/>
        <w:gridCol w:w="781"/>
        <w:gridCol w:w="109"/>
        <w:gridCol w:w="347"/>
        <w:gridCol w:w="868"/>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105535" cy="175260"/>
                      <wp:effectExtent l="0" t="0" r="0" b="0"/>
                      <wp:wrapNone/>
                      <wp:docPr id="214" name="Frame21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29260" cy="175260"/>
                      <wp:effectExtent l="0" t="0" r="0" b="0"/>
                      <wp:wrapNone/>
                      <wp:docPr id="226" name="Frame2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5935" cy="175260"/>
                      <wp:effectExtent l="0" t="0" r="0" b="0"/>
                      <wp:wrapNone/>
                      <wp:docPr id="235" name="Frame2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0345" cy="175260"/>
                      <wp:effectExtent l="0" t="0" r="0" b="0"/>
                      <wp:wrapNone/>
                      <wp:docPr id="237" name="Frame23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51180" cy="175260"/>
                      <wp:effectExtent l="0" t="0" r="0" b="0"/>
                      <wp:wrapNone/>
                      <wp:docPr id="238" name="Frame238"/>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87"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160,757</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3,031</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20,942</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29,381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184,730</w:t>
            </w:r>
          </w:p>
        </w:tc>
        <w:tc>
          <w:tcPr>
            <w:tcW w:w="109"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OTHER NOTES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Other notes receivable relate to notes issued to mobile home park owners and dealers and are not directly tied to the sale of mobile homes. These other notes have varying maturity dates and generally require monthly principal and interest payments. They are collateralized by mortgages on real estate, mobile homes that we have financed for which the borrower uses as offices, as well as vehicles. These notes typically are personally guaranteed by the borrowers. The interest rates on the other notes generally are fixed and range from 5.00% to 17.90%. The Company reserves for estimated losses on the other notes based on current economic conditions that may affect the borrower’s ability to pay, the borrower’s financial strength, and historical loss experience.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and December 31, 2023 there were past due balances of $544 and $22, respectively, on the other notes excluding the Default Loans, as defined below. For the three months ended June 30, 2024 and 2023, there were no charge offs recorded for other notes. For the six months ended June 30, 2024 and 2023, there were no charge offs recorded for other notes. Allowance for loan loss for the other notes was $211 and $236 as of June 30, 2024 and December 31, 2023, respectively. As of June 30, 2024 and December 31, 2023, the impaired balance of other notes was $104 and $84, respectively. Collateral for repossessed loans is acquired through foreclosure or similar proceedings and is recorded at the estimated fair value of the home, less the costs to sell.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Approximately $49 million of MHP Notes and Other notes receivable is with borrowers either owned or operated by one individual. Approximately $32 million of these notes currently is in default (the “Default Loans”) and is the subject of ongoing litigation in which the Company is the plaintiff. These notes are collateralized by mobile homes and land and are personally guaranteed by multiple borrowers. The Company evaluated the recoverability of these notes as of June 30, 2024 and determined a provision for expected loan losses is not necessary based on the analysis of the fair value of underlying collateral. The Company accelerated the Default Loans at the end of January, 2024. Upon acceleration, the loans accrue interest at a rate of 17.5% and are due on demand. At June 30, 2024 the Default Loans are presented on the accompanying balance sheets under the heading Current assets, with $21 million in Current portion of notes receivable from mobile home parks (“MHP”) and $11 million in Current portion of other notes receivable. During the three months ended March 31, 2024, the Company foreclosed on property of $1.1 million and homes of $1.2 million that are included on the accompanying balance sheets in Property, plant and equipment, net and Other assets, respectively. During the three months ended June 30, 2024, the Company foreclosed on homes of $4.3 million that are included on the accompanying balance sheets in Other assets. On July 27, 2024, the Company entered into a Settlement Agreement and Release (the “Settlement Agreement”) with the borrowers and guarantors. This Settlement Agreement is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891" w:name="Tc_FSGHM09XCkOICRnJKAZF-A_8_0"/>
      <w:bookmarkStart w:id="892" w:name="Tc_0RevrgciHUaYIaL6uzDkzQ_7_0"/>
      <w:bookmarkStart w:id="893" w:name="Tc_z8toej8YM0m1_gWRPt8XxQ_6_0"/>
      <w:bookmarkStart w:id="894" w:name="Tc_bc9TMZkhhE-LXMzKddribQ_5_0"/>
      <w:bookmarkStart w:id="895" w:name="Tc_lJaIo9C6rEOG0kKcpWBT5Q_4_0"/>
      <w:bookmarkStart w:id="896" w:name="Tc_Cz1BGfxmLUC2Hsi7Gkar9Q_3_5"/>
      <w:bookmarkStart w:id="897" w:name="Tc_oKAK4za5UkS9FcPqBcUAFA_3_2"/>
      <w:bookmarkStart w:id="898" w:name="Tc_S1m44Vr83k-BvDTz-bjURw_3_0"/>
      <w:bookmarkStart w:id="899" w:name="Tc_gI6A7slYdEOfV8LcEz-UZA_2_5"/>
      <w:bookmarkStart w:id="900" w:name="Tc_DOgRehoBHk27Jl5c_xrW5g_2_2"/>
      <w:bookmarkStart w:id="901" w:name="Tc_yC0FM1IDV0GhU5O757OaOQ_1_5"/>
      <w:bookmarkStart w:id="902" w:name="Tc_WUwZlmqCHkCBL0lEB2XhGg_1_2"/>
      <w:bookmarkStart w:id="903" w:name="Tc_Q4w6ZVTg4kSvEGcNsbqFwA_7_11"/>
      <w:bookmarkStart w:id="904" w:name="Tc_WJifQuMm0E-gkhs6nflUGg_7_8"/>
      <w:bookmarkStart w:id="905" w:name="Tc_CCQAFOuVUUW_hnChDLjI5g_7_5"/>
      <w:bookmarkStart w:id="906" w:name="Tc_ynxaDOj5wkGq9mJAHbj_iQ_7_2"/>
      <w:bookmarkStart w:id="907" w:name="Tc__NsvLkPMkkWxv9EiN1tMhw_7_0"/>
      <w:bookmarkStart w:id="908" w:name="Tc_GaJ7zjp3REKZLc_H-BksKA_6_12"/>
      <w:bookmarkStart w:id="909" w:name="Tc_-KKHDoEL0kSGU_5E-GK1zw_6_9"/>
      <w:bookmarkStart w:id="910" w:name="Tc_LNMtBTFDLUmHNiGqFFIrzw_6_6"/>
      <w:bookmarkStart w:id="911" w:name="Tc_M4PlFLVoJ0y_lXPucJvXng_6_3"/>
      <w:bookmarkStart w:id="912" w:name="Tc_cBRn-vbMtkigns_rohRRdQ_6_0"/>
      <w:bookmarkStart w:id="913" w:name="Tc_jf8zM114Ukus8SJAh_mHHw_5_0"/>
      <w:bookmarkStart w:id="914" w:name="Tc_lTsvpm1Rf0-a2jwtCJsBFA_4_12"/>
      <w:bookmarkStart w:id="915" w:name="Tc_sMDSXWuePEGrPDDYJJrCVg_4_11"/>
      <w:bookmarkStart w:id="916" w:name="Tc_WUNMn8Gn4UqYaAjyE9u_Ig_4_8"/>
      <w:bookmarkStart w:id="917" w:name="Tc_lKDOx1J_eU-KC8y6ADmUZA_4_5"/>
      <w:bookmarkStart w:id="918" w:name="Tc_VD_ZDU6arUC52mpN74hphQ_4_2"/>
      <w:bookmarkStart w:id="919" w:name="Tc_iVOqNJJygU-C4vcHJ9XJ1A_4_0"/>
      <w:bookmarkStart w:id="920" w:name="Tc_3HI7oFX5tUmvsc6vxb_sKQ_3_11"/>
      <w:bookmarkStart w:id="921" w:name="Tc_MJ4KRoMFt0eaj5birpGmug_3_8"/>
      <w:bookmarkStart w:id="922" w:name="Tc_TbyDhq3lKkuwmhZdrP7okA_3_5"/>
      <w:bookmarkStart w:id="923" w:name="Tc_jysk_7f6TEWh8aQHBxFVpA_3_2"/>
      <w:bookmarkStart w:id="924" w:name="Tc_eEp97pUsTkupGbOucVCRFg_2_8"/>
      <w:bookmarkStart w:id="925" w:name="Tc_Z4LbNvwYP0qUUHRQmow0NA_2_2"/>
      <w:bookmarkStart w:id="926" w:name="Tc__5Aco6hs5UCSWYEUF0loZw_1_8"/>
      <w:bookmarkStart w:id="927" w:name="Tc_IY4JxBN-wEy-z0yf7Cg8vQ_1_2"/>
      <w:bookmarkStart w:id="928" w:name="Tc_Lo_Z3o6IfkCI4woVogMBJA_6_5"/>
      <w:bookmarkStart w:id="929" w:name="Tc_VCnt2X9BzU6li6pQXjMNYQ_6_2"/>
      <w:bookmarkStart w:id="930" w:name="Tc_zv8U2kFOdkuuioqDzX7oYg_6_0"/>
      <w:bookmarkStart w:id="931" w:name="Tc_0kAdRmZesk2LL-FqZgxhNw_5_0"/>
      <w:bookmarkStart w:id="932" w:name="Tc_RYDxyT5bYkipQUs4NQa5Ew_4_0"/>
      <w:bookmarkStart w:id="933" w:name="Tc_6Lr6mzGmo0Osq2yAJ03T6Q_3_5"/>
      <w:bookmarkStart w:id="934" w:name="Tc_mAqn6DSDJ06hTKS3Frc9Cw_3_2"/>
      <w:bookmarkStart w:id="935" w:name="Tc_tLQkJoea6U-IkbV47IBMlA_3_0"/>
      <w:bookmarkStart w:id="936" w:name="Tc_j3CUI-F3W0uPtrpvYkaxDQ_2_5"/>
      <w:bookmarkStart w:id="937" w:name="Tc_BxBspEyvfkeMVhgYRbGJLw_2_2"/>
      <w:bookmarkStart w:id="938" w:name="Tc_hC_DMS-CTUGXSd_6kfH2ow_1_5"/>
      <w:bookmarkStart w:id="939" w:name="Tc_PzwC0uz1IkGkj-mHRayHLg_1_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r>
        <w:rPr>
          <w:rFonts w:ascii="Times New Roman;Times;serif" w:hAnsi="Times New Roman;Times;serif"/>
          <w:sz w:val="20"/>
        </w:rPr>
        <w:t>described in more detail in Note 19, Subsequent Events, in these Notes to Condensed Financial Statements (Unaudited) for the quarter ended June 30,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notes receivable, net of allowance for loan losses and deferred financing fees, consisted of the following at June 30, 2024 and December 31, 2023:</w:t>
      </w:r>
    </w:p>
    <w:p>
      <w:pPr>
        <w:pStyle w:val="TextBody"/>
        <w:bidi w:val="0"/>
        <w:spacing w:before="0" w:after="0"/>
        <w:ind w:left="0" w:right="0" w:hanging="0"/>
        <w:jc w:val="left"/>
        <w:rPr/>
      </w:pPr>
      <w:r>
        <w:rPr/>
        <w:t>​</w:t>
      </w:r>
    </w:p>
    <w:tbl>
      <w:tblPr>
        <w:tblW w:w="6968" w:type="dxa"/>
        <w:jc w:val="left"/>
        <w:tblInd w:w="0" w:type="dxa"/>
        <w:tblLayout w:type="fixed"/>
        <w:tblCellMar>
          <w:top w:w="0" w:type="dxa"/>
          <w:left w:w="0" w:type="dxa"/>
          <w:bottom w:w="0" w:type="dxa"/>
          <w:right w:w="0" w:type="dxa"/>
        </w:tblCellMar>
      </w:tblPr>
      <w:tblGrid>
        <w:gridCol w:w="3526"/>
        <w:gridCol w:w="326"/>
        <w:gridCol w:w="282"/>
        <w:gridCol w:w="903"/>
        <w:gridCol w:w="326"/>
        <w:gridCol w:w="337"/>
        <w:gridCol w:w="1268"/>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39010" cy="175260"/>
                      <wp:effectExtent l="0" t="0" r="0" b="0"/>
                      <wp:wrapNone/>
                      <wp:docPr id="239" name="Frame23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79070" cy="175260"/>
                      <wp:effectExtent l="0" t="0" r="0" b="0"/>
                      <wp:wrapNone/>
                      <wp:docPr id="241" name="Frame24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73405" cy="175260"/>
                      <wp:effectExtent l="0" t="0" r="0" b="0"/>
                      <wp:wrapNone/>
                      <wp:docPr id="242" name="Frame24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3995" cy="175260"/>
                      <wp:effectExtent l="0" t="0" r="0" b="0"/>
                      <wp:wrapNone/>
                      <wp:docPr id="244" name="Frame24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05180" cy="175260"/>
                      <wp:effectExtent l="0" t="0" r="0" b="0"/>
                      <wp:wrapNone/>
                      <wp:docPr id="245" name="Frame245"/>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35,353</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30,842</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34,590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three and six months ended June 30, 2024 and 2023:</w:t>
      </w:r>
    </w:p>
    <w:p>
      <w:pPr>
        <w:pStyle w:val="TextBody"/>
        <w:bidi w:val="0"/>
        <w:spacing w:before="0" w:after="0"/>
        <w:ind w:left="0" w:right="0" w:hanging="0"/>
        <w:jc w:val="left"/>
        <w:rPr/>
      </w:pPr>
      <w:r>
        <w:rPr/>
        <w:t>​</w:t>
      </w:r>
    </w:p>
    <w:tbl>
      <w:tblPr>
        <w:tblW w:w="7226" w:type="dxa"/>
        <w:jc w:val="left"/>
        <w:tblInd w:w="0" w:type="dxa"/>
        <w:tblLayout w:type="fixed"/>
        <w:tblCellMar>
          <w:top w:w="0" w:type="dxa"/>
          <w:left w:w="0" w:type="dxa"/>
          <w:bottom w:w="0" w:type="dxa"/>
          <w:right w:w="0" w:type="dxa"/>
        </w:tblCellMar>
      </w:tblPr>
      <w:tblGrid>
        <w:gridCol w:w="3901"/>
        <w:gridCol w:w="109"/>
        <w:gridCol w:w="226"/>
        <w:gridCol w:w="452"/>
        <w:gridCol w:w="117"/>
        <w:gridCol w:w="226"/>
        <w:gridCol w:w="581"/>
        <w:gridCol w:w="109"/>
        <w:gridCol w:w="211"/>
        <w:gridCol w:w="436"/>
        <w:gridCol w:w="109"/>
        <w:gridCol w:w="211"/>
        <w:gridCol w:w="53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77135" cy="175260"/>
                      <wp:effectExtent l="0" t="0" r="0" b="0"/>
                      <wp:wrapNone/>
                      <wp:docPr id="246" name="Frame24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3510" cy="175260"/>
                      <wp:effectExtent l="0" t="0" r="0" b="0"/>
                      <wp:wrapNone/>
                      <wp:docPr id="248" name="Frame2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7020" cy="175260"/>
                      <wp:effectExtent l="0" t="0" r="0" b="0"/>
                      <wp:wrapNone/>
                      <wp:docPr id="249" name="Frame249"/>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74295" cy="175260"/>
                      <wp:effectExtent l="0" t="0" r="0" b="0"/>
                      <wp:wrapNone/>
                      <wp:docPr id="250" name="Frame25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3510" cy="175260"/>
                      <wp:effectExtent l="0" t="0" r="0" b="0"/>
                      <wp:wrapNone/>
                      <wp:docPr id="251" name="Frame2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68935" cy="175260"/>
                      <wp:effectExtent l="0" t="0" r="0" b="0"/>
                      <wp:wrapNone/>
                      <wp:docPr id="252" name="Frame252"/>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76860" cy="175260"/>
                      <wp:effectExtent l="0" t="0" r="0" b="0"/>
                      <wp:wrapNone/>
                      <wp:docPr id="255" name="Frame25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41630" cy="175260"/>
                      <wp:effectExtent l="0" t="0" r="0" b="0"/>
                      <wp:wrapNone/>
                      <wp:docPr id="258" name="Frame258"/>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5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15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7" w:type="dxa"/>
            <w:tcBorders/>
            <w:vAlign w:val="center"/>
          </w:tcPr>
          <w:p>
            <w:pPr>
              <w:pStyle w:val="TableContents"/>
              <w:bidi w:val="0"/>
              <w:spacing w:before="0" w:after="1"/>
              <w:ind w:left="0" w:right="0" w:hanging="0"/>
              <w:jc w:val="left"/>
              <w:rPr/>
            </w:pPr>
            <w:r>
              <w:rPr/>
              <w:t>​</w:t>
            </w:r>
          </w:p>
        </w:tc>
        <w:tc>
          <w:tcPr>
            <w:tcW w:w="8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17"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1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117"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231</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 at June 30, 2024 and December 31, 2023:</w:t>
      </w:r>
    </w:p>
    <w:p>
      <w:pPr>
        <w:pStyle w:val="TextBody"/>
        <w:bidi w:val="0"/>
        <w:spacing w:before="0" w:after="0"/>
        <w:ind w:left="0" w:right="0" w:hanging="0"/>
        <w:jc w:val="left"/>
        <w:rPr/>
      </w:pPr>
      <w:r>
        <w:rPr/>
        <w:t>​</w:t>
      </w:r>
    </w:p>
    <w:tbl>
      <w:tblPr>
        <w:tblW w:w="7944" w:type="dxa"/>
        <w:jc w:val="left"/>
        <w:tblInd w:w="0" w:type="dxa"/>
        <w:tblLayout w:type="fixed"/>
        <w:tblCellMar>
          <w:top w:w="0" w:type="dxa"/>
          <w:left w:w="0" w:type="dxa"/>
          <w:bottom w:w="0" w:type="dxa"/>
          <w:right w:w="0" w:type="dxa"/>
        </w:tblCellMar>
      </w:tblPr>
      <w:tblGrid>
        <w:gridCol w:w="4936"/>
        <w:gridCol w:w="109"/>
        <w:gridCol w:w="282"/>
        <w:gridCol w:w="903"/>
        <w:gridCol w:w="109"/>
        <w:gridCol w:w="363"/>
        <w:gridCol w:w="1242"/>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134360" cy="175260"/>
                      <wp:effectExtent l="0" t="0" r="0" b="0"/>
                      <wp:wrapNone/>
                      <wp:docPr id="259" name="Frame259"/>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79070" cy="175260"/>
                      <wp:effectExtent l="0" t="0" r="0" b="0"/>
                      <wp:wrapNone/>
                      <wp:docPr id="261" name="Frame26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73405" cy="175260"/>
                      <wp:effectExtent l="0" t="0" r="0" b="0"/>
                      <wp:wrapNone/>
                      <wp:docPr id="262" name="Frame26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0505" cy="175260"/>
                      <wp:effectExtent l="0" t="0" r="0" b="0"/>
                      <wp:wrapNone/>
                      <wp:docPr id="264" name="Frame26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88670" cy="175260"/>
                      <wp:effectExtent l="0" t="0" r="0" b="0"/>
                      <wp:wrapNone/>
                      <wp:docPr id="265" name="Frame265"/>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9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notes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31,330</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35,353</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25,362</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notes receivable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5,968</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152</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Other notes receivable portfolio based on the aging status of the loan and by payment activity. Loan delinquency reporting is generally based upon borrower payment activity, relative to the contractual terms of the loan. The following table disaggregates the outstanding principal balance of Other notes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940" w:name="Tc_IXv4SjrLIUSmRoO1xifh2w_6_23"/>
      <w:bookmarkStart w:id="941" w:name="Tc_mGDdQ-9sQUq146CEOM6VRQ_6_20"/>
      <w:bookmarkStart w:id="942" w:name="Tc_e2w_swKsQE67Sfe5fzpxag_6_17"/>
      <w:bookmarkStart w:id="943" w:name="Tc_jejB4xLHq0eq16lBuFlMxw_6_14"/>
      <w:bookmarkStart w:id="944" w:name="Tc_dfuMRoxHH0CQoHAQXg4L3A_6_11"/>
      <w:bookmarkStart w:id="945" w:name="Tc_Vw3EiNSsHkqaYYF6a4b8vg_6_8"/>
      <w:bookmarkStart w:id="946" w:name="Tc_94JFj0cFT0WPViqTmJMVtw_6_5"/>
      <w:bookmarkStart w:id="947" w:name="Tc_hbi9nU9raESCpTq2d84u2Q_6_2"/>
      <w:bookmarkStart w:id="948" w:name="Tc_eLjAUkXEDk2pkrsBuzajUg_6_0"/>
      <w:bookmarkStart w:id="949" w:name="Tc_rVgjkTjuBEq_JMmrRtJiGA_5_18"/>
      <w:bookmarkStart w:id="950" w:name="Tc_mWX4cBrwqUiN1kedKv5y5w_5_15"/>
      <w:bookmarkStart w:id="951" w:name="Tc_9bYGRXkjnESnrX28s4dlIA_5_3"/>
      <w:bookmarkStart w:id="952" w:name="Tc_6yAtwBDkGkSHUcnj0w851Q_5_0"/>
      <w:bookmarkStart w:id="953" w:name="Tc_AqSzXoIc40iUoRaXFy3ilA_4_15"/>
      <w:bookmarkStart w:id="954" w:name="Tc_oDZQ9-jop0WJuPlo9SZ2AA_4_12"/>
      <w:bookmarkStart w:id="955" w:name="Tc_abXBNQ5TW0C43aEfoIvZfg_4_6"/>
      <w:bookmarkStart w:id="956" w:name="Tc_BCghPeA-JEaGEZccVQLRwQ_4_3"/>
      <w:bookmarkStart w:id="957" w:name="Tc_g3Wof0jWp0qD3KBDWXTuoQ_4_0"/>
      <w:bookmarkStart w:id="958" w:name="Tc_FgpgnG9Y9EmjLuoqdq18Hw_3_23"/>
      <w:bookmarkStart w:id="959" w:name="Tc_FvKg7HcJoUuGuu52-3louA_3_20"/>
      <w:bookmarkStart w:id="960" w:name="Tc_3qeuY9FiYUGpvjRCDPw_UA_3_17"/>
      <w:bookmarkStart w:id="961" w:name="Tc_nJUwwC678kSk3g1msihTqQ_3_14"/>
      <w:bookmarkStart w:id="962" w:name="Tc_mwvjhza0Uk-JmK6iGTvYIQ_3_11"/>
      <w:bookmarkStart w:id="963" w:name="Tc_NYtmFXynTU-9jpGUgl5X-A_3_9"/>
      <w:bookmarkStart w:id="964" w:name="Tc_DAVok9UrEEWxs2kzjhmbpQ_3_8"/>
      <w:bookmarkStart w:id="965" w:name="Tc_lPsd4BcJxkG_9RUuy0D5gg_3_5"/>
      <w:bookmarkStart w:id="966" w:name="Tc_ogRkyCsawU2sEjdZceBK_A_3_2"/>
      <w:bookmarkStart w:id="967" w:name="Tc_XXbwTEqLy0qYilpc5NaQQg_3_0"/>
      <w:bookmarkStart w:id="968" w:name="Tc_G1khNn6zjkmNjP-ZIZa1fA_2_23"/>
      <w:bookmarkStart w:id="969" w:name="Tc_RSwOS79h5EqcSjbZdQ3wOg_2_20"/>
      <w:bookmarkStart w:id="970" w:name="Tc_Fq2fYnyYekGOtKk3GM3hIA_2_17"/>
      <w:bookmarkStart w:id="971" w:name="Tc_g8gInHbiFk-QhP2qhneqww_2_14"/>
      <w:bookmarkStart w:id="972" w:name="Tc__TayR74z4ESXjEkCv_aA0A_2_11"/>
      <w:bookmarkStart w:id="973" w:name="Tc_ME1XiBJgd0S0W5yUsadGyQ_2_8"/>
      <w:bookmarkStart w:id="974" w:name="Tc_iyuvz9IVqECq2lFMQDFDuw_2_5"/>
      <w:bookmarkStart w:id="975" w:name="Tc_vVmOkyUDukmUs1CZ3Ko1nA_2_2"/>
      <w:bookmarkStart w:id="976" w:name="Tc_AibwaG1vxUK1oT8sqfZV2g_1_2"/>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Times New Roman;Times;serif" w:hAnsi="Times New Roman;Times;serif"/>
          <w:sz w:val="20"/>
        </w:rPr>
        <w:t>receivable by credit quality indicator based on delinquency status and fiscal year of origination and is presented as of June 30, 2024:</w:t>
      </w:r>
    </w:p>
    <w:p>
      <w:pPr>
        <w:pStyle w:val="TextBody"/>
        <w:bidi w:val="0"/>
        <w:spacing w:before="0" w:after="0"/>
        <w:ind w:left="0" w:right="0" w:hanging="0"/>
        <w:jc w:val="left"/>
        <w:rPr/>
      </w:pPr>
      <w:r>
        <w:rPr/>
        <w:t>​</w:t>
      </w:r>
    </w:p>
    <w:tbl>
      <w:tblPr>
        <w:tblW w:w="8837" w:type="dxa"/>
        <w:jc w:val="left"/>
        <w:tblInd w:w="0" w:type="dxa"/>
        <w:tblLayout w:type="fixed"/>
        <w:tblCellMar>
          <w:top w:w="0" w:type="dxa"/>
          <w:left w:w="0" w:type="dxa"/>
          <w:bottom w:w="0" w:type="dxa"/>
          <w:right w:w="0" w:type="dxa"/>
        </w:tblCellMar>
      </w:tblPr>
      <w:tblGrid>
        <w:gridCol w:w="1741"/>
        <w:gridCol w:w="109"/>
        <w:gridCol w:w="211"/>
        <w:gridCol w:w="571"/>
        <w:gridCol w:w="109"/>
        <w:gridCol w:w="211"/>
        <w:gridCol w:w="676"/>
        <w:gridCol w:w="109"/>
        <w:gridCol w:w="211"/>
        <w:gridCol w:w="421"/>
        <w:gridCol w:w="109"/>
        <w:gridCol w:w="211"/>
        <w:gridCol w:w="421"/>
        <w:gridCol w:w="109"/>
        <w:gridCol w:w="211"/>
        <w:gridCol w:w="421"/>
        <w:gridCol w:w="109"/>
        <w:gridCol w:w="211"/>
        <w:gridCol w:w="346"/>
        <w:gridCol w:w="109"/>
        <w:gridCol w:w="211"/>
        <w:gridCol w:w="676"/>
        <w:gridCol w:w="109"/>
        <w:gridCol w:w="347"/>
        <w:gridCol w:w="868"/>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05535" cy="175260"/>
                      <wp:effectExtent l="0" t="0" r="0" b="0"/>
                      <wp:wrapNone/>
                      <wp:docPr id="266" name="Frame26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2585" cy="175260"/>
                      <wp:effectExtent l="0" t="0" r="0" b="0"/>
                      <wp:wrapNone/>
                      <wp:docPr id="269" name="Frame2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29260" cy="175260"/>
                      <wp:effectExtent l="0" t="0" r="0" b="0"/>
                      <wp:wrapNone/>
                      <wp:docPr id="272" name="Frame2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7335" cy="175260"/>
                      <wp:effectExtent l="0" t="0" r="0" b="0"/>
                      <wp:wrapNone/>
                      <wp:docPr id="275" name="Frame2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67335" cy="175260"/>
                      <wp:effectExtent l="0" t="0" r="0" b="0"/>
                      <wp:wrapNone/>
                      <wp:docPr id="278" name="Frame27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7335" cy="175260"/>
                      <wp:effectExtent l="0" t="0" r="0" b="0"/>
                      <wp:wrapNone/>
                      <wp:docPr id="281" name="Frame28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7" name="Frame2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0345" cy="175260"/>
                      <wp:effectExtent l="0" t="0" r="0" b="0"/>
                      <wp:wrapNone/>
                      <wp:docPr id="289" name="Frame28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51180" cy="175260"/>
                      <wp:effectExtent l="0" t="0" r="0" b="0"/>
                      <wp:wrapNone/>
                      <wp:docPr id="290" name="Frame290"/>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87"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18,655</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12,152</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31,330</w:t>
            </w:r>
          </w:p>
        </w:tc>
        <w:tc>
          <w:tcPr>
            <w:tcW w:w="109"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977" w:name="Tc_20VB-A7brkOlgfwtfE6Y0Q_7_11"/>
      <w:bookmarkStart w:id="978" w:name="Tc_4uo6ec93eUS5-SMX1eY2BQ_7_8"/>
      <w:bookmarkStart w:id="979" w:name="Tc_UKp9lyEBz0izTZlVse0L8Q_7_5"/>
      <w:bookmarkStart w:id="980" w:name="Tc_baLQqMDwH0Wtor6KIRRcQw_7_2"/>
      <w:bookmarkStart w:id="981" w:name="Tc_6MwRfM6_I0CdbpIkMfLYIQ_7_0"/>
      <w:bookmarkStart w:id="982" w:name="Tc_8vk3zt2tRE-Uq_Ret6pvZQ_6_12"/>
      <w:bookmarkStart w:id="983" w:name="Tc_Nt88anfKvEa9xXw7y5vZ_g_6_9"/>
      <w:bookmarkStart w:id="984" w:name="Tc_ECGu9MMX8UG973zPyi_HYQ_6_6"/>
      <w:bookmarkStart w:id="985" w:name="Tc_5p711LzPSEG65ygiLMzX_Q_6_3"/>
      <w:bookmarkStart w:id="986" w:name="Tc_-WiLiEopXU2zkSyl4-c9Bg_6_0"/>
      <w:bookmarkStart w:id="987" w:name="Tc_qxnM_w1nBUitgwMzA6IvmQ_5_0"/>
      <w:bookmarkStart w:id="988" w:name="Tc_04Bt8RQ8Q0W-X4OYFxnFcg_4_11"/>
      <w:bookmarkStart w:id="989" w:name="Tc_8oHJ7iys50iZRlNm_pp3jg_4_8"/>
      <w:bookmarkStart w:id="990" w:name="Tc_nAM77yY9V0CqKsCZmNOLLA_4_5"/>
      <w:bookmarkStart w:id="991" w:name="Tc_CtWtAOqs70aGGjCb03rHiQ_4_2"/>
      <w:bookmarkStart w:id="992" w:name="Tc_2aeBOfc1O0C9JBRNRIoRfA_4_0"/>
      <w:bookmarkStart w:id="993" w:name="Tc_UYEegqJvZk-bOyLcnlQ7Iw_3_11"/>
      <w:bookmarkStart w:id="994" w:name="Tc_nzWASwbzaE-jsk3HfODPyg_3_8"/>
      <w:bookmarkStart w:id="995" w:name="Tc_jv7u2czHp0OYfJeeffrUIw_3_5"/>
      <w:bookmarkStart w:id="996" w:name="Tc_D7E1J_DahEKgjpaAbf-yBQ_3_2"/>
      <w:bookmarkStart w:id="997" w:name="Tc_zAm8sM8yMkqgzmcb6yv7Hw_2_8"/>
      <w:bookmarkStart w:id="998" w:name="Tc_on_U8Aux9kKqcctaEA6Dag_2_2"/>
      <w:bookmarkStart w:id="999" w:name="Tc_fQovmu8kNU69D8OyH0pYLw_1_8"/>
      <w:bookmarkStart w:id="1000" w:name="Tc__Tzplq05uEW7rzDXtHbLNw_1_2"/>
      <w:bookmarkStart w:id="1001" w:name="Tc_hX-4GNSslUK_NZcJt_-n5Q_5_5"/>
      <w:bookmarkStart w:id="1002" w:name="Tc_K62QEf68QkSmWKCYAfAZMQ_5_2"/>
      <w:bookmarkStart w:id="1003" w:name="Tc_EqVDmoF460OqafWNTANjGA_5_0"/>
      <w:bookmarkStart w:id="1004" w:name="Tc_epMy-n3dSUSA9I2ICzXYyg_4_0"/>
      <w:bookmarkStart w:id="1005" w:name="Tc_Bjsab54uS0aKjqMX0MNh2w_3_5"/>
      <w:bookmarkStart w:id="1006" w:name="Tc_DyKDOesOWEOZHpmxOcxncg_3_2"/>
      <w:bookmarkStart w:id="1007" w:name="Tc_Q4c8qy08Vk-euMJzzCtQ4Q_3_0"/>
      <w:bookmarkStart w:id="1008" w:name="Tc_r5wyIMreC06hZll1qWWQlA_2_5"/>
      <w:bookmarkStart w:id="1009" w:name="Tc_VCib49pMw02SRycoaOuWjw_2_2"/>
      <w:bookmarkStart w:id="1010" w:name="Tc_3Sh4vBVCf0Gf4bLotHZE9w_1_5"/>
      <w:bookmarkStart w:id="1011" w:name="Tc_yIqMHUBvCUuXq5Tv74bRAg_1_2"/>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6. DEALER FINANCED RECEIVABLES</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val="false"/>
          <w:sz w:val="20"/>
        </w:rPr>
        <w:t>Dealer finance receivable are receivables for loans that we make to independent retailers, or dealers, for the purchase of mobile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w:t>
      </w:r>
      <w:r>
        <w:rPr>
          <w:rFonts w:ascii="Times New Roman;Times;serif" w:hAnsi="Times New Roman;Times;serif"/>
          <w:b/>
          <w:sz w:val="20"/>
        </w:rPr>
        <w:t xml:space="preserve"> </w:t>
      </w:r>
      <w:r>
        <w:rPr>
          <w:rFonts w:ascii="Times New Roman;Times;serif" w:hAnsi="Times New Roman;Times;serif"/>
          <w:b w:val="false"/>
          <w:sz w:val="20"/>
        </w:rPr>
        <w:t>term, a monthly interest payment, an annual curtailment payment and require the retailer to pay the principal amount of the loan to the Company upon the earlier of the sale of the home by the retailer to its customer or the end of the term.</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Dealer financed notes receivable, net of allowance for loan losses and deferred financing fees, consisted of the following at June 30, 2024 and December 31, 2023:</w:t>
      </w:r>
    </w:p>
    <w:p>
      <w:pPr>
        <w:pStyle w:val="TextBody"/>
        <w:bidi w:val="0"/>
        <w:spacing w:before="0" w:after="0"/>
        <w:ind w:left="0" w:right="0" w:hanging="0"/>
        <w:jc w:val="left"/>
        <w:rPr/>
      </w:pPr>
      <w:r>
        <w:rPr/>
        <w:t>​</w:t>
      </w:r>
    </w:p>
    <w:tbl>
      <w:tblPr>
        <w:tblW w:w="5589" w:type="dxa"/>
        <w:jc w:val="left"/>
        <w:tblInd w:w="0" w:type="dxa"/>
        <w:tblLayout w:type="fixed"/>
        <w:tblCellMar>
          <w:top w:w="0" w:type="dxa"/>
          <w:left w:w="0" w:type="dxa"/>
          <w:bottom w:w="0" w:type="dxa"/>
          <w:right w:w="0" w:type="dxa"/>
        </w:tblCellMar>
      </w:tblPr>
      <w:tblGrid>
        <w:gridCol w:w="2581"/>
        <w:gridCol w:w="109"/>
        <w:gridCol w:w="282"/>
        <w:gridCol w:w="903"/>
        <w:gridCol w:w="109"/>
        <w:gridCol w:w="337"/>
        <w:gridCol w:w="1268"/>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638935" cy="175260"/>
                      <wp:effectExtent l="0" t="0" r="0" b="0"/>
                      <wp:wrapNone/>
                      <wp:docPr id="291" name="Frame29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79070" cy="175260"/>
                      <wp:effectExtent l="0" t="0" r="0" b="0"/>
                      <wp:wrapNone/>
                      <wp:docPr id="293" name="Frame29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73405" cy="175260"/>
                      <wp:effectExtent l="0" t="0" r="0" b="0"/>
                      <wp:wrapNone/>
                      <wp:docPr id="294" name="Frame294"/>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3995" cy="175260"/>
                      <wp:effectExtent l="0" t="0" r="0" b="0"/>
                      <wp:wrapNone/>
                      <wp:docPr id="296" name="Frame29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805180" cy="175260"/>
                      <wp:effectExtent l="0" t="0" r="0" b="0"/>
                      <wp:wrapNone/>
                      <wp:docPr id="297" name="Frame297"/>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33,162</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32,980</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32,987</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32,538</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three and six months ended June 30, 2024 and 2023:</w:t>
      </w:r>
    </w:p>
    <w:p>
      <w:pPr>
        <w:pStyle w:val="TextBody"/>
        <w:bidi w:val="0"/>
        <w:spacing w:before="0" w:after="0"/>
        <w:ind w:left="0" w:right="0" w:hanging="0"/>
        <w:jc w:val="left"/>
        <w:rPr/>
      </w:pPr>
      <w:r>
        <w:rPr/>
        <w:t>​</w:t>
      </w:r>
    </w:p>
    <w:tbl>
      <w:tblPr>
        <w:tblW w:w="7286" w:type="dxa"/>
        <w:jc w:val="left"/>
        <w:tblInd w:w="0" w:type="dxa"/>
        <w:tblLayout w:type="fixed"/>
        <w:tblCellMar>
          <w:top w:w="0" w:type="dxa"/>
          <w:left w:w="0" w:type="dxa"/>
          <w:bottom w:w="0" w:type="dxa"/>
          <w:right w:w="0" w:type="dxa"/>
        </w:tblCellMar>
      </w:tblPr>
      <w:tblGrid>
        <w:gridCol w:w="3901"/>
        <w:gridCol w:w="109"/>
        <w:gridCol w:w="239"/>
        <w:gridCol w:w="478"/>
        <w:gridCol w:w="123"/>
        <w:gridCol w:w="239"/>
        <w:gridCol w:w="478"/>
        <w:gridCol w:w="109"/>
        <w:gridCol w:w="211"/>
        <w:gridCol w:w="541"/>
        <w:gridCol w:w="109"/>
        <w:gridCol w:w="211"/>
        <w:gridCol w:w="53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77135" cy="175260"/>
                      <wp:effectExtent l="0" t="0" r="0" b="0"/>
                      <wp:wrapNone/>
                      <wp:docPr id="298" name="Frame298"/>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51765" cy="175260"/>
                      <wp:effectExtent l="0" t="0" r="0" b="0"/>
                      <wp:wrapNone/>
                      <wp:docPr id="300" name="Frame3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03530" cy="175260"/>
                      <wp:effectExtent l="0" t="0" r="0" b="0"/>
                      <wp:wrapNone/>
                      <wp:docPr id="301" name="Frame301"/>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8105" cy="175260"/>
                      <wp:effectExtent l="0" t="0" r="0" b="0"/>
                      <wp:wrapNone/>
                      <wp:docPr id="302" name="Frame30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1765" cy="175260"/>
                      <wp:effectExtent l="0" t="0" r="0" b="0"/>
                      <wp:wrapNone/>
                      <wp:docPr id="303" name="Frame3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03530" cy="175260"/>
                      <wp:effectExtent l="0" t="0" r="0" b="0"/>
                      <wp:wrapNone/>
                      <wp:docPr id="304" name="Frame304"/>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43535" cy="175260"/>
                      <wp:effectExtent l="0" t="0" r="0" b="0"/>
                      <wp:wrapNone/>
                      <wp:docPr id="307" name="Frame30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41630" cy="175260"/>
                      <wp:effectExtent l="0" t="0" r="0" b="0"/>
                      <wp:wrapNone/>
                      <wp:docPr id="310" name="Frame310"/>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left"/>
              <w:rPr/>
            </w:pPr>
            <w:r>
              <w:rPr/>
              <w:t>​</w:t>
            </w:r>
          </w:p>
        </w:tc>
        <w:tc>
          <w:tcPr>
            <w:tcW w:w="16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16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3" w:type="dxa"/>
            <w:tcBorders/>
            <w:vAlign w:val="center"/>
          </w:tcPr>
          <w:p>
            <w:pPr>
              <w:pStyle w:val="TableContents"/>
              <w:bidi w:val="0"/>
              <w:spacing w:before="0" w:after="1"/>
              <w:ind w:left="0" w:right="0" w:hanging="0"/>
              <w:jc w:val="left"/>
              <w:rPr/>
            </w:pPr>
            <w:r>
              <w:rPr/>
              <w:t>​</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2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23"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319</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The dealer financed loan portfolio was established primarily in late 2022 and 2023 as a result of converting from consignment arrangements with dealers to inventory finance arrangements with dealers. As such, there is relatively little historical data to measure credit quality of the loans in this portfolio.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currently has 13 operating leases, eight of which are for the Company’s Heritage Housing and Tiny Homes retail locations, three are subleased by the Company and two are for corporate and administrative offices in Bedford, TX and Norcross, GA. These leases typically have initial terms ranging from 5 to 10 years and include one or more options to renew.</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Under ASC 842, the Company elected the modified retrospective approach, applying the new standard to all leases at the date of initial application.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determine if an arrangement is or contains a lease at inception. Operating leases are right-of-use (“ROU”) assets and are shown as ROU assets – operating leases on our balance sheets. The lease liabilities are shown as Operating lease obligation and Operating lease obligation, less current portion on our balance sheets. ROU assets represent our right to use an underlying asset for the lease term, and lease liabilities represent our obligation to make lease payments arising from the lease.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Many of our leases contain renewal options. As the exercise of the renewal options is not likely at the commencement of a lease, we generally do not include the option periods in the lease term when determining the lease liabilities and ROU assets. We remeasure the lease liability and ROU asset when it is reasonably likely that we will exercise a renewal option.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As of June 30, 2024, the remaining weighted-average lease term is 3.57 years and the weighted-average discount rate is 2.10%.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year ended June 30,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Short-term leases, those with a term of 12 months or less, are not recorded on our balance sheet. Our short-term lease costs were not material for the year ended June 30, 2024.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Lease expense for operating leases consists of fixed lease payments recognized on a straight-line basis over the lease term plus variable lease payments as incurred. Amortization of the ROU asset for operating leases reflects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012" w:name="Tc_idD8xhDzxk6bS4seZW_XCw_11_2"/>
      <w:bookmarkStart w:id="1013" w:name="Tc_fXMUMx6uX0Gi6K1s3wiyQg_11_0"/>
      <w:bookmarkStart w:id="1014" w:name="Tc_5fCx0xFXFkK6bW87RtBDAg_10_0"/>
      <w:bookmarkStart w:id="1015" w:name="Tc_A-JULagcqUOEKQN7d0T66Q_9_2"/>
      <w:bookmarkStart w:id="1016" w:name="Tc_wMUnDBRw-0Sb2W3049Ppwg_9_0"/>
      <w:bookmarkStart w:id="1017" w:name="Tc_PepcFWGHpUS84P78NgM-EA_8_0"/>
      <w:bookmarkStart w:id="1018" w:name="Tc_BjUHmnLBP0WYkhPV4SF6EQ_7_2"/>
      <w:bookmarkStart w:id="1019" w:name="Tc_TGwBsX_uEkaJXQftBUN41w_7_0"/>
      <w:bookmarkStart w:id="1020" w:name="Tc_Fn1dc7wjPU2Y3sWTJMysoQ_6_3"/>
      <w:bookmarkStart w:id="1021" w:name="Tc_ifDoxb7tHUKDw8-qir-HdQ_6_0"/>
      <w:bookmarkStart w:id="1022" w:name="Tc_XYN-E92ut0iBgo8pgrrWNQ_5_0"/>
      <w:bookmarkStart w:id="1023" w:name="Tc_7Nl0g9qNRUuugCk9UzWkaQ_4_0"/>
      <w:bookmarkStart w:id="1024" w:name="Tc_U6SPpqTjOE6ZeN5REwZkBQ_3_0"/>
      <w:bookmarkStart w:id="1025" w:name="Tc_1hq-sTJTDkSPaGhAt8jzCQ_2_0"/>
      <w:bookmarkStart w:id="1026" w:name="Tc_D1AbOuFW7EuHYf2e_QurqA_1_2"/>
      <w:bookmarkStart w:id="1027" w:name="Tc_AJmo1S9IpE25Xg1XFODLew_1_0"/>
      <w:bookmarkStart w:id="1028" w:name="_4ed4dbcf_74cc_4e49_b829_f6533c90b63f"/>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Times New Roman;Times;serif" w:hAnsi="Times New Roman;Times;serif"/>
          <w:sz w:val="20"/>
        </w:rPr>
        <w:t>amortization of the lease liability, any differences between straight-line expense and related lease payments during the accounting period, and any impairments.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2024, present value of future lease payments under our operating lease liabilities were as follows:</w:t>
      </w:r>
    </w:p>
    <w:tbl>
      <w:tblPr>
        <w:tblW w:w="4061" w:type="dxa"/>
        <w:jc w:val="left"/>
        <w:tblInd w:w="0" w:type="dxa"/>
        <w:tblLayout w:type="fixed"/>
        <w:tblCellMar>
          <w:top w:w="0" w:type="dxa"/>
          <w:left w:w="0" w:type="dxa"/>
          <w:bottom w:w="0" w:type="dxa"/>
          <w:right w:w="0" w:type="dxa"/>
        </w:tblCellMar>
      </w:tblPr>
      <w:tblGrid>
        <w:gridCol w:w="2836"/>
        <w:gridCol w:w="326"/>
        <w:gridCol w:w="211"/>
        <w:gridCol w:w="68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800860" cy="175260"/>
                      <wp:effectExtent l="0" t="0" r="0" b="0"/>
                      <wp:wrapNone/>
                      <wp:docPr id="311" name="Frame31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6880" cy="175260"/>
                      <wp:effectExtent l="0" t="0" r="0" b="0"/>
                      <wp:wrapNone/>
                      <wp:docPr id="314" name="Frame31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lease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1,157</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29" w:name="Tc_Vf6DYpm71Uq5ExIeC6_UVg_6_5"/>
      <w:bookmarkStart w:id="1030" w:name="Tc_4ghJeMWR_E-IYBrXK1tSEg_6_2"/>
      <w:bookmarkStart w:id="1031" w:name="Tc_O2hXhAA1F02rO1utydIN9Q_6_0"/>
      <w:bookmarkStart w:id="1032" w:name="Tc_ch01JzBz8EiaW3g5gFFQ0w_5_0"/>
      <w:bookmarkStart w:id="1033" w:name="Tc_3LrPc3qeNkqYBbPqcZRPiQ_4_0"/>
      <w:bookmarkStart w:id="1034" w:name="Tc_TdYl3psdJES-JUJj6xpmnA_3_5"/>
      <w:bookmarkStart w:id="1035" w:name="Tc_llnZTC3qkE6BVDJedo67YQ_3_2"/>
      <w:bookmarkStart w:id="1036" w:name="Tc_UgcE2eMLlEaLRZlicaBbUw_3_0"/>
      <w:bookmarkStart w:id="1037" w:name="Tc_1Z1G1jfCrkOYJrVovYnpbA_2_5"/>
      <w:bookmarkStart w:id="1038" w:name="Tc_ZTNy0KcdvUmM53LSrjsnpA_2_2"/>
      <w:bookmarkStart w:id="1039" w:name="Tc_XNpi1qBPQ0uych8xA02UtA_1_5"/>
      <w:bookmarkStart w:id="1040" w:name="Tc_EkZJLqV74E2QEmYSEMK-yg_1_2"/>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b/>
          <w:sz w:val="20"/>
        </w:rPr>
        <w:t>8. INVENTORIES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 at June 30, 2024 and December 31, 2023:</w:t>
      </w:r>
    </w:p>
    <w:p>
      <w:pPr>
        <w:pStyle w:val="TextBody"/>
        <w:bidi w:val="0"/>
        <w:spacing w:before="0" w:after="0"/>
        <w:ind w:left="0" w:right="0" w:hanging="0"/>
        <w:jc w:val="left"/>
        <w:rPr/>
      </w:pPr>
      <w:r>
        <w:rPr/>
        <w:t>​</w:t>
      </w:r>
    </w:p>
    <w:tbl>
      <w:tblPr>
        <w:tblW w:w="4943" w:type="dxa"/>
        <w:jc w:val="left"/>
        <w:tblInd w:w="0" w:type="dxa"/>
        <w:tblLayout w:type="fixed"/>
        <w:tblCellMar>
          <w:top w:w="0" w:type="dxa"/>
          <w:left w:w="0" w:type="dxa"/>
          <w:bottom w:w="0" w:type="dxa"/>
          <w:right w:w="0" w:type="dxa"/>
        </w:tblCellMar>
      </w:tblPr>
      <w:tblGrid>
        <w:gridCol w:w="1501"/>
        <w:gridCol w:w="326"/>
        <w:gridCol w:w="282"/>
        <w:gridCol w:w="903"/>
        <w:gridCol w:w="326"/>
        <w:gridCol w:w="337"/>
        <w:gridCol w:w="1268"/>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53135" cy="175260"/>
                      <wp:effectExtent l="0" t="0" r="0" b="0"/>
                      <wp:wrapNone/>
                      <wp:docPr id="315" name="Frame31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79070" cy="175260"/>
                      <wp:effectExtent l="0" t="0" r="0" b="0"/>
                      <wp:wrapNone/>
                      <wp:docPr id="317" name="Frame31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73405" cy="175260"/>
                      <wp:effectExtent l="0" t="0" r="0" b="0"/>
                      <wp:wrapNone/>
                      <wp:docPr id="318" name="Frame31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3995" cy="175260"/>
                      <wp:effectExtent l="0" t="0" r="0" b="0"/>
                      <wp:wrapNone/>
                      <wp:docPr id="320" name="Frame32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05180" cy="175260"/>
                      <wp:effectExtent l="0" t="0" r="0" b="0"/>
                      <wp:wrapNone/>
                      <wp:docPr id="321" name="Frame321"/>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13,506</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40,969</w:t>
            </w:r>
          </w:p>
        </w:tc>
      </w:tr>
    </w:tbl>
    <w:p>
      <w:pPr>
        <w:pStyle w:val="TextBody"/>
        <w:bidi w:val="0"/>
        <w:spacing w:before="0" w:after="0"/>
        <w:ind w:left="0" w:right="0" w:hanging="0"/>
        <w:jc w:val="left"/>
        <w:rPr/>
      </w:pPr>
      <w:r>
        <w:rPr/>
        <w:t>​</w:t>
      </w:r>
    </w:p>
    <w:p>
      <w:pPr>
        <w:pStyle w:val="TextBody"/>
        <w:bidi w:val="0"/>
        <w:spacing w:before="120" w:after="0"/>
        <w:ind w:left="720" w:right="0" w:hanging="0"/>
        <w:jc w:val="left"/>
        <w:rPr>
          <w:rFonts w:ascii="Times New Roman;Times;serif" w:hAnsi="Times New Roman;Times;serif"/>
          <w:sz w:val="20"/>
        </w:rPr>
      </w:pPr>
      <w:r>
        <w:rPr>
          <w:rFonts w:ascii="Times New Roman;Times;serif" w:hAnsi="Times New Roman;Times;serif"/>
          <w:sz w:val="20"/>
        </w:rPr>
        <w:t>Finished goods expected to be held for more than twelve months is classified as long-term and represented $9,650 and $7,793 as of June 30, 2024 and December 31, 2023, respectively. The Company has an inventory allowance of $613 and $439 as of June 30, 2024 and December 31, 2023, respectively, for finished goods expected to be held for more than twelve months.</w:t>
      </w:r>
    </w:p>
    <w:p>
      <w:pPr>
        <w:pStyle w:val="TextBody"/>
        <w:bidi w:val="0"/>
        <w:spacing w:before="120" w:after="0"/>
        <w:ind w:left="108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41" w:name="Tc_6faVzurXgUCvtRZhpxNTLA_11_5"/>
      <w:bookmarkStart w:id="1042" w:name="Tc_SrrVPyORQEGoYTZMF7VbMA_11_2"/>
      <w:bookmarkStart w:id="1043" w:name="Tc_GQtl45hv00aVeFqhHEGC9Q_11_0"/>
      <w:bookmarkStart w:id="1044" w:name="Tc_8tPDJ8B0gUSiflt6GP-QSA_10_0"/>
      <w:bookmarkStart w:id="1045" w:name="Tc_-eayUxJ_IUS6Vj2wrb_AKw_9_0"/>
      <w:bookmarkStart w:id="1046" w:name="Tc_JngxbbTShkWU1oaNkL_AxQ_8_0"/>
      <w:bookmarkStart w:id="1047" w:name="Tc_lrANWT3EjUGQyiyYff5x0A_7_0"/>
      <w:bookmarkStart w:id="1048" w:name="Tc_Ll5TiHcltUKLfl7KNQf3ng_6_0"/>
      <w:bookmarkStart w:id="1049" w:name="Tc_2ca1OLGgxUukLLJnfx30kA_5_0"/>
      <w:bookmarkStart w:id="1050" w:name="Tc_HUvg7PA5wUK1xp0QeJwGdQ_4_0"/>
      <w:bookmarkStart w:id="1051" w:name="Tc_1W-KFWvnIUyyBBu3H2DK_w_3_5"/>
      <w:bookmarkStart w:id="1052" w:name="Tc_Ob85W6kfuE2CCnjnX35EPw_3_2"/>
      <w:bookmarkStart w:id="1053" w:name="Tc_8vEHjcFgkUe2z2Ycur7W4w_3_0"/>
      <w:bookmarkStart w:id="1054" w:name="Tc_EOfHB81NKUeMC_FuzCCo5Q_2_5"/>
      <w:bookmarkStart w:id="1055" w:name="Tc_8MhroGeNEEqPr7AM3OCJrQ_2_2"/>
      <w:bookmarkStart w:id="1056" w:name="Tc_qIhyhjMimkacsUqKjbRHpw_1_5"/>
      <w:bookmarkStart w:id="1057" w:name="Tc_5ZrV08r4MkSQGnTzEYhu6Q_1_2"/>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b/>
          <w:sz w:val="20"/>
        </w:rPr>
        <w:t>9. PROPERTY, PLANT AND EQUIPMENT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at June 30, 2024 and December 31, 2023:</w:t>
      </w:r>
    </w:p>
    <w:p>
      <w:pPr>
        <w:pStyle w:val="TextBody"/>
        <w:bidi w:val="0"/>
        <w:spacing w:before="0" w:after="0"/>
        <w:ind w:left="0" w:right="0" w:hanging="0"/>
        <w:jc w:val="left"/>
        <w:rPr/>
      </w:pPr>
      <w:r>
        <w:rPr/>
        <w:t>​</w:t>
      </w:r>
    </w:p>
    <w:tbl>
      <w:tblPr>
        <w:tblW w:w="6743" w:type="dxa"/>
        <w:jc w:val="left"/>
        <w:tblInd w:w="0" w:type="dxa"/>
        <w:tblLayout w:type="fixed"/>
        <w:tblCellMar>
          <w:top w:w="0" w:type="dxa"/>
          <w:left w:w="0" w:type="dxa"/>
          <w:bottom w:w="0" w:type="dxa"/>
          <w:right w:w="0" w:type="dxa"/>
        </w:tblCellMar>
      </w:tblPr>
      <w:tblGrid>
        <w:gridCol w:w="3301"/>
        <w:gridCol w:w="326"/>
        <w:gridCol w:w="248"/>
        <w:gridCol w:w="937"/>
        <w:gridCol w:w="326"/>
        <w:gridCol w:w="337"/>
        <w:gridCol w:w="126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96135" cy="175260"/>
                      <wp:effectExtent l="0" t="0" r="0" b="0"/>
                      <wp:wrapNone/>
                      <wp:docPr id="322" name="Frame32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7480" cy="175260"/>
                      <wp:effectExtent l="0" t="0" r="0" b="0"/>
                      <wp:wrapNone/>
                      <wp:docPr id="324" name="Frame32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4995" cy="175260"/>
                      <wp:effectExtent l="0" t="0" r="0" b="0"/>
                      <wp:wrapNone/>
                      <wp:docPr id="325" name="Frame325"/>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3995" cy="175260"/>
                      <wp:effectExtent l="0" t="0" r="0" b="0"/>
                      <wp:wrapNone/>
                      <wp:docPr id="327" name="Frame3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805180" cy="175260"/>
                      <wp:effectExtent l="0" t="0" r="0" b="0"/>
                      <wp:wrapNone/>
                      <wp:docPr id="328" name="Frame328"/>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15,792</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(11,021)</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40,460</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37,880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$454 with $167 included as a component of cost of product sales for the three months ended June 30, 2024, and $269 with $124 included as a component of cost of product sales for the three months ended June 30, 2023. Depreciation expense was $857 with $325 included as a component of cost of product sales for the six months ended June 30, 2024, and $540 with $249 included as a component of cost of product sales for the six months ended June 30, 2023. </w:t>
      </w:r>
    </w:p>
    <w:p>
      <w:pPr>
        <w:pStyle w:val="TextBody"/>
        <w:bidi w:val="0"/>
        <w:spacing w:before="0" w:after="200"/>
        <w:ind w:left="0" w:right="0" w:hanging="0"/>
        <w:jc w:val="left"/>
        <w:rPr>
          <w:rFonts w:ascii="Times New Roman;Times;serif" w:hAnsi="Times New Roman;Times;serif"/>
          <w:b/>
          <w:sz w:val="20"/>
        </w:rPr>
      </w:pPr>
      <w:bookmarkStart w:id="1058" w:name="Tc_dVyE6Lgdm0SneDV5OBoCfw_6_5"/>
      <w:bookmarkStart w:id="1059" w:name="Tc_bSUL3VSlFEGdIw8VdoiF_A_6_2"/>
      <w:bookmarkStart w:id="1060" w:name="Tc_SWPdOtVUGUqwGd6EavNYBA_6_0"/>
      <w:bookmarkStart w:id="1061" w:name="Tc_S1C_fPP8kEWvVvfMIA3w_g_5_0"/>
      <w:bookmarkStart w:id="1062" w:name="Tc_FJhFS5yk7kWFjzY4zMSBEw_4_0"/>
      <w:bookmarkStart w:id="1063" w:name="Tc_G5LFUEUHI021D_ubRjBavw_3_5"/>
      <w:bookmarkStart w:id="1064" w:name="Tc_SH44yg4gRE-waLLtz_rcqA_3_2"/>
      <w:bookmarkStart w:id="1065" w:name="Tc_PELVDixYIk24S9yFOjt-EA_3_0"/>
      <w:bookmarkStart w:id="1066" w:name="Tc_gfQtoDx23UyTxFb4fJMDcg_2_5"/>
      <w:bookmarkStart w:id="1067" w:name="Tc_N4iuYT5mvUSTnOUV26owSg_2_2"/>
      <w:bookmarkStart w:id="1068" w:name="Tc_wIO73PggUEixEQ7vpuK3Nw_1_5"/>
      <w:bookmarkStart w:id="1069" w:name="Tc_GKDzBQB0CEu_k89yLadTew_1_2"/>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b/>
          <w:sz w:val="20"/>
        </w:rPr>
        <w:t>10. OTHER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assets consisted of the following at June 30, 2024 and December 31, 2023:</w:t>
      </w:r>
    </w:p>
    <w:p>
      <w:pPr>
        <w:pStyle w:val="TextBody"/>
        <w:bidi w:val="0"/>
        <w:spacing w:before="0" w:after="0"/>
        <w:ind w:left="0" w:right="0" w:hanging="0"/>
        <w:jc w:val="left"/>
        <w:rPr/>
      </w:pPr>
      <w:r>
        <w:rPr/>
        <w:t>​</w:t>
      </w:r>
    </w:p>
    <w:tbl>
      <w:tblPr>
        <w:tblW w:w="5153" w:type="dxa"/>
        <w:jc w:val="left"/>
        <w:tblInd w:w="0" w:type="dxa"/>
        <w:tblLayout w:type="fixed"/>
        <w:tblCellMar>
          <w:top w:w="0" w:type="dxa"/>
          <w:left w:w="0" w:type="dxa"/>
          <w:bottom w:w="0" w:type="dxa"/>
          <w:right w:w="0" w:type="dxa"/>
        </w:tblCellMar>
      </w:tblPr>
      <w:tblGrid>
        <w:gridCol w:w="1711"/>
        <w:gridCol w:w="326"/>
        <w:gridCol w:w="320"/>
        <w:gridCol w:w="865"/>
        <w:gridCol w:w="326"/>
        <w:gridCol w:w="376"/>
        <w:gridCol w:w="1229"/>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086485" cy="175260"/>
                      <wp:effectExtent l="0" t="0" r="0" b="0"/>
                      <wp:wrapNone/>
                      <wp:docPr id="329" name="Frame32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3200" cy="175260"/>
                      <wp:effectExtent l="0" t="0" r="0" b="0"/>
                      <wp:wrapNone/>
                      <wp:docPr id="331" name="Frame33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49275" cy="175260"/>
                      <wp:effectExtent l="0" t="0" r="0" b="0"/>
                      <wp:wrapNone/>
                      <wp:docPr id="332" name="Frame33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38760" cy="175260"/>
                      <wp:effectExtent l="0" t="0" r="0" b="0"/>
                      <wp:wrapNone/>
                      <wp:docPr id="334" name="Frame33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80415" cy="175260"/>
                      <wp:effectExtent l="0" t="0" r="0" b="0"/>
                      <wp:wrapNone/>
                      <wp:docPr id="335" name="Frame335"/>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1"/>
              <w:ind w:left="0" w:right="0" w:hanging="0"/>
              <w:jc w:val="left"/>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Repossessed homes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8,842</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9,198</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2,571</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Repossessed homes balance as of June 30, 2024 includes $3,296 for homes repossessed from the consumer loan portfolio and $5,546 for homes repossessed from the MHP loan portfolio. Repossessed homes balance as of December 31, 2023 includes $2,215 for homes repossessed from the consumer loan portfolio.</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70" w:name="Tc_Rol73Sq8A0aCiBvHE8-3tw_12_5"/>
      <w:bookmarkStart w:id="1071" w:name="Tc_K36i-o5tPkq6UTKiJcNFrg_12_2"/>
      <w:bookmarkStart w:id="1072" w:name="Tc_ZomOY7uz9U6pRU_EToJyqg_12_0"/>
      <w:bookmarkStart w:id="1073" w:name="Tc_okYpCN92CECSwRf-d2IC2Q_11_0"/>
      <w:bookmarkStart w:id="1074" w:name="Tc_sFeyUjc94EGphChpGUs5Dw_10_0"/>
      <w:bookmarkStart w:id="1075" w:name="Tc_hCBtBeKTiU2AZrn0wAJf3w_9_0"/>
      <w:bookmarkStart w:id="1076" w:name="Tc_JpFcVWaMhEmdpPKd8dcMGQ_8_0"/>
      <w:bookmarkStart w:id="1077" w:name="Tc_K6rNb4A0gU2R2UQIOjiE5w_7_0"/>
      <w:bookmarkStart w:id="1078" w:name="Tc_wxzd2HkaPE2jK9kquFtmbQ_6_0"/>
      <w:bookmarkStart w:id="1079" w:name="Tc__JiM8XzofUSPeH1qtwH68A_5_0"/>
      <w:bookmarkStart w:id="1080" w:name="Tc_z_uYKkIPfUOWipnuNHwQAQ_4_0"/>
      <w:bookmarkStart w:id="1081" w:name="Tc_2BMKEF6uDkuWD1QWCgfBuw_3_5"/>
      <w:bookmarkStart w:id="1082" w:name="Tc_87xBAQ3KD0GfIDI0YSTVmg_3_2"/>
      <w:bookmarkStart w:id="1083" w:name="Tc_SmELkwq0GEql9GmdbnnZfQ_3_0"/>
      <w:bookmarkStart w:id="1084" w:name="Tc_HJ8-ljidaUmh-nsj5hYZDg_2_5"/>
      <w:bookmarkStart w:id="1085" w:name="Tc_m-d3VXhD9E-EbuWl-fwiSQ_2_2"/>
      <w:bookmarkStart w:id="1086" w:name="Tc_Pl_Jo-fh40yZhpu-glvHUg_1_5"/>
      <w:bookmarkStart w:id="1087" w:name="Tc_CdGnjACYWUyDO0_kKW-6CQ_1_2"/>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11. ACCRUED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Accrued liabilities consisted of the following at June 30, 2024 and December 31, 2023: </w:t>
      </w:r>
    </w:p>
    <w:p>
      <w:pPr>
        <w:pStyle w:val="TextBody"/>
        <w:bidi w:val="0"/>
        <w:spacing w:before="0" w:after="0"/>
        <w:ind w:left="0" w:right="0" w:hanging="0"/>
        <w:jc w:val="left"/>
        <w:rPr/>
      </w:pPr>
      <w:r>
        <w:rPr/>
        <w:t>​</w:t>
      </w:r>
    </w:p>
    <w:tbl>
      <w:tblPr>
        <w:tblW w:w="6038" w:type="dxa"/>
        <w:jc w:val="left"/>
        <w:tblInd w:w="0" w:type="dxa"/>
        <w:tblLayout w:type="fixed"/>
        <w:tblCellMar>
          <w:top w:w="0" w:type="dxa"/>
          <w:left w:w="0" w:type="dxa"/>
          <w:bottom w:w="0" w:type="dxa"/>
          <w:right w:w="0" w:type="dxa"/>
        </w:tblCellMar>
      </w:tblPr>
      <w:tblGrid>
        <w:gridCol w:w="2596"/>
        <w:gridCol w:w="326"/>
        <w:gridCol w:w="282"/>
        <w:gridCol w:w="903"/>
        <w:gridCol w:w="326"/>
        <w:gridCol w:w="337"/>
        <w:gridCol w:w="126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48460" cy="175260"/>
                      <wp:effectExtent l="0" t="0" r="0" b="0"/>
                      <wp:wrapNone/>
                      <wp:docPr id="336" name="Frame3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9070" cy="175260"/>
                      <wp:effectExtent l="0" t="0" r="0" b="0"/>
                      <wp:wrapNone/>
                      <wp:docPr id="338" name="Frame33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73405" cy="175260"/>
                      <wp:effectExtent l="0" t="0" r="0" b="0"/>
                      <wp:wrapNone/>
                      <wp:docPr id="339" name="Frame33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3995" cy="175260"/>
                      <wp:effectExtent l="0" t="0" r="0" b="0"/>
                      <wp:wrapNone/>
                      <wp:docPr id="341" name="Frame34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805180" cy="175260"/>
                      <wp:effectExtent l="0" t="0" r="0" b="0"/>
                      <wp:wrapNone/>
                      <wp:docPr id="342" name="Frame342"/>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reserve</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taxes and title</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rebates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income taxes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18,504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2024, interest expense under the Revolver was $235, and for the three months ended June 30, 2023, interest expense under the prior line of credit was $195. For the six months ended June 30, 2024, interest expense under the Revolver was $511, and for the six months ended June 30, 2023, interest expense under the prior line of credit was $285. The outstanding balance of the Revolver as of June 30, 2024 and December 31, 2023 was $11,861 and $23,680, respectively. The interest rate in effect as of June 30, 2024 and December 31, 2023 for the Revolver was 7.67% and 7.95%, respectively. The amount of available credit under the Revolver was $38,139 and $26,320 as of June 30, 2024 and December 31, 2023, respectively. The Revolver requires the Company to comply with certain financial and non-financial covenants. As of June 30, 2024,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88" w:name="Tc_h93-lBx4d0ygy_ed8CK2hg_18_4"/>
      <w:bookmarkStart w:id="1089" w:name="Tc_6PPMvKQn_E6MNkgse6xI8Q_18_0"/>
      <w:bookmarkStart w:id="1090" w:name="Tc_yWNpUOOWJU-Vuv6U39NX2g_17_5"/>
      <w:bookmarkStart w:id="1091" w:name="Tc_XTDFDx6iy0mFIuND490-eQ_17_4"/>
      <w:bookmarkStart w:id="1092" w:name="Tc_KCMS_muYg0iJ76UY5acLyQ_17_2"/>
      <w:bookmarkStart w:id="1093" w:name="Tc_wW_ND5IPcUCGjmRd5gQ2gw_17_0"/>
      <w:bookmarkStart w:id="1094" w:name="Tc_m-zZzTmZ-Umu0z5IyEAD9Q_16_4"/>
      <w:bookmarkStart w:id="1095" w:name="Tc_ZGq-PyujTEWkhOFSJ2SDEA_16_0"/>
      <w:bookmarkStart w:id="1096" w:name="Tc_aZ11FG83KUCqWR56R_ow7w_15_5"/>
      <w:bookmarkStart w:id="1097" w:name="Tc_FQ19oAu9HkOJHRbtjQa1aw_15_4"/>
      <w:bookmarkStart w:id="1098" w:name="Tc_eSstc9A9F0qOvolHsxLfjg_15_2"/>
      <w:bookmarkStart w:id="1099" w:name="Tc_met6NVL0eEW8D4YN0CNGgQ_15_0"/>
      <w:bookmarkStart w:id="1100" w:name="Tc_eoPa5VGWwEebzT3AI3HVbQ_14_4"/>
      <w:bookmarkStart w:id="1101" w:name="Tc_eB2JUGNk7ESS8FZKiDVZCQ_14_0"/>
      <w:bookmarkStart w:id="1102" w:name="Tc_tWqLfCtKOEuK8XIsZnDUag_12_4"/>
      <w:bookmarkStart w:id="1103" w:name="Tc_gKfJrG0uUEWT5YEzjlg3Uw_12_0"/>
      <w:bookmarkStart w:id="1104" w:name="Tc_brkJuCJCzUmHPhH17KN2jw_11_5"/>
      <w:bookmarkStart w:id="1105" w:name="Tc_SSd5ftXH1EaxlKqFPQ62gA_11_4"/>
      <w:bookmarkStart w:id="1106" w:name="Tc_Et0yQEBG1UWzEO4k1qj6EQ_11_2"/>
      <w:bookmarkStart w:id="1107" w:name="Tc_gb9ARkGZSEG5SlouQFz8_A_11_0"/>
      <w:bookmarkStart w:id="1108" w:name="Tc_VgIfNvbsIUeTnmDGD-5m6A_10_5"/>
      <w:bookmarkStart w:id="1109" w:name="Tc_6Scvuay9wUSES247NqSiTg_10_4"/>
      <w:bookmarkStart w:id="1110" w:name="Tc_4JW3urt6u0O5JVuJyRhYHg_10_2"/>
      <w:bookmarkStart w:id="1111" w:name="Tc_CYSHONbcR0a3RqtlUnxcNA_10_0"/>
      <w:bookmarkStart w:id="1112" w:name="Tc_JeSih_Xrxkith-rWCgqgPg_9_5"/>
      <w:bookmarkStart w:id="1113" w:name="Tc_SAUZPXA48kqFnvFyw6RC4g_9_4"/>
      <w:bookmarkStart w:id="1114" w:name="Tc_V2RjluJLcU2l5kogdQ2K0w_9_2"/>
      <w:bookmarkStart w:id="1115" w:name="Tc_d0GkRRbjDU6oxfuTriGmpQ_9_0"/>
      <w:bookmarkStart w:id="1116" w:name="Tc_-z2n4yDAb06oZ_24jBK1uQ_8_4"/>
      <w:bookmarkStart w:id="1117" w:name="Tc_D1LJ4SoHR0qBb9f089dtwA_8_0"/>
      <w:bookmarkStart w:id="1118" w:name="Tc_zwAUanfcWkOVdVNRm9NrXQ_6_4"/>
      <w:bookmarkStart w:id="1119" w:name="Tc_iq1BwtNV6EqCoW49s2CspA_6_0"/>
      <w:bookmarkStart w:id="1120" w:name="Tc_FR5mTQlhMU2Okw7kxcg4cA_5_4"/>
      <w:bookmarkStart w:id="1121" w:name="Tc_m5gRZDrOb0mAnFR3FLoI0A_5_0"/>
      <w:bookmarkStart w:id="1122" w:name="Tc_7eB02VLj_kGqSHdb5-4MGQ_4_4"/>
      <w:bookmarkStart w:id="1123" w:name="Tc_rl8qUeIwokCSgc_LxAN3aA_4_0"/>
      <w:bookmarkStart w:id="1124" w:name="Tc_tKs8bQqO9UqVD3u6SbYIxA_3_4"/>
      <w:bookmarkStart w:id="1125" w:name="Tc_PfyAhtBEQUC2vEkaDZlQEA_3_0"/>
      <w:bookmarkStart w:id="1126" w:name="Tc_vNfif-QUmUS0Mu54ZhsAVA_2_4"/>
      <w:bookmarkStart w:id="1127" w:name="Tc_1k4-EBKI_ECH-1LAX7VWSQ_2_0"/>
      <w:bookmarkStart w:id="1128" w:name="Tc_3dQz3Fm610K7L0MLnM2hMQ_1_5"/>
      <w:bookmarkStart w:id="1129" w:name="Tc_FpTeDEz0JkegGdQSUtBbgA_1_2"/>
      <w:bookmarkStart w:id="1130" w:name="_de3e5b58_8053_4f02_86c9_7cfb8704b4a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b/>
          <w:sz w:val="20"/>
        </w:rPr>
        <w:t>13. 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June 30, 2024, the Company had 8.7 million shares available for grant under the Plan.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restricted stock award activity for the year ended December 31, 2023 and the three and six months ended June 30, 2024 (number of units in thousands except per unit data): </w:t>
      </w:r>
    </w:p>
    <w:tbl>
      <w:tblPr>
        <w:tblW w:w="8217" w:type="dxa"/>
        <w:jc w:val="left"/>
        <w:tblInd w:w="0" w:type="dxa"/>
        <w:tblLayout w:type="fixed"/>
        <w:tblCellMar>
          <w:top w:w="0" w:type="dxa"/>
          <w:left w:w="0" w:type="dxa"/>
          <w:bottom w:w="0" w:type="dxa"/>
          <w:right w:w="0" w:type="dxa"/>
        </w:tblCellMar>
      </w:tblPr>
      <w:tblGrid>
        <w:gridCol w:w="2371"/>
        <w:gridCol w:w="109"/>
        <w:gridCol w:w="1411"/>
        <w:gridCol w:w="109"/>
        <w:gridCol w:w="196"/>
        <w:gridCol w:w="402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505585" cy="175260"/>
                      <wp:effectExtent l="0" t="0" r="0" b="0"/>
                      <wp:wrapNone/>
                      <wp:docPr id="343" name="Frame343"/>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95985" cy="175260"/>
                      <wp:effectExtent l="0" t="0" r="0" b="0"/>
                      <wp:wrapNone/>
                      <wp:docPr id="345" name="Frame34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553335" cy="175260"/>
                      <wp:effectExtent l="0" t="0" r="0" b="0"/>
                      <wp:wrapNone/>
                      <wp:docPr id="348" name="Frame34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4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 Grant Date Fair Value Per Unit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23.26</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021"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January 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021"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23.26</w:t>
            </w:r>
          </w:p>
        </w:tc>
      </w:tr>
    </w:tbl>
    <w:p>
      <w:pPr>
        <w:pStyle w:val="TextBody"/>
        <w:bidi w:val="0"/>
        <w:spacing w:before="0" w:after="0"/>
        <w:ind w:left="0" w:right="0" w:hanging="0"/>
        <w:jc w:val="left"/>
        <w:rPr/>
      </w:pPr>
      <w:r>
        <w:rPr/>
        <w:t>​</w:t>
      </w:r>
    </w:p>
    <w:p>
      <w:pPr>
        <w:pStyle w:val="TextBody"/>
        <w:bidi w:val="0"/>
        <w:spacing w:before="120" w:after="20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approximately 1,000 shares of restricted stock remained unvested. Unrecognized compensation expense related to these restricted stock awards at June 30, 2024 was $8 and is expected to be recognized over </w:t>
      </w:r>
      <w:r>
        <w:rPr>
          <w:rFonts w:ascii="Times New Roman;Times;serif" w:hAnsi="Times New Roman;Times;serif"/>
          <w:b w:val="false"/>
          <w:i w:val="false"/>
          <w:caps w:val="false"/>
          <w:smallCaps w:val="false"/>
          <w:sz w:val="20"/>
        </w:rPr>
        <w:t>0.21</w:t>
      </w:r>
      <w:r>
        <w:rPr>
          <w:rFonts w:ascii="Times New Roman;Times;serif" w:hAnsi="Times New Roman;Times;serif"/>
          <w:sz w:val="20"/>
        </w:rPr>
        <w:t xml:space="preserve"> years. Compensation expense for restricted stock awards for the three months ended June 30, 2024 and 2023 was $27 and $67, respectively, and for the six months ended June 30, 2024 and 2023 was $64 and $133, respectively.</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bookmarkStart w:id="1131" w:name="Tc_W3DaxsIPj0i9wb3aqf8BXw_21_12"/>
      <w:bookmarkStart w:id="1132" w:name="Tc_sbugPwuSCka4H5-M8_hH1w_21_7"/>
      <w:bookmarkStart w:id="1133" w:name="Tc_FQTbqDREd0iwG2mvSuezxg_21_4"/>
      <w:bookmarkStart w:id="1134" w:name="Tc_O9zj9gp4pEKK96cdcurEQg_21_0"/>
      <w:bookmarkStart w:id="1135" w:name="Tc_cYQOfzRXikGpoHub2CCp9Q_20_12"/>
      <w:bookmarkStart w:id="1136" w:name="Tc_MEGfAflopkub6YAdJDyi1A_20_7"/>
      <w:bookmarkStart w:id="1137" w:name="Tc_prgQftXyTkC0BC_iVJ4-Xg_20_4"/>
      <w:bookmarkStart w:id="1138" w:name="Tc_Gq2EySw0EEiOaPMMYP_0hA_20_0"/>
      <w:bookmarkStart w:id="1139" w:name="Tc_r9Wle_dno02jHeodD9Vnug_19_10"/>
      <w:bookmarkStart w:id="1140" w:name="Tc_jheqL5qmU0WUzj7p8GNU2g_19_8"/>
      <w:bookmarkStart w:id="1141" w:name="Tc_PawhgsV-k0SYO2_OZvSmAA_19_7"/>
      <w:bookmarkStart w:id="1142" w:name="Tc_LPMWKpiii0yPVT4qjB9l8Q_19_5"/>
      <w:bookmarkStart w:id="1143" w:name="Tc_HPGwe_QolUW5eKLKnJvoJg_19_4"/>
      <w:bookmarkStart w:id="1144" w:name="Tc_yI2L1ZfUREiaDT8ivnS-Rg_19_2"/>
      <w:bookmarkStart w:id="1145" w:name="Tc_KoKWHwu4s0qzaRfy1ZUxeQ_19_0"/>
      <w:bookmarkStart w:id="1146" w:name="Tc_5x3021HE70uqwrSItyqVEQ_18_10"/>
      <w:bookmarkStart w:id="1147" w:name="Tc_0DFJZ5PrOEOSOEUl0t3NWA_18_8"/>
      <w:bookmarkStart w:id="1148" w:name="Tc_9l-TLD0BkEGZHT8KgahIBg_18_7"/>
      <w:bookmarkStart w:id="1149" w:name="Tc_7rhWuz1rBEqg5acKU4vpGQ_18_5"/>
      <w:bookmarkStart w:id="1150" w:name="Tc_1gUSStSxBUmbs6wmVMs-WQ_18_4"/>
      <w:bookmarkStart w:id="1151" w:name="Tc_QaHJzkr800mufyMT3oro0Q_18_2"/>
      <w:bookmarkStart w:id="1152" w:name="Tc_oXWjoLbNokKbYwTMBuRwBw_18_0"/>
      <w:bookmarkStart w:id="1153" w:name="Tc_e2vXjbFSNEiwJd_QFUtG8Q_17_10"/>
      <w:bookmarkStart w:id="1154" w:name="Tc_U83WHCudHE-xZc5Kok8rJg_17_8"/>
      <w:bookmarkStart w:id="1155" w:name="Tc_EC4euqw3Ikqrawg_buHh2g_17_7"/>
      <w:bookmarkStart w:id="1156" w:name="Tc_1m2Kb55mXE-WJOU0D-4gWg_17_5"/>
      <w:bookmarkStart w:id="1157" w:name="Tc_HBtGIa3nyEK4XF3wxh5Xmg_17_4"/>
      <w:bookmarkStart w:id="1158" w:name="Tc_OP1ugSd-O0WVyamiRq4hqg_17_2"/>
      <w:bookmarkStart w:id="1159" w:name="Tc_f0l76kvsFEqNF9TBMdFGoA_17_0"/>
      <w:bookmarkStart w:id="1160" w:name="Tc_99_NEFvgOkOAKambYl_hlg_16_7"/>
      <w:bookmarkStart w:id="1161" w:name="Tc_CjzgSmf4G0iUWWFejhou7g_16_4"/>
      <w:bookmarkStart w:id="1162" w:name="Tc_BgRIrYShqUaj_OxhHIIHPw_16_0"/>
      <w:bookmarkStart w:id="1163" w:name="Tc_ezxYC4p4cUK5n3FwrLv6cQ_14_13"/>
      <w:bookmarkStart w:id="1164" w:name="Tc_1u6gu3cdhkykUQooNA4ASg_14_12"/>
      <w:bookmarkStart w:id="1165" w:name="Tc_RiJ_TQvHVEOTaXVG35I1eQ_14_7"/>
      <w:bookmarkStart w:id="1166" w:name="Tc_HwKLpmOBzUWcYI3VXloLAw_14_4"/>
      <w:bookmarkStart w:id="1167" w:name="Tc_Y13OnrNHIUGKlMJBTUU3Ig_14_0"/>
      <w:bookmarkStart w:id="1168" w:name="Tc__Ii7SIaijUeBAtgv5iL8uw_13_12"/>
      <w:bookmarkStart w:id="1169" w:name="Tc_TJAEMf7pVESd_UfezF2qaA_13_7"/>
      <w:bookmarkStart w:id="1170" w:name="Tc_6MzMaOmJuk-MakZjb9DH3g_13_4"/>
      <w:bookmarkStart w:id="1171" w:name="Tc_TyiYU29cPk6lmJiVpES8Kw_13_0"/>
      <w:bookmarkStart w:id="1172" w:name="Tc_E2hS51efyEWFJ_Zos2M9dA_12_10"/>
      <w:bookmarkStart w:id="1173" w:name="Tc_WDhobFE3BU2dCxr-YBmppg_12_8"/>
      <w:bookmarkStart w:id="1174" w:name="Tc_Tarurx8-SUiQyLDWfMUIOQ_12_7"/>
      <w:bookmarkStart w:id="1175" w:name="Tc_tut1nlyfoES9Itnm9nFeIQ_12_5"/>
      <w:bookmarkStart w:id="1176" w:name="Tc_7yvSOIGBoU2ZX2YZu_NtPg_12_4"/>
      <w:bookmarkStart w:id="1177" w:name="Tc_DOanIguuxUmyIASL0rmK4A_12_2"/>
      <w:bookmarkStart w:id="1178" w:name="Tc_yJ115ihyLkS1RR_IWi9vLQ_12_0"/>
      <w:bookmarkStart w:id="1179" w:name="Tc_XiS7EwtQykqADjWhImhEng_11_10"/>
      <w:bookmarkStart w:id="1180" w:name="Tc_GZOC_964_0eAwhwGpmOaKA_11_7"/>
      <w:bookmarkStart w:id="1181" w:name="Tc_Ns-14VyXbEW8RjtHHWT6NA_11_4"/>
      <w:bookmarkStart w:id="1182" w:name="Tc_2pQ5vmei1kmOxvLEhHVByQ_11_0"/>
      <w:bookmarkStart w:id="1183" w:name="Tc_y0c6lxWaXU-41IcvBODruw_10_10"/>
      <w:bookmarkStart w:id="1184" w:name="Tc_DGhgfCPupkG-icnLFH-yPQ_10_8"/>
      <w:bookmarkStart w:id="1185" w:name="Tc_knEA94N7TUC0Fj0WRSNsDQ_10_7"/>
      <w:bookmarkStart w:id="1186" w:name="Tc_XrFfdSPAv0iSat4seAEcBQ_10_5"/>
      <w:bookmarkStart w:id="1187" w:name="Tc_5lVLJyCBDEWqhfE17rFdpg_10_4"/>
      <w:bookmarkStart w:id="1188" w:name="Tc_jiPvMNHxFkWM4aVyuFILMw_10_2"/>
      <w:bookmarkStart w:id="1189" w:name="Tc_JtGO0K-TvEyt779o3ndPig_10_0"/>
      <w:bookmarkStart w:id="1190" w:name="Tc_24a3ZHYrSEeSof6GynHW6Q_9_7"/>
      <w:bookmarkStart w:id="1191" w:name="Tc_eQFKHi0Kfk-BVoQkng50Dg_9_4"/>
      <w:bookmarkStart w:id="1192" w:name="Tc_vQzdpGhtEUKzRd456tm8MQ_9_0"/>
      <w:bookmarkStart w:id="1193" w:name="Tc_ajWM2Xlue0aJ_mz8lE5c3w_7_13"/>
      <w:bookmarkStart w:id="1194" w:name="Tc_85gAEBlWnkiGjtAOrSsD5w_7_12"/>
      <w:bookmarkStart w:id="1195" w:name="Tc_zScTOOXot0a-5C8jUvnn6Q_7_7"/>
      <w:bookmarkStart w:id="1196" w:name="Tc_-77r3B0uv0aDWjWNaOKr7g_7_4"/>
      <w:bookmarkStart w:id="1197" w:name="Tc_qLAGK-J44EuOzGvjKmjbHg_7_0"/>
      <w:bookmarkStart w:id="1198" w:name="Tc_AsZ-Vzfg8UyI1-V0DprxcA_6_12"/>
      <w:bookmarkStart w:id="1199" w:name="Tc_JWE6cy1Tqkm5M9-n5t-TiA_6_7"/>
      <w:bookmarkStart w:id="1200" w:name="Tc_wpR-jDV4cUGFLlnI60kO3A_6_4"/>
      <w:bookmarkStart w:id="1201" w:name="Tc_sbUXj830XkqGXnWdTVriJg_6_0"/>
      <w:bookmarkStart w:id="1202" w:name="Tc_ZhY2orbnxkGA3I8B0_HSHg_5_10"/>
      <w:bookmarkStart w:id="1203" w:name="Tc_8pbC0c1j6UOPIw63Vd6lKg_5_7"/>
      <w:bookmarkStart w:id="1204" w:name="Tc_HsiIlOGyc0K12lEbG6KX3w_5_4"/>
      <w:bookmarkStart w:id="1205" w:name="Tc_hjJBrFMq0UO6AV8B3pkgMg_5_0"/>
      <w:bookmarkStart w:id="1206" w:name="Tc_u06fGZM5LE6gqUChPd9kiw_4_10"/>
      <w:bookmarkStart w:id="1207" w:name="Tc_xAIBykIuJ0yJO1Ryq_m8tg_4_7"/>
      <w:bookmarkStart w:id="1208" w:name="Tc_4LfNx5ByXUiJsuVeKxQNyg_4_4"/>
      <w:bookmarkStart w:id="1209" w:name="Tc_icr9L2zfYUeVFSAU6fwzpw_4_0"/>
      <w:bookmarkStart w:id="1210" w:name="Tc_GBh6DaNyVUOwIImPbdY6_w_3_7"/>
      <w:bookmarkStart w:id="1211" w:name="Tc_GRzHqhUasE2fJms4IVMx7w_3_4"/>
      <w:bookmarkStart w:id="1212" w:name="Tc_iVeQ8dM1akqV8ZBFce6ZaQ_3_0"/>
      <w:bookmarkStart w:id="1213" w:name="Tc_S2hU4PO0kUiaTvl9SZ0LEA_2_7"/>
      <w:bookmarkStart w:id="1214" w:name="Tc_gp8-BMDKkkyIBShxd4Z5gw_2_4"/>
      <w:bookmarkStart w:id="1215" w:name="Tc_31y8gG51PUKa2NhRurMHFQ_2_0"/>
      <w:bookmarkStart w:id="1216" w:name="Tc_PFZz-2Y5LE2b-fqsy8OUrg_1_12"/>
      <w:bookmarkStart w:id="1217" w:name="Tc_ErogZ7BJikaOb0EllzaMIg_1_10"/>
      <w:bookmarkStart w:id="1218" w:name="Tc_efbsxMTBWEO-YmggBVD1aQ_1_7"/>
      <w:bookmarkStart w:id="1219" w:name="Tc_qd8x6gXB30KREQJt_2VFVQ_1_4"/>
      <w:bookmarkStart w:id="1220" w:name="Tc_75pDB0h9gECwjFiO4_fm7A_1_2"/>
      <w:bookmarkStart w:id="1221" w:name="_1c252a45_39b5_4113_bca2_d77d8cb739c4"/>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Fonts w:ascii="Times New Roman;Times;serif" w:hAnsi="Times New Roman;Times;serif"/>
          <w:i/>
          <w:sz w:val="20"/>
        </w:rPr>
        <w:t>Stock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option award activity for the year ended December 31, 2023 and the three and six months ended June 30, 2024 (number of units in thousands except per unit data): </w:t>
      </w:r>
    </w:p>
    <w:tbl>
      <w:tblPr>
        <w:tblW w:w="10205" w:type="dxa"/>
        <w:jc w:val="left"/>
        <w:tblInd w:w="0" w:type="dxa"/>
        <w:tblLayout w:type="fixed"/>
        <w:tblCellMar>
          <w:top w:w="0" w:type="dxa"/>
          <w:left w:w="0" w:type="dxa"/>
          <w:bottom w:w="0" w:type="dxa"/>
          <w:right w:w="0" w:type="dxa"/>
        </w:tblCellMar>
      </w:tblPr>
      <w:tblGrid>
        <w:gridCol w:w="1963"/>
        <w:gridCol w:w="326"/>
        <w:gridCol w:w="1176"/>
        <w:gridCol w:w="326"/>
        <w:gridCol w:w="412"/>
        <w:gridCol w:w="1075"/>
        <w:gridCol w:w="326"/>
        <w:gridCol w:w="377"/>
        <w:gridCol w:w="984"/>
        <w:gridCol w:w="326"/>
        <w:gridCol w:w="1625"/>
        <w:gridCol w:w="326"/>
        <w:gridCol w:w="319"/>
        <w:gridCol w:w="644"/>
      </w:tblGrid>
      <w:tr>
        <w:trPr/>
        <w:tc>
          <w:tcPr>
            <w:tcW w:w="1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6505" cy="175260"/>
                      <wp:effectExtent l="0" t="0" r="0" b="0"/>
                      <wp:wrapNone/>
                      <wp:docPr id="349" name="Frame349"/>
                      <a:graphic xmlns:a="http://schemas.openxmlformats.org/drawingml/2006/main">
                        <a:graphicData uri="http://schemas.microsoft.com/office/word/2010/wordprocessingShape">
                          <wps:wsp>
                            <wps:cNvSpPr txBox="1"/>
                            <wps:spPr>
                              <a:xfrm>
                                <a:off x="0" y="0"/>
                                <a:ext cx="1246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46760" cy="175260"/>
                      <wp:effectExtent l="0" t="0" r="0" b="0"/>
                      <wp:wrapNone/>
                      <wp:docPr id="351" name="Frame351"/>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61620" cy="175260"/>
                      <wp:effectExtent l="0" t="0" r="0" b="0"/>
                      <wp:wrapNone/>
                      <wp:docPr id="353" name="Frame35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82625" cy="175260"/>
                      <wp:effectExtent l="0" t="0" r="0" b="0"/>
                      <wp:wrapNone/>
                      <wp:docPr id="354" name="Frame354"/>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9395" cy="175260"/>
                      <wp:effectExtent l="0" t="0" r="0" b="0"/>
                      <wp:wrapNone/>
                      <wp:docPr id="356" name="Frame356"/>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24840" cy="175260"/>
                      <wp:effectExtent l="0" t="0" r="0" b="0"/>
                      <wp:wrapNone/>
                      <wp:docPr id="357" name="Frame35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031875" cy="175260"/>
                      <wp:effectExtent l="0" t="0" r="0" b="0"/>
                      <wp:wrapNone/>
                      <wp:docPr id="359" name="Frame359"/>
                      <a:graphic xmlns:a="http://schemas.openxmlformats.org/drawingml/2006/main">
                        <a:graphicData uri="http://schemas.microsoft.com/office/word/2010/wordprocessingShape">
                          <wps:wsp>
                            <wps:cNvSpPr txBox="1"/>
                            <wps:spPr>
                              <a:xfrm>
                                <a:off x="0" y="0"/>
                                <a:ext cx="1031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2565" cy="175260"/>
                      <wp:effectExtent l="0" t="0" r="0" b="0"/>
                      <wp:wrapNone/>
                      <wp:docPr id="361" name="Frame36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08940" cy="175260"/>
                      <wp:effectExtent l="0" t="0" r="0" b="0"/>
                      <wp:wrapNone/>
                      <wp:docPr id="362" name="Frame36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326" w:type="dxa"/>
            <w:tcBorders/>
            <w:vAlign w:val="center"/>
          </w:tcPr>
          <w:p>
            <w:pPr>
              <w:pStyle w:val="TableContents"/>
              <w:bidi w:val="0"/>
              <w:spacing w:before="0" w:after="0"/>
              <w:ind w:left="0" w:right="0" w:hanging="0"/>
              <w:jc w:val="left"/>
              <w:rPr/>
            </w:pPr>
            <w:r>
              <w:rPr/>
              <w:t>    </w:t>
            </w:r>
          </w:p>
        </w:tc>
        <w:tc>
          <w:tcPr>
            <w:tcW w:w="14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Exercise Price Per Unit</w:t>
            </w:r>
          </w:p>
        </w:tc>
        <w:tc>
          <w:tcPr>
            <w:tcW w:w="326" w:type="dxa"/>
            <w:tcBorders/>
            <w:vAlign w:val="center"/>
          </w:tcPr>
          <w:p>
            <w:pPr>
              <w:pStyle w:val="TableContents"/>
              <w:bidi w:val="0"/>
              <w:spacing w:before="0" w:after="0"/>
              <w:ind w:left="0" w:right="0" w:hanging="0"/>
              <w:jc w:val="left"/>
              <w:rPr/>
            </w:pPr>
            <w:r>
              <w:rPr/>
              <w:t>    </w:t>
            </w:r>
          </w:p>
        </w:tc>
        <w:tc>
          <w:tcPr>
            <w:tcW w:w="13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Average Grant Date</w:t>
              <w:br/>
              <w:t>Fair Value Per Unit</w:t>
            </w:r>
          </w:p>
        </w:tc>
        <w:tc>
          <w:tcPr>
            <w:tcW w:w="326" w:type="dxa"/>
            <w:tcBorders/>
            <w:vAlign w:val="center"/>
          </w:tcPr>
          <w:p>
            <w:pPr>
              <w:pStyle w:val="TableContents"/>
              <w:bidi w:val="0"/>
              <w:spacing w:before="0" w:after="0"/>
              <w:ind w:left="0" w:right="0" w:hanging="0"/>
              <w:jc w:val="left"/>
              <w:rPr/>
            </w:pPr>
            <w:r>
              <w:rPr/>
              <w:t>    </w:t>
            </w:r>
          </w:p>
        </w:tc>
        <w:tc>
          <w:tcPr>
            <w:tcW w:w="16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 xml:space="preserve">Remaining </w:t>
              <w:br/>
              <w:t>Contractual Life (years)</w:t>
            </w:r>
          </w:p>
        </w:tc>
        <w:tc>
          <w:tcPr>
            <w:tcW w:w="326" w:type="dxa"/>
            <w:tcBorders/>
            <w:vAlign w:val="center"/>
          </w:tcPr>
          <w:p>
            <w:pPr>
              <w:pStyle w:val="TableContents"/>
              <w:bidi w:val="0"/>
              <w:spacing w:before="0" w:after="0"/>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Aggregate </w:t>
              <w:br/>
              <w:t xml:space="preserve">Intrinsic </w:t>
              <w:br/>
              <w:t>Value</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22.94</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December 31, 2023</w:t>
            </w:r>
          </w:p>
        </w:tc>
        <w:tc>
          <w:tcPr>
            <w:tcW w:w="326" w:type="dxa"/>
            <w:tcBorders/>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42.18</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0"/>
              <w:ind w:left="0" w:right="0" w:hanging="0"/>
              <w:jc w:val="right"/>
              <w:rPr/>
            </w:pPr>
            <w:r>
              <w:rPr/>
              <w:t>—</w:t>
            </w:r>
          </w:p>
        </w:tc>
      </w:tr>
      <w:tr>
        <w:trPr/>
        <w:tc>
          <w:tcPr>
            <w:tcW w:w="19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2024</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March 31, 2024</w:t>
            </w:r>
          </w:p>
        </w:tc>
        <w:tc>
          <w:tcPr>
            <w:tcW w:w="326" w:type="dxa"/>
            <w:tcBorders/>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0"/>
              <w:ind w:left="0" w:right="0" w:hanging="0"/>
              <w:jc w:val="right"/>
              <w:rPr/>
            </w:pPr>
            <w:r>
              <w:rPr/>
              <w:t>—</w:t>
            </w:r>
          </w:p>
        </w:tc>
      </w:tr>
      <w:tr>
        <w:trPr/>
        <w:tc>
          <w:tcPr>
            <w:tcW w:w="1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r>
      <w:tr>
        <w:trPr/>
        <w:tc>
          <w:tcPr>
            <w:tcW w:w="19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0"/>
              <w:ind w:left="0" w:right="0" w:hanging="0"/>
              <w:jc w:val="left"/>
              <w:rPr/>
            </w:pPr>
            <w:r>
              <w:rPr/>
              <w:t>​</w:t>
            </w:r>
          </w:p>
        </w:tc>
      </w:tr>
      <w:tr>
        <w:trPr/>
        <w:tc>
          <w:tcPr>
            <w:tcW w:w="19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June 30, 2024</w:t>
            </w:r>
          </w:p>
        </w:tc>
        <w:tc>
          <w:tcPr>
            <w:tcW w:w="326" w:type="dxa"/>
            <w:tcBorders/>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42.59</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326"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7.85</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approximately 809,000 options remained nonvested. Unrecognized compensation expense related to these options at June 30, 2024 was $4,185 and is expected to be recognized over </w:t>
      </w:r>
      <w:r>
        <w:rPr>
          <w:rFonts w:ascii="Times New Roman;Times;serif" w:hAnsi="Times New Roman;Times;serif"/>
          <w:b w:val="false"/>
          <w:i w:val="false"/>
          <w:caps w:val="false"/>
          <w:smallCaps w:val="false"/>
          <w:sz w:val="20"/>
        </w:rPr>
        <w:t>7.8</w:t>
      </w:r>
      <w:r>
        <w:rPr>
          <w:rFonts w:ascii="Times New Roman;Times;serif" w:hAnsi="Times New Roman;Times;serif"/>
          <w:sz w:val="20"/>
        </w:rPr>
        <w:t xml:space="preserve"> years. Compensation expense for stock option awards for the three months ended June 30, 2024 and 2023 was $147 and $129, respectively, and for the six months ended June 30, 2024 and 2023 was $295 and $255, respectively.</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 expense for the three months ended June 30, 2024 and 2023 was $3,607 and $3,070 respectively, and for the six months ended June 30, 2024 and 2023 was $6,980 and $6,505 respectively. The effective tax rate for the three months ended June 30, 2024 and 2023 was 18.2% and 17.0%, respectively, and for the six months ended June 30, 2024 and 2023 was 18.2% and 17.2%, respectively. These rates differ from the federal statutory rate of 21% primarily due to a federal tax credit for the sale of energy efficient homes under the Internal Revenue Code §45L, partially offset by state income taxes. The §45L tax credit was initially established under the Federal Energy Policy Act of 2005 and was extended through December 31, 2032 by the Inflation Reduction Act of 2022.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January 1, 2020, the Company instituted a self-insured health benefits plan with a stop-loss policy, which provides medical benefits to employees electing coverage under the plan. The Company estimates and records costs for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June 30, 2024 and December 31, 2023, the Company accrued a $222 and $242 liability for incurred but not reported claims, respectively. These accrued amounts are included in accrued liabilities on the accompanying balance sheets.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$1,040 and $3,030 at June 30, 2024 and December 31, 2023, respectively, without reduction for the resale value of the homes. The Company considers its obligations on current contracts to be immaterial and accordingly has not recorded any reserve for repurchase commitment as of June 30, 2024 and December 31, 2023.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Leases. </w:t>
      </w:r>
      <w:r>
        <w:rPr>
          <w:rFonts w:ascii="Times New Roman;Times;serif" w:hAnsi="Times New Roman;Times;serif"/>
          <w:sz w:val="20"/>
        </w:rPr>
        <w:t xml:space="preserve">The Company leases facilities under operating leases that typically have 10 year terms. These leases usually offer the Company a right of first refusal that affords the Company the option to purchase the leased premises under certain terms in the event the landlord attempts to sell the leased premises to a third party. Rent expense for the three months ended June 30, 2024 and 2023 was $161 and $141, respectively, and for the six months ended June 30, 2024 and 2023 was $320 and $323, respectively. The Company also subleases properties to third parties, ranging from </w:t>
      </w:r>
      <w:r>
        <w:rPr>
          <w:rFonts w:ascii="Times New Roman;Times;serif" w:hAnsi="Times New Roman;Times;serif"/>
          <w:b w:val="false"/>
          <w:i w:val="false"/>
          <w:caps w:val="false"/>
          <w:smallCaps w:val="false"/>
          <w:sz w:val="20"/>
        </w:rPr>
        <w:t>3-year</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11-year</w:t>
      </w:r>
      <w:r>
        <w:rPr>
          <w:rFonts w:ascii="Times New Roman;Times;serif" w:hAnsi="Times New Roman;Times;serif"/>
          <w:sz w:val="20"/>
        </w:rPr>
        <w:t xml:space="preserve"> terms with various renewal options. Rental income from the subleased properties for the three months ended June 30, 2024 and 2023 was approximately $60 and $39, respectively, and for the six months ended June 30, 2024 and 2023 was approximately $114 and $95, respectively. See Note 7 – Leases, for a schedule of the Company’s future minimum lease commitments.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$550 and $990 as of June 30, 2024 and December 31, 2023,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16. FAIR VALUE MEASUREMENTS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accounts for its investments and derivative instruments in accordance with the provisions of Accounting Standards Codification (“ASC”) 820 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 10, Fair Value Measurement, are as follows:</w:t>
      </w:r>
    </w:p>
    <w:p>
      <w:pPr>
        <w:pStyle w:val="TextBody"/>
        <w:pBdr/>
        <w:bidi w:val="0"/>
        <w:spacing w:before="0" w:after="0"/>
        <w:ind w:left="720" w:right="0" w:hanging="936"/>
        <w:jc w:val="left"/>
        <w:rPr>
          <w:rFonts w:ascii="Times New Roman;Times;serif" w:hAnsi="Times New Roman;Times;serif"/>
          <w:sz w:val="20"/>
        </w:rPr>
      </w:pPr>
      <w:r>
        <w:rPr>
          <w:rFonts w:ascii="Times New Roman;Times;serif" w:hAnsi="Times New Roman;Times;serif"/>
          <w:sz w:val="20"/>
        </w:rPr>
        <w:t>Level I       Quoted prices are available in active markets for identical assets or liabilities that the reporting entity has the ability to access at the measurement date.</w:t>
      </w:r>
    </w:p>
    <w:p>
      <w:pPr>
        <w:pStyle w:val="TextBody"/>
        <w:pBdr/>
        <w:bidi w:val="0"/>
        <w:spacing w:before="0" w:after="0"/>
        <w:ind w:left="720" w:right="0" w:hanging="936"/>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pBdr/>
        <w:bidi w:val="0"/>
        <w:spacing w:before="0" w:after="0"/>
        <w:ind w:left="720" w:right="0" w:hanging="936"/>
        <w:jc w:val="left"/>
        <w:rPr>
          <w:rFonts w:ascii="Times New Roman;Times;serif" w:hAnsi="Times New Roman;Times;serif"/>
          <w:sz w:val="20"/>
        </w:rPr>
      </w:pPr>
      <w:bookmarkStart w:id="1222" w:name="Tc_STnWw8hKskKyzlmy7c869Q_8_0"/>
      <w:bookmarkStart w:id="1223" w:name="Tc_zjeAu4BP80-0UnXkDaAXFQ_7_0"/>
      <w:bookmarkStart w:id="1224" w:name="Tc_VKRXPwN4tkyJCFMz__buMQ_6_0"/>
      <w:bookmarkStart w:id="1225" w:name="Tc_JCPFj8ArAkuKExdDjueGMA_5_0"/>
      <w:bookmarkStart w:id="1226" w:name="Tc_ze6EoasqgE2ZRb522tbhGA_4_0"/>
      <w:bookmarkStart w:id="1227" w:name="Tc_ecbY6ZON1Ui2-44RrJjlYQ_3_5"/>
      <w:bookmarkStart w:id="1228" w:name="Tc_N8MLszOrskWNhARgwD6VFQ_3_2"/>
      <w:bookmarkStart w:id="1229" w:name="Tc_yMXI6lKRBUKPLh8M6JM9jg_3_0"/>
      <w:bookmarkStart w:id="1230" w:name="Tc_n8fnO2MRZU6rlee3d8Z8HQ_2_5"/>
      <w:bookmarkStart w:id="1231" w:name="Tc_88ocmwv2ZkidyDEBF5jMHA_2_2"/>
      <w:bookmarkStart w:id="1232" w:name="Tc_f7XOvcCYtEiUWo9hzMvJqA_1_5"/>
      <w:bookmarkStart w:id="1233" w:name="Tc__zADbe5qakChcFXEjx8MDg_1_2"/>
      <w:bookmarkEnd w:id="1222"/>
      <w:bookmarkEnd w:id="1223"/>
      <w:bookmarkEnd w:id="1224"/>
      <w:bookmarkEnd w:id="1225"/>
      <w:bookmarkEnd w:id="1226"/>
      <w:bookmarkEnd w:id="1227"/>
      <w:bookmarkEnd w:id="1228"/>
      <w:bookmarkEnd w:id="1229"/>
      <w:bookmarkEnd w:id="1230"/>
      <w:bookmarkEnd w:id="1231"/>
      <w:bookmarkEnd w:id="1232"/>
      <w:bookmarkEnd w:id="1233"/>
      <w:r>
        <w:rPr>
          <w:rFonts w:ascii="Times New Roman;Times;serif" w:hAnsi="Times New Roman;Times;serif"/>
          <w:sz w:val="20"/>
        </w:rPr>
        <w:t>Level II      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pStyle w:val="TextBody"/>
        <w:pBdr/>
        <w:bidi w:val="0"/>
        <w:spacing w:before="0" w:after="200"/>
        <w:ind w:left="720" w:right="0" w:hanging="936"/>
        <w:jc w:val="left"/>
        <w:rPr/>
      </w:pPr>
      <w:r>
        <w:rPr/>
        <w:t>​</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III     Significant unobservable inputs that reflect an entity’s own assumptions that market participants would use in pricing the assets or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asset or liability fair value measurement level within the fair value hierarchy is based on the lowest level of any input that is significant to the fair value measurement.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consist primarily of cash, accounts receivable, consumer loans, MHP Notes, other notes, accounts payable, and 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amounts of cash, accounts receivable, and accounts payable approximate their respective fair values because of the short-term maturities or expected settlement dates of these instruments. This is considered a Level I valuation technique. The lines of credit,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This is considered a Level III valuation technique. The following table shows the fair market value and book value of these portfolios as of June 30, 2024 and December 31, 2023: </w:t>
      </w:r>
    </w:p>
    <w:p>
      <w:pPr>
        <w:pStyle w:val="TextBody"/>
        <w:bidi w:val="0"/>
        <w:spacing w:before="0" w:after="0"/>
        <w:ind w:left="0" w:right="0" w:hanging="0"/>
        <w:jc w:val="left"/>
        <w:rPr/>
      </w:pPr>
      <w:r>
        <w:rPr/>
        <w:t>​</w:t>
      </w:r>
    </w:p>
    <w:tbl>
      <w:tblPr>
        <w:tblW w:w="6129" w:type="dxa"/>
        <w:jc w:val="left"/>
        <w:tblInd w:w="0" w:type="dxa"/>
        <w:tblLayout w:type="fixed"/>
        <w:tblCellMar>
          <w:top w:w="0" w:type="dxa"/>
          <w:left w:w="0" w:type="dxa"/>
          <w:bottom w:w="0" w:type="dxa"/>
          <w:right w:w="0" w:type="dxa"/>
        </w:tblCellMar>
      </w:tblPr>
      <w:tblGrid>
        <w:gridCol w:w="3121"/>
        <w:gridCol w:w="109"/>
        <w:gridCol w:w="252"/>
        <w:gridCol w:w="933"/>
        <w:gridCol w:w="109"/>
        <w:gridCol w:w="326"/>
        <w:gridCol w:w="1279"/>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981835" cy="175260"/>
                      <wp:effectExtent l="0" t="0" r="0" b="0"/>
                      <wp:wrapNone/>
                      <wp:docPr id="363" name="Frame36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60020" cy="175260"/>
                      <wp:effectExtent l="0" t="0" r="0" b="0"/>
                      <wp:wrapNone/>
                      <wp:docPr id="365" name="Frame36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92455" cy="175260"/>
                      <wp:effectExtent l="0" t="0" r="0" b="0"/>
                      <wp:wrapNone/>
                      <wp:docPr id="366" name="Frame36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12165" cy="175260"/>
                      <wp:effectExtent l="0" t="0" r="0" b="0"/>
                      <wp:wrapNone/>
                      <wp:docPr id="369" name="Frame369"/>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157,098</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155,146</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book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161,803</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156,499</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149,735</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176,270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book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149,801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178,724</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24,662</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book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24,693</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34,590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34" w:name="Tc_qe_iMoY3kESpkvUXRm2Vww_14_11"/>
      <w:bookmarkStart w:id="1235" w:name="Tc_QTMEOnLOWUeROPy8F8OaVg_14_8"/>
      <w:bookmarkStart w:id="1236" w:name="Tc_Pb3ciuptsEWtG1DFFMvYmg_14_5"/>
      <w:bookmarkStart w:id="1237" w:name="Tc_lCZspa6iCkiOl_w6Q4Lh7w_14_2"/>
      <w:bookmarkStart w:id="1238" w:name="Tc_dHZ6zkjt_U2fi9wVp6P6VA_14_0"/>
      <w:bookmarkStart w:id="1239" w:name="Tc_mRAO9J8K00q2CQTneRfrbw_13_11"/>
      <w:bookmarkStart w:id="1240" w:name="Tc_P3ygKqaJuUG7a7xAL525EQ_13_8"/>
      <w:bookmarkStart w:id="1241" w:name="Tc_5bF-x9YjJEGHNPsTsrRcKw_13_5"/>
      <w:bookmarkStart w:id="1242" w:name="Tc_1iVnUSpTM0Sk04c-XyZJ-Q_13_2"/>
      <w:bookmarkStart w:id="1243" w:name="Tc_ecQiU-pQv0GEaL-uVajWMA_13_0"/>
      <w:bookmarkStart w:id="1244" w:name="Tc_K3za78iEIU230tABgE5bew_12_0"/>
      <w:bookmarkStart w:id="1245" w:name="Tc_d_oyYoz9E0SVjKesWi7Vig_11_0"/>
      <w:bookmarkStart w:id="1246" w:name="Tc_EAaisehJLkO8IGynzrqqCw_10_0"/>
      <w:bookmarkStart w:id="1247" w:name="Tc_iXU-xqJY10Gi3zcRIifw5Q_9_0"/>
      <w:bookmarkStart w:id="1248" w:name="Tc_03Oblk9h0E2sAnztTWchow_8_0"/>
      <w:bookmarkStart w:id="1249" w:name="Tc_rBLoLN3liEKZxZ88ruoQSQ_7_0"/>
      <w:bookmarkStart w:id="1250" w:name="Tc_7CyXSQYON0u9LXM9EA81Pw_6_0"/>
      <w:bookmarkStart w:id="1251" w:name="Tc_qw3AFAm9YkaXVsLBaMB_Zw_5_11"/>
      <w:bookmarkStart w:id="1252" w:name="Tc_NSoBxJ8ZMEuHYcH2ykvZ2g_5_8"/>
      <w:bookmarkStart w:id="1253" w:name="Tc_ReMkbVMPNUOTR0EF2gbNnw_5_5"/>
      <w:bookmarkStart w:id="1254" w:name="Tc_q_SnjnqFQkunsvgXIBbC6w_5_2"/>
      <w:bookmarkStart w:id="1255" w:name="Tc_364oI0X_tk6bzWANKkw8xw_5_0"/>
      <w:bookmarkStart w:id="1256" w:name="Tc_Jvvknzjip0SO55cniSHzBw_4_0"/>
      <w:bookmarkStart w:id="1257" w:name="Tc_apC75evPkUGghcpIyI0NUw_3_11"/>
      <w:bookmarkStart w:id="1258" w:name="Tc_i-SLyYO-OEGaL5N_u1luAA_3_8"/>
      <w:bookmarkStart w:id="1259" w:name="Tc_WLYQftAlgkuJW1JaAWMy7g_3_5"/>
      <w:bookmarkStart w:id="1260" w:name="Tc_NzCZKvevXUqovi_0xlhR1A_3_2"/>
      <w:bookmarkStart w:id="1261" w:name="Tc_GyaV1QFSB0eOSUOo6IxmoA_2_8"/>
      <w:bookmarkStart w:id="1262" w:name="Tc_fR9Xcme0KkmODMh1JfBpxA_2_2"/>
      <w:bookmarkStart w:id="1263" w:name="Tc_zFYXp6r5UkiqhvbQIPzQhA_1_8"/>
      <w:bookmarkStart w:id="1264" w:name="Tc_9FVwx9g56E-7drzPB0nmjg_1_2"/>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r>
        <w:rPr>
          <w:rFonts w:ascii="Times New Roman;Times;serif" w:hAnsi="Times New Roman;Times;serif"/>
          <w:b/>
          <w:sz w:val="20"/>
        </w:rPr>
        <w:t>17. EARNINGS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02"/>
        <w:gridCol w:w="109"/>
        <w:gridCol w:w="211"/>
        <w:gridCol w:w="1036"/>
        <w:gridCol w:w="326"/>
        <w:gridCol w:w="211"/>
        <w:gridCol w:w="1036"/>
        <w:gridCol w:w="109"/>
        <w:gridCol w:w="211"/>
        <w:gridCol w:w="1036"/>
        <w:gridCol w:w="326"/>
        <w:gridCol w:w="211"/>
        <w:gridCol w:w="1081"/>
      </w:tblGrid>
      <w:tr>
        <w:trPr/>
        <w:tc>
          <w:tcPr>
            <w:tcW w:w="4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731770" cy="175260"/>
                      <wp:effectExtent l="0" t="0" r="0" b="0"/>
                      <wp:wrapNone/>
                      <wp:docPr id="370" name="Frame370"/>
                      <a:graphic xmlns:a="http://schemas.openxmlformats.org/drawingml/2006/main">
                        <a:graphicData uri="http://schemas.microsoft.com/office/word/2010/wordprocessingShape">
                          <wps:wsp>
                            <wps:cNvSpPr txBox="1"/>
                            <wps:spPr>
                              <a:xfrm>
                                <a:off x="0" y="0"/>
                                <a:ext cx="273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57860" cy="175260"/>
                      <wp:effectExtent l="0" t="0" r="0" b="0"/>
                      <wp:wrapNone/>
                      <wp:docPr id="373" name="Frame3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57860" cy="175260"/>
                      <wp:effectExtent l="0" t="0" r="0" b="0"/>
                      <wp:wrapNone/>
                      <wp:docPr id="376" name="Frame3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57860" cy="175260"/>
                      <wp:effectExtent l="0" t="0" r="0" b="0"/>
                      <wp:wrapNone/>
                      <wp:docPr id="379" name="Frame3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86435" cy="175260"/>
                      <wp:effectExtent l="0" t="0" r="0" b="0"/>
                      <wp:wrapNone/>
                      <wp:docPr id="382" name="Frame38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(in 000's)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31,296</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24,165,320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24,380,894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24,279,038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24,377,803</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8,311</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620,299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699,044</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24,780,903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25,101,937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24,899,616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25,085,158</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attributable to Legacy Housing Corporation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2022, our Board of Directors approved a share repurchase program to authorize the repurchase of up to $10.0 million of the Company’s common stock. We repurchased 170,342 shares for $3.5 million in the open market during the three months ended June 30, 2024, and we repurchased 261,529 shares for $5.4 million in the open market during the six months ended June 30, 2024. As of June 30, 2024, we had a remaining authorization of approximately $4.6 million. On August 6, 2024, our Board of Directors authorized the repurchase of an additional $10.0 million of the Company’s common stock under the share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 RELATED PARTY TRANSACTIONS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Bell Mobile Homes (“Bell”), a retailer owned by one of the Company’s significant stockholders, purchases manufactured homes from the Company. Accounts receivable balances due from Bell were $325 and $403 as of June 30, 2024 and December 31, 2023, respectively. Accounts payable balances due to Bell were $60 and $18 as of June 30, 2024 and December 31, 2023, respectively. Home sales to Bell were $1,312 and $1,507 for the three months ended June 30, 2024 and 2023, respectively, and were $2,431 and $1,987 for the six months ended June 30, 2024 and 2023,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Shipley Bros., Ltd. And Crazy Red’s Mobile Homes (together, “Shipley”), retailers owned by one of the Company’s significant shareholders, purchase manufactured homes from the Company. Accounts receivable balances due from Shipley were $349 and $143 as of June 30, 2024 and December 31, 2023, respectively. Accounts payable balances due to Shipley were $68 and $67 as of June 30, 2024 and December 31, 2023. Home sales to Shipley were $1,361 and $252 for the three months ended June 30, 2024 and 2023, respectively, and were $1,660 and $622 for the six months ended June 30, 2024 and 2023, respectively.</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19. SUBSEQUENT EVENTS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connection with the preparation of these financial statements, we evaluated subsequent events after the balance sheet date of June 30, 2024 and through the date of this filing and determined that no events occurred that would require adjustments or disclosures in the financial statements except those listed below.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Legacy Housing Corporation (“Legacy” or the “Company”) previously disclosed, in a Form 10-K for the fiscal year ended December 31, 2023, and a Form 10-Q for the quarterly period ended March 31, 2024, Legacy and numerous entities owned or operated by one individual (the “Makers”) previously entered into several Promissory Notes (the “Notes”) valued at approximately $55 million. In January 2024, the Makers defaulted on, and Legacy accelerated, a portion of the Notes valued at approximately $37 million. The Notes were secured by mobile homes and mobile-home parks located in Texas, Mississippi, and Louisiana, and personally guaranteed by individuals (the “Personal Guarantors”). In the first and second quarters of 2024, Legacy filed several lawsuits against the Makers and the Personal Guarantors and aggressively pursued the collateral.</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27, 2024, Legacy, the Makers, and the Personal Guarantors entered into a Settlement Agreement and Release (the “Agreement”). The parties to the Agreement are Legacy, Legacy’s Executive Chairman, Curtis D. Hodgson (collectively, the “Plaintiffs”), William Rodwell, Cynthia Rodwell, Tony Hartsgrove, Robert T. Hutson II, Yakov Plotnikov, Eric D. Wooten (collectively, the “Individual Defendants”), Cleveland MHC, LLC (“Cleveland”), Country Aire Homes of LA, LLC, Forest Hollow, LLC (“Forest Hollow”), Gulf Stream Homes of LA, LLC, Gulf Stream Homes of MS, LLC, Stellar GS Homes, LLC, SINOP GS Homes, LLC, Gulf Stream Manor Phase 2 Homes, LLC, Iowa Homes, LLC, Southern Pointe Homes, LLC, Southern Pointe Investments, LLC, Southern Pointe Investments II, LLC, Stellar GS Homes LLC, and Country Aire MHP LLC (collectively, the “Entity Defendants”).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consideration for the mutual releases contained in the Agreement: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Hollow shall convey clear title, and the undisputed right to possess, all real and personal property located on or at the Forest Hollow Mobile Home Community, 6650 Broad Oak Street, Beaumont, TX 77713 (the “Forest Hollow Mobile Home Community”) to Legacy;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Cleveland shall convey clear title, and the undisputed right to possess, all real and personal property located on or at the Cleveland Mobile Home Community, 110 Old Hwy 49 S. Richland, MS 39218 (the “Cleveland Mobile Home Community”) to Legacy;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Cleveland and Forest Hollow shall assign all intangible assets, including all leases, contracts, and goodwill applicable or related to the real and personal property located on or at the Forest Hollow Mobile Home Community and the Cleveland Mobile Home Community to Legacy;</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Individual and Entity Defendants shall irrevocably waive any and all claims related to existing deposits;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Legacy shall refinance the Entity and Individual Defendants’ remaining debt, pursuant to a new two-year, $48</w:t>
            </w:r>
            <w:r>
              <w:rPr>
                <w:caps w:val="false"/>
                <w:smallCaps w:val="false"/>
              </w:rPr>
              <w:t xml:space="preserve"> </w:t>
            </w:r>
            <w:r>
              <w:rPr>
                <w:rFonts w:ascii="Times New Roman;Times;serif" w:hAnsi="Times New Roman;Times;serif"/>
                <w:b w:val="false"/>
                <w:i w:val="false"/>
                <w:caps w:val="false"/>
                <w:smallCaps w:val="false"/>
                <w:sz w:val="20"/>
              </w:rPr>
              <w:t>million Promissory Note (the “New Note”), with the balance subject to change prior to closing.</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New Note shall be secured by a first priority interest in more than 1,000 mobile homes and two mobile-home parks located in Louisiana, and personal guarantees signed by the Individual Defendants. Legacy evaluated the recoverability of the Notes as of December 31, 2023, March 31, 2024, and June 30, 2024 and determined that a provision for expected loan losses was not necessary based on an analysis of the value of the collateral. The New Note is secured by the same Louisiana collateral as the old Notes, and while providing additional legal efficiencies. The Individual Defendants shall personally guarantee the New Note to the same extent they have personally guaranteed the Entity Defendants’ existing debt.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On August 6, 2024, the Board of Directors adopted a motion, pursuant to which Curtis Hodgson will remain Executive Chairman until the 2024 Annual Shareholders’ Meeting.</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65" w:name="Item2ManagementsDiscussionandAnalysisofF"/>
      <w:bookmarkStart w:id="1266" w:name="_e6e7034e_975e_47ed_9df1_ddd74d401b0c"/>
      <w:bookmarkEnd w:id="1265"/>
      <w:bookmarkEnd w:id="1266"/>
      <w:r>
        <w:rPr>
          <w:rFonts w:ascii="Times New Roman;Times;serif" w:hAnsi="Times New Roman;Times;serif"/>
          <w:b/>
          <w:sz w:val="20"/>
        </w:rPr>
        <w:t>Item 2. Management’s Discussion and Analysis of Financial Condition and Results of Operations.</w:t>
      </w:r>
    </w:p>
    <w:p>
      <w:pPr>
        <w:pStyle w:val="TextBody"/>
        <w:bidi w:val="0"/>
        <w:spacing w:before="0" w:after="264"/>
        <w:ind w:left="0" w:right="0" w:firstLine="792"/>
        <w:jc w:val="left"/>
        <w:rPr>
          <w:rFonts w:ascii="Times New Roman;Times;serif" w:hAnsi="Times New Roman;Times;serif"/>
          <w:i/>
          <w:sz w:val="20"/>
        </w:rPr>
      </w:pPr>
      <w:r>
        <w:rPr>
          <w:rFonts w:ascii="Times New Roman;Times;serif" w:hAnsi="Times New Roman;Times;serif"/>
          <w:i/>
          <w:sz w:val="20"/>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in our Registration Statement on Form S-1, particularly under the heading “Risk Factors.” Dollar amounts are in thousands unless otherwise noted.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build, sell and finance manufactured homes and “tiny houses” that are distributed through a network of independent retailers and company owned stores and also sold directly to manufactured home communities. We are the fourth largest producer of manufactured homes in the United States as ranked by the number of homes manufactured based on information available from the Manufactured Housing Institute and the Institute for Building Technology and Safety for the twelve month period ending December 31, 2023. With current operations focused primarily in the southern United States, we offer our customers an array of quality homes ranging in size from approximately 395 to 2,667 square feet consisting of 1 to 5 bedrooms and 1 to 3 1/2 bathrooms. Our homes range in price, at retail, from approximately $33,000 to $180,000. For the three and six months ended June 30, 2024, we sold 578 and 1,223 home sections, respectively (which are entire modules or single floors). For the three and six months ended June 30, 2023, we sold 793 and 1,603 home sections, respectively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to the customers to facilitate home sales. Accordingly, all significant operating and strategic decisions by the chief operating decision maker, the Chief Executive Officer, are based upon analyses of our company as one operating 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our company is one of the most vertically integrated in the manufactured housing industry, allowing us to offer a complete solution to our customers. We manufacture custom made homes using quality materials, distribute those homes through our expansive network of independent retailers and company 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 volume production techniques that allow us to produce, on average, approximately 70 home sections, or 60 fully 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 of the art kitchens.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homes are marketed under our premier “Legacy” brand name and, as of June 30, 2024, are sold to consumers, primarily in over 15 states through a network of independent retail locations, 13 company owned retail locations and through direct sales to owners of manufactured home communities. Our 13 company owned retail locations, including 11 Heritage Housing stores and two Tiny House Outlet stores, exclusively sell our homes. For the six months ended June 30, 2024, approximately 49% of our manufactured homes were sold in Texas, followed by 12% in North Carolina, 9% in Georgia, 7% in Oklahoma, and 4% in Michigan. For the six months ended June 30, 2023, approximately 48% of our manufactured homes were sold in Texas, followed by 19% in Georgia, 7% in Louisiana, 4% in Florida, and 3% in Oklahoma.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offer three types of financing solutions to our customers. We provide consumer financing for our products which are sold to end users through both independent and company owned retail locations. We provide inventory financing for our independent retailers who purchase homes from us and then sell them to consumers. We also provide financing solutions to manufactured housing community owners that buy our products for use in their manufactured housing communities. Our ability to offer competitive financing options at our retail locations provides us with several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competitive advantages and allows us to capture sales which may not have otherwise occurred without our ability to offer consumer financing.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the growth of our business and our future success depend on various opportunities, challenges, trends and other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several properties in our market area for the purpose of developing manufactured housing communities and subdivisions. As of June 30, 2024, these properties include the following (dollars in thousands):</w:t>
            </w:r>
          </w:p>
        </w:tc>
      </w:tr>
    </w:tbl>
    <w:tbl>
      <w:tblPr>
        <w:tblW w:w="9608" w:type="dxa"/>
        <w:jc w:val="left"/>
        <w:tblInd w:w="0" w:type="dxa"/>
        <w:tblLayout w:type="fixed"/>
        <w:tblCellMar>
          <w:top w:w="0" w:type="dxa"/>
          <w:left w:w="0" w:type="dxa"/>
          <w:bottom w:w="0" w:type="dxa"/>
          <w:right w:w="0" w:type="dxa"/>
        </w:tblCellMar>
      </w:tblPr>
      <w:tblGrid>
        <w:gridCol w:w="2026"/>
        <w:gridCol w:w="326"/>
        <w:gridCol w:w="961"/>
        <w:gridCol w:w="386"/>
        <w:gridCol w:w="1681"/>
        <w:gridCol w:w="326"/>
        <w:gridCol w:w="326"/>
        <w:gridCol w:w="676"/>
        <w:gridCol w:w="326"/>
        <w:gridCol w:w="371"/>
        <w:gridCol w:w="770"/>
        <w:gridCol w:w="326"/>
        <w:gridCol w:w="326"/>
        <w:gridCol w:w="78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86510" cy="175260"/>
                      <wp:effectExtent l="0" t="0" r="0" b="0"/>
                      <wp:wrapNone/>
                      <wp:docPr id="383" name="Frame38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10235" cy="175260"/>
                      <wp:effectExtent l="0" t="0" r="0" b="0"/>
                      <wp:wrapNone/>
                      <wp:docPr id="385" name="Frame38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45110" cy="175260"/>
                      <wp:effectExtent l="0" t="0" r="0" b="0"/>
                      <wp:wrapNone/>
                      <wp:docPr id="386" name="Frame38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067435" cy="175260"/>
                      <wp:effectExtent l="0" t="0" r="0" b="0"/>
                      <wp:wrapNone/>
                      <wp:docPr id="387" name="Frame38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29260" cy="175260"/>
                      <wp:effectExtent l="0" t="0" r="0" b="0"/>
                      <wp:wrapNone/>
                      <wp:docPr id="390" name="Frame3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35585" cy="175260"/>
                      <wp:effectExtent l="0" t="0" r="0" b="0"/>
                      <wp:wrapNone/>
                      <wp:docPr id="392" name="Frame3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88950" cy="175260"/>
                      <wp:effectExtent l="0" t="0" r="0" b="0"/>
                      <wp:wrapNone/>
                      <wp:docPr id="393" name="Frame39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95935" cy="175260"/>
                      <wp:effectExtent l="0" t="0" r="0" b="0"/>
                      <wp:wrapNone/>
                      <wp:docPr id="396" name="Frame3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86" w:type="dxa"/>
            <w:tcBorders/>
            <w:vAlign w:val="center"/>
          </w:tcPr>
          <w:p>
            <w:pPr>
              <w:pStyle w:val="TableContents"/>
              <w:bidi w:val="0"/>
              <w:spacing w:before="0" w:after="0"/>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Acquisition</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Bastrop County, Texas</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14,822</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 Acres</w:t>
            </w:r>
          </w:p>
        </w:tc>
        <w:tc>
          <w:tcPr>
            <w:tcW w:w="38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Horseshoe Bay,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133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2018-2019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County, Texas</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91.5 Acres</w:t>
            </w:r>
          </w:p>
        </w:tc>
        <w:tc>
          <w:tcPr>
            <w:tcW w:w="38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2019</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Venus,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Wise County, Texas</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81.5 Acres</w:t>
            </w:r>
          </w:p>
        </w:tc>
        <w:tc>
          <w:tcPr>
            <w:tcW w:w="3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 Acres</w:t>
            </w:r>
          </w:p>
        </w:tc>
        <w:tc>
          <w:tcPr>
            <w:tcW w:w="38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24,578</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to provide financing solutions to owners of manufactured housing communities in a manner that includes developing new sites for products in or near urban locations where there is a shortage of sites to place our products. These solutions will be structured to give us an attractive return on investment and competitive the gross margins on the sale of homes to these new manufactured housing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recently was near its highest rate in the U.S. over the last 30 years. Our ability to maintain gross margins can be impacted adversely by sudden increases in specific costs, such as increases in material and labor. In addition, measures used to combat inflation, such as increases in interest rates, could also have an impact on the ability of home buyers and community developers to obtain affordable financing. We continue to explore opportunities to minimize the impact of inflation on our future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Finally, our financial performance will be impacted by our ability to fulfill orders for our manufactured homes from dealers and customers. Our Georgia manufacturing facility has unutilized space available and, with additional investment, we can add capacity to increase the number of homes that we can manufacture in that facility. Our future levels of production will depend in part, on our ability to anticipate sales volumes and product mix, to schedule production efficiently, to maintain proper equipment and to manage levels of inventory and personnel. We actively review organic and inorganic opportunities to add production capacity in attractive regions to meet future demand. </w:t>
            </w:r>
          </w:p>
        </w:tc>
      </w:tr>
    </w:tbl>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the information set forth in the financial statements and the accompanying notes appearing elsewhere in this Form 10-Q.</w:t>
      </w:r>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2024 and 2023 (in thousands)</w:t>
      </w:r>
    </w:p>
    <w:tbl>
      <w:tblPr>
        <w:tblW w:w="8838" w:type="dxa"/>
        <w:jc w:val="left"/>
        <w:tblInd w:w="0" w:type="dxa"/>
        <w:tblLayout w:type="fixed"/>
        <w:tblCellMar>
          <w:top w:w="0" w:type="dxa"/>
          <w:left w:w="0" w:type="dxa"/>
          <w:bottom w:w="0" w:type="dxa"/>
          <w:right w:w="0" w:type="dxa"/>
        </w:tblCellMar>
      </w:tblPr>
      <w:tblGrid>
        <w:gridCol w:w="3466"/>
        <w:gridCol w:w="326"/>
        <w:gridCol w:w="211"/>
        <w:gridCol w:w="691"/>
        <w:gridCol w:w="326"/>
        <w:gridCol w:w="211"/>
        <w:gridCol w:w="691"/>
        <w:gridCol w:w="326"/>
        <w:gridCol w:w="326"/>
        <w:gridCol w:w="796"/>
        <w:gridCol w:w="326"/>
        <w:gridCol w:w="826"/>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200910" cy="175260"/>
                      <wp:effectExtent l="0" t="0" r="0" b="0"/>
                      <wp:wrapNone/>
                      <wp:docPr id="397" name="Frame39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38785" cy="175260"/>
                      <wp:effectExtent l="0" t="0" r="0" b="0"/>
                      <wp:wrapNone/>
                      <wp:docPr id="400" name="Frame4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38785" cy="175260"/>
                      <wp:effectExtent l="0" t="0" r="0" b="0"/>
                      <wp:wrapNone/>
                      <wp:docPr id="403" name="Frame4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05460" cy="175260"/>
                      <wp:effectExtent l="0" t="0" r="0" b="0"/>
                      <wp:wrapNone/>
                      <wp:docPr id="406" name="Frame4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24510" cy="175260"/>
                      <wp:effectExtent l="0" t="0" r="0" b="0"/>
                      <wp:wrapNone/>
                      <wp:docPr id="408" name="Frame4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0660" cy="175260"/>
                      <wp:effectExtent l="0" t="0" r="0" b="0"/>
                      <wp:wrapNone/>
                      <wp:docPr id="409" name="Frame4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42,316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(10,664)</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(10,141)</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(8,671)</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3,176</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$10.7 million, or 25.2%, during the three months ended June 30, 2024 as compared to the same period in 2023. This decrease was driven by an industry wide decrease in unit volumes shipped, primarily in direct sales, mobile home park sales and inventory finance sales categories.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three months ended June 30, 2024 and 2023:</w:t>
      </w:r>
    </w:p>
    <w:tbl>
      <w:tblPr>
        <w:tblW w:w="7433"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72235" cy="175260"/>
                      <wp:effectExtent l="0" t="0" r="0" b="0"/>
                      <wp:wrapNone/>
                      <wp:docPr id="410" name="Frame41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9260" cy="175260"/>
                      <wp:effectExtent l="0" t="0" r="0" b="0"/>
                      <wp:wrapNone/>
                      <wp:docPr id="413" name="Frame4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29260" cy="175260"/>
                      <wp:effectExtent l="0" t="0" r="0" b="0"/>
                      <wp:wrapNone/>
                      <wp:docPr id="416" name="Frame4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05460" cy="175260"/>
                      <wp:effectExtent l="0" t="0" r="0" b="0"/>
                      <wp:wrapNone/>
                      <wp:docPr id="419" name="Frame4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53085" cy="175260"/>
                      <wp:effectExtent l="0" t="0" r="0" b="0"/>
                      <wp:wrapNone/>
                      <wp:docPr id="421" name="Frame4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0660" cy="175260"/>
                      <wp:effectExtent l="0" t="0" r="0" b="0"/>
                      <wp:wrapNone/>
                      <wp:docPr id="422" name="Frame4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(10,664)</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2024, our net revenue per product sold decreased primarily due to a shift in product mix to smaller units. We had decreases in direct sales, commercial sales and inventory finance sales, partially offset by an increase in retail store sales and other product sales. Direct sales decreased $0.4 million, or 10.1% during the three months ended June 30, 2024 as compared to the same period in 2023. Commercial sales decreased $4.6 million, or 29.2% during the three months ended June 30, 2024 as compared to the same period in 2023. Inventory finance sales to dealers decreased $6.5 million, or 41.6% during the three months ended June 30, 2024 as compared to the same period in 2023. Retail store sales increased $0.2 million, or 3.7% during the three months ended June 30, 2024 as compared to the same period in 2023. Our revenue has decreased primarily due to a lower volume of shipments, a shift in product mix generally to smaller units and a slowdown in our dealer and mobile home park sales. Our current business is dependent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on dealer sales, as reflected in direct sales and inventory finance sales, and our sales have slowed due to high levels of inventory on dealer lots and seasonality. Our retail sales have improved as we have focused on improving the performance of our company owned stores. Our mobile home park business has been impacted by higher interest rates, and transaction volumes and new development have declined.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MHP and dealer loans interest income increased $1.4 million, or 16.0%, during the three months ended June 30, 2024 as compared to the same period in 2023 due to growth in our loan portfolios. Between June 30, 2024 and June 30, 2023 our consumer loan portfolio increased by $15.8 million, our MHP loan portfolio increased by $16.6 million, and our dealer finance notes increased by $0.9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service fees and other miscellaneous income and decreased $0.8 million, or 45.5%, during the three months ended June 30, 2024 as compared to the same period in 2023. This decrease was primarily due to a $1.0 million decrease in dealer finance fees, a $0.2 million decrease in commercial lease rents, partially offset by a $0.4 million increase in other miscellaneous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$8.2 million, or 27.4%, during the three months ended June 30, 2024 as compared to the same period in 2023. The decrease in costs is primarily related to the decrease in units sold.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remained flat during the three months ended June 30, 2024 as compared to the same period in 2023. We had a $0.8 million decrease in warranty costs and a $0.7 million decrease in payroll and related expense, a $0.2 million decrease in bad debt expense, offset by a $0.8 million increase in legal expense, a $0.4 million increase in property tax expense a $0.2 million increase in loan loss provision, and a $0.1 million increase in marketing expense and a net $0.2 million in other miscellaneous expense.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$0.6 million during the three months ended June 30, 2024 as compared to the same period in 2023.</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increased $3.2 million, or 538.3%, during the three months ended June 30, 2024 as compared to the same period in 2023.  There was (i) an increase of $2.6 million in miscellaneous income as a result of a gain of $1.3 million on the sale of real property in Georgia and a reversal of $1.3 million of accrued liabilities, (ii) an increase of $0.3 million in other miscellaneous income, and (iii) an increase of $0.3 million in interest income for other notes receivable net of allowances.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Income tax increased $0.5 million during the three months ended June 30, 2024 as compared to the same period in 2023. The effective tax rate for the three months ended June 30, 2024 and 2023 was 18.2% and 17.0%, respectively, and differs from the federal statutory rate of 21% primarily due to a federal tax credit for energy efficient construction, partially offset by state income taxes.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2024 and 2023 (in thousands)</w:t>
      </w:r>
    </w:p>
    <w:tbl>
      <w:tblPr>
        <w:tblW w:w="8943" w:type="dxa"/>
        <w:jc w:val="left"/>
        <w:tblInd w:w="0" w:type="dxa"/>
        <w:tblLayout w:type="fixed"/>
        <w:tblCellMar>
          <w:top w:w="0" w:type="dxa"/>
          <w:left w:w="0" w:type="dxa"/>
          <w:bottom w:w="0" w:type="dxa"/>
          <w:right w:w="0" w:type="dxa"/>
        </w:tblCellMar>
      </w:tblPr>
      <w:tblGrid>
        <w:gridCol w:w="3466"/>
        <w:gridCol w:w="326"/>
        <w:gridCol w:w="211"/>
        <w:gridCol w:w="691"/>
        <w:gridCol w:w="326"/>
        <w:gridCol w:w="211"/>
        <w:gridCol w:w="781"/>
        <w:gridCol w:w="326"/>
        <w:gridCol w:w="326"/>
        <w:gridCol w:w="796"/>
        <w:gridCol w:w="326"/>
        <w:gridCol w:w="84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200910" cy="175260"/>
                      <wp:effectExtent l="0" t="0" r="0" b="0"/>
                      <wp:wrapNone/>
                      <wp:docPr id="423" name="Frame42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38785" cy="175260"/>
                      <wp:effectExtent l="0" t="0" r="0" b="0"/>
                      <wp:wrapNone/>
                      <wp:docPr id="426" name="Frame4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5935" cy="175260"/>
                      <wp:effectExtent l="0" t="0" r="0" b="0"/>
                      <wp:wrapNone/>
                      <wp:docPr id="429"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05460" cy="175260"/>
                      <wp:effectExtent l="0" t="0" r="0" b="0"/>
                      <wp:wrapNone/>
                      <wp:docPr id="432" name="Frame4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34035" cy="175260"/>
                      <wp:effectExtent l="0" t="0" r="0" b="0"/>
                      <wp:wrapNone/>
                      <wp:docPr id="434" name="Frame4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0660" cy="175260"/>
                      <wp:effectExtent l="0" t="0" r="0" b="0"/>
                      <wp:wrapNone/>
                      <wp:docPr id="435" name="Frame4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85,497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(23,013)</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4,284</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105,493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(19,755)</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58,670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(16,646)</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69,640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(16,682)</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(3,073)</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$23.0 million, or 26.9%, during the six months ended June 30, 2024 as compared to the same period in 2023. This decrease was driven by an industry wide decrease in unit volumes shipped, primarily in direct sales, mobile home park sales and inventory finance sales categories.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six months ended June 30, 2024 and 2023:</w:t>
      </w:r>
    </w:p>
    <w:tbl>
      <w:tblPr>
        <w:tblW w:w="7433"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72235" cy="175260"/>
                      <wp:effectExtent l="0" t="0" r="0" b="0"/>
                      <wp:wrapNone/>
                      <wp:docPr id="436" name="Frame43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29260" cy="175260"/>
                      <wp:effectExtent l="0" t="0" r="0" b="0"/>
                      <wp:wrapNone/>
                      <wp:docPr id="439" name="Frame4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29260" cy="175260"/>
                      <wp:effectExtent l="0" t="0" r="0" b="0"/>
                      <wp:wrapNone/>
                      <wp:docPr id="442" name="Frame4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05460" cy="175260"/>
                      <wp:effectExtent l="0" t="0" r="0" b="0"/>
                      <wp:wrapNone/>
                      <wp:docPr id="445" name="Frame4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53085" cy="175260"/>
                      <wp:effectExtent l="0" t="0" r="0" b="0"/>
                      <wp:wrapNone/>
                      <wp:docPr id="447" name="Frame4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0660" cy="175260"/>
                      <wp:effectExtent l="0" t="0" r="0" b="0"/>
                      <wp:wrapNone/>
                      <wp:docPr id="448" name="Frame4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(23,013)</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June 30, 2024, our net revenue per product sold decreased primarily due to a shift in product mix to smaller units and to a large sale of homes in the first quarter of 2024 from our leased home portfolio to a mobile home park customer at a lower than average price than our typical new home. We had decreases in direct sales, commercial sales and inventory finance sales, partially offset by an increase in retail store sales and other product sales. Direct sales decreased $6.0 million, or 53.8% during the six months ended June 30, 2024 as compared to the same period in 2023. Commercial sales decreased $6.6 million, or 21.0% during the six months ended June 30, 2024 as compared to the same period in 2023. Inventory finance sales to dealers decreased $11.7 million, or 39.9% during the six months ended June 30, 2024 as compared to the same period in 2023. Retail store sales increased $1.0 million, or 12.0% during the six months ended June 30, 2024 as compared to the same period in 2023. Our revenue has decreased primarily due to a lower volume of shipments, a shift in product mix generally to smaller units and a slowdown in our dealer and mobile home park sales. Our current business is dependent on dealer sales, as reflected in direct sales and inventory finance sales, and our sales have slowed due to high levels of inventory on dealer lots and seasonality. Our retail sales have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improved as we have focused on improving the performance of our company owned stores. Our mobile home park business has been impacted by higher interest rates, and transaction volumes and new development have declined.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MHP and dealer loans interest income increased $4.3 million, or 26.5%, during the six months ended June 30, 2024 as compared to the same period in 2023 due to growth in our loan portfolios. Between June 30, 2024 and June 30, 2023 our consumer loan portfolio increased by $15.8 million, our MHP loan portfolio increased by $16.6 million, and our dealer finance notes increased by $0.9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service fees and other miscellaneous income and decreased $1.0 million, or 27.0%, during the six months ended June 30, 2024 as compared to the same period in 2023. This decrease was primarily due to a $2.0 million decrease in dealer finance fees, a $0.3 million decrease in commercial lease rents, partially offset by a $1.1 million increase in forfeited deposits and a $0.2 million increase in other miscellaneous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$16.6 million, or 28.4%, during the six months ended June 30, 2024 as compared to the same period in 2023. The decrease in costs is primarily related to the decrease in units sold.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increased $0.5 million, or 4.8%, during the six months ended June 30, 2024 as compared to the same period in 2023. This increase was primarily due to a $1.0 million increase in legal expense, a $0.5 million increase in property tax expense, a $0.1 million increase in marketing expense, a $0.1 million increase in professional fees, and a net $0.1 million increase in other miscellaneous expense partially offset by a $0.7 million decrease in payroll and related expense, a $0.5 million decrease in warranty costs, and a $0.1 million decrease in loan loss provision.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$0.6 million during the six months ended June 30, 2024 as compared to the same period in 2023.</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increased $3.6 million, or 183.8%, during the six months ended June 30, 2024 as compared to the same period in 2023.  There was (i) an increase of $2.6 million in miscellaneous income as a result of a gain of $1.3 million on the sale of real property in Georgia and a reversal of $1.3 million of accrued liabilities, (ii) an increase of $0.6 million in interest income for other notes receivable net of allowances, (iii) an increase of $0.6 million in other miscellaneous income, and (iii) an increase of $0.2 million in interest expense.</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Income tax increased $0.5 million during the six months ended June 30, 2024 as compared to the same period in 2023. The effective tax rate for the six months ended June 30, 2024 and 2023 was 18.2% and 17.2%, respectively, and differs from the federal statutory rate of 21% primarily due to a federal tax credit for energy efficient construction, partially offset by state income taxes.</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cash flow from operations and cash at June 30, 2024, and availability on our lines of credit will be sufficient to fund our operations and provide for growth for the next 12 to 18 months and into the foreseeable future. On July 28, 2023, we terminated our credit agreement with Capital One, N.A. and entered into a new credit agreement with Prosperity Bank that expanded and extended our credit availability (see </w:t>
      </w:r>
      <w:r>
        <w:rPr>
          <w:rFonts w:ascii="Times New Roman;Times;serif" w:hAnsi="Times New Roman;Times;serif"/>
          <w:b/>
          <w:i/>
          <w:sz w:val="20"/>
        </w:rPr>
        <w:t>Lines of Credit</w:t>
      </w:r>
      <w:r>
        <w:rPr>
          <w:rFonts w:ascii="Times New Roman;Times;serif" w:hAnsi="Times New Roman;Times;serif"/>
          <w:sz w:val="20"/>
        </w:rPr>
        <w:t xml:space="preserve">, below). </w:t>
      </w:r>
    </w:p>
    <w:p>
      <w:pPr>
        <w:pStyle w:val="TextBody"/>
        <w:bidi w:val="0"/>
        <w:spacing w:before="0" w:after="200"/>
        <w:ind w:left="0" w:right="0" w:firstLine="720"/>
        <w:jc w:val="left"/>
        <w:rPr/>
      </w:pPr>
      <w:r>
        <w:rPr/>
        <w:t>​</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Cash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cash balances in bank accounts that may, at times, exceed federally insured limits. We have not incurred any losses from such accounts, and management considers the risk of loss to be minimal. As of June 30, 2024, we had approximately $0.1 million in cash, compared to $0.7 million as of December 31, 2023. We consider all cash and highly liquid investments with an original maturity of three months or less to be cash equivalents.</w:t>
      </w:r>
    </w:p>
    <w:p>
      <w:pPr>
        <w:pStyle w:val="TextBody"/>
        <w:bidi w:val="0"/>
        <w:spacing w:before="0" w:after="200"/>
        <w:ind w:left="0" w:right="0" w:firstLine="720"/>
        <w:jc w:val="left"/>
        <w:rPr/>
      </w:pPr>
      <w:r>
        <w:rPr/>
        <w:t>​</w:t>
      </w:r>
    </w:p>
    <w:p>
      <w:pPr>
        <w:pStyle w:val="TextBody"/>
        <w:bidi w:val="0"/>
        <w:spacing w:before="0" w:after="160"/>
        <w:ind w:left="720" w:right="0" w:hanging="0"/>
        <w:jc w:val="left"/>
        <w:rPr>
          <w:rFonts w:ascii="Times New Roman;Times;serif" w:hAnsi="Times New Roman;Times;serif"/>
          <w:b/>
          <w:i/>
          <w:sz w:val="20"/>
        </w:rPr>
      </w:pPr>
      <w:r>
        <w:rPr>
          <w:rFonts w:ascii="Times New Roman;Times;serif" w:hAnsi="Times New Roman;Times;serif"/>
          <w:b/>
          <w:i/>
          <w:sz w:val="20"/>
        </w:rPr>
        <w:t xml:space="preserve">Cash Flow Activities </w:t>
      </w:r>
    </w:p>
    <w:tbl>
      <w:tblPr>
        <w:tblW w:w="6822" w:type="dxa"/>
        <w:jc w:val="left"/>
        <w:tblInd w:w="0" w:type="dxa"/>
        <w:tblLayout w:type="fixed"/>
        <w:tblCellMar>
          <w:top w:w="0" w:type="dxa"/>
          <w:left w:w="0" w:type="dxa"/>
          <w:bottom w:w="0" w:type="dxa"/>
          <w:right w:w="0" w:type="dxa"/>
        </w:tblCellMar>
      </w:tblPr>
      <w:tblGrid>
        <w:gridCol w:w="4216"/>
        <w:gridCol w:w="326"/>
        <w:gridCol w:w="211"/>
        <w:gridCol w:w="796"/>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677160" cy="175260"/>
                      <wp:effectExtent l="0" t="0" r="0" b="0"/>
                      <wp:wrapNone/>
                      <wp:docPr id="449" name="Frame44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05460" cy="175260"/>
                      <wp:effectExtent l="0" t="0" r="0" b="0"/>
                      <wp:wrapNone/>
                      <wp:docPr id="452" name="Frame4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67360" cy="175260"/>
                      <wp:effectExtent l="0" t="0" r="0" b="0"/>
                      <wp:wrapNone/>
                      <wp:docPr id="455" name="Frame4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1,531</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 xml:space="preserve">Comparison of Cash Flow Activities from June 30, 2024 to June 30, 2023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$14.3 million during the six months ended June 30, 2024, compared to net cash of $7.5 million used in operating activities during the six months ended June 30, 2023. This change was predominantly the result of decreased MHP loan originations net of collections, decreased consumer loan originations net of collections, and decreased dealer inventory loan originations net of collections.</w:t>
      </w:r>
      <w:r>
        <w:rPr>
          <w:rFonts w:ascii="Times New Roman;Times;serif" w:hAnsi="Times New Roman;Times;serif"/>
          <w:sz w:val="20"/>
          <w:shd w:fill="FFFF00" w:val="clear"/>
        </w:rPr>
        <w:t xml:space="preserv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of $2.1 million during the six months ended June 30, 2024 was primarily attributable to $4.8 million of collections of loans we made to third parties for the development of manufactured housing parks and $1.6 million in proceeds from the sale of property, offset by $2.6 million used in improvements and development of property, plant and equipment and $1.7 million used to issue notes to third parties for the development of manufactured housing parks. Net cash provided by investing activities of $3.9 million during the six months ended June 30, 2023 was primarily attributable to $8.5 million received from the sale of treasury notes, $1.1 million received from the sale of leases homes, $0.9 million of collections of loans we made to third parties for the development of manufactured housing parks and $0.2 million of collections from other purchased loans, offset by $5.3 million of loans we made to third parties for the development of manufactured housing parks and $1.5 used in improvements and development of property, plant and equipment.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used in financing activities of $17.1 million during the six months ended June 30, 2024 was attributable to net payments of $11.8 million on our lines of credit, $5.4 million of stock repurchases and $0.1 million received from the exercise of stock options. Net cash provided by financing activities of $2.2 million during the six months ended June 30, 2023 was attributable to net proceeds of $2.2 million on our lines of credit.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2022, our Board of Directors approved a share repurchase program to authorize the repurchase of up to $10.0 million of the Company’s common stock. We repurchased 170,342 shares for $3.5 million in the open market during the three months ended June 30, 2024, and we repurchased 261,529 shares for $5.4 million in the open market during the six months ended June 30, 2024. As of June 30, 2024, we had a remaining authorization of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approximately $4.6 million. On August 6, 2024, our Board of Directors authorized the repurchase of an additional $10.0 million of the Company’s common stock under the share repurchase program.</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2024, interest expense under the Revolver was $235, and for the three months ended June 30, 2023, interest expense under the prior line of credit was $195. For the six months ended June 30, 2024, interest expense under the Revolver was $511, and for the six months ended June 30, 2023, interest expense under the prior line of credit was $285. The outstanding balance of the Revolver as of June 30, 2024 and December 31, 2023 was $11,861 and $23,680, respectively. The interest rate in effect as of June 30, 2024 and December 31, 2023 for the Revolver was 7.67% and 7.95%, respectively. The amount of available credit under the Revolver was $38,139 and $26,320 as of June 30, 2024 and December 31, 2023, respectively. The Revolver requires the Company to comply with certain financial and non-financial covenants. As of June 30, 2024,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contractual cash obligations as of June 30, 2024:</w:t>
      </w:r>
    </w:p>
    <w:tbl>
      <w:tblPr>
        <w:tblW w:w="8357" w:type="dxa"/>
        <w:jc w:val="left"/>
        <w:tblInd w:w="0" w:type="dxa"/>
        <w:tblLayout w:type="fixed"/>
        <w:tblCellMar>
          <w:top w:w="0" w:type="dxa"/>
          <w:left w:w="0" w:type="dxa"/>
          <w:bottom w:w="0" w:type="dxa"/>
          <w:right w:w="0" w:type="dxa"/>
        </w:tblCellMar>
      </w:tblPr>
      <w:tblGrid>
        <w:gridCol w:w="2356"/>
        <w:gridCol w:w="326"/>
        <w:gridCol w:w="211"/>
        <w:gridCol w:w="676"/>
        <w:gridCol w:w="386"/>
        <w:gridCol w:w="466"/>
        <w:gridCol w:w="326"/>
        <w:gridCol w:w="976"/>
        <w:gridCol w:w="326"/>
        <w:gridCol w:w="976"/>
        <w:gridCol w:w="386"/>
        <w:gridCol w:w="94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96060" cy="175260"/>
                      <wp:effectExtent l="0" t="0" r="0" b="0"/>
                      <wp:wrapNone/>
                      <wp:docPr id="456" name="Frame456"/>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29260" cy="175260"/>
                      <wp:effectExtent l="0" t="0" r="0" b="0"/>
                      <wp:wrapNone/>
                      <wp:docPr id="459" name="Frame4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45110" cy="175260"/>
                      <wp:effectExtent l="0" t="0" r="0" b="0"/>
                      <wp:wrapNone/>
                      <wp:docPr id="460" name="Frame46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95910" cy="175260"/>
                      <wp:effectExtent l="0" t="0" r="0" b="0"/>
                      <wp:wrapNone/>
                      <wp:docPr id="461" name="Frame4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19760" cy="175260"/>
                      <wp:effectExtent l="0" t="0" r="0" b="0"/>
                      <wp:wrapNone/>
                      <wp:docPr id="463" name="Frame46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19760" cy="175260"/>
                      <wp:effectExtent l="0" t="0" r="0" b="0"/>
                      <wp:wrapNone/>
                      <wp:docPr id="465" name="Frame46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5110" cy="175260"/>
                      <wp:effectExtent l="0" t="0" r="0" b="0"/>
                      <wp:wrapNone/>
                      <wp:docPr id="466" name="Frame46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00710" cy="175260"/>
                      <wp:effectExtent l="0" t="0" r="0" b="0"/>
                      <wp:wrapNone/>
                      <wp:docPr id="467" name="Frame46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(in thousands)</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8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2025 - 2026</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2027 - 2028</w:t>
            </w:r>
          </w:p>
        </w:tc>
        <w:tc>
          <w:tcPr>
            <w:tcW w:w="38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2028</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8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38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 Balance Sheet Arrangements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that provides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$1,040 and $3,030 as of June 30, 2024 and December 31, 2023,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June 30,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2023.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information regarding recent accounting pronouncements, see Note 1 – Nature of Operations, Recent Accounting Pronouncements to our June 30, 2024 Condensed Financial Statements, included in Part I, Item 1, Financial Statements (Unaudited), of this Quarterly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Emerging Growth Company Status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Company’s status as an “emerging growth company” ended on December 31, 2023.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t>
      </w:r>
    </w:p>
    <w:p>
      <w:pPr>
        <w:pStyle w:val="TextBody"/>
        <w:bidi w:val="0"/>
        <w:spacing w:before="0" w:after="200"/>
        <w:ind w:left="0" w:right="0" w:hanging="0"/>
        <w:jc w:val="left"/>
        <w:rPr>
          <w:rFonts w:ascii="Times New Roman;Times;serif" w:hAnsi="Times New Roman;Times;serif"/>
          <w:b/>
          <w:sz w:val="20"/>
        </w:rPr>
      </w:pPr>
      <w:bookmarkStart w:id="1267" w:name="Item3QuantitativeandQualitativeDisclosur"/>
      <w:bookmarkStart w:id="1268" w:name="_33bd0eb7_61db_4e2b_9732_a4d06ca3bf95"/>
      <w:bookmarkEnd w:id="1267"/>
      <w:bookmarkEnd w:id="1268"/>
      <w:r>
        <w:rPr>
          <w:rFonts w:ascii="Times New Roman;Times;serif" w:hAnsi="Times New Roman;Times;serif"/>
          <w:b/>
          <w:sz w:val="20"/>
        </w:rPr>
        <w:t>Item 3. Quantitative and Qualitative Disclosures About Market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200"/>
        <w:ind w:left="0" w:right="0" w:hanging="0"/>
        <w:jc w:val="left"/>
        <w:rPr>
          <w:rFonts w:ascii="Times New Roman;Times;serif" w:hAnsi="Times New Roman;Times;serif"/>
          <w:b/>
          <w:sz w:val="20"/>
        </w:rPr>
      </w:pPr>
      <w:bookmarkStart w:id="1269" w:name="Item4ControlsandProcedures_709968"/>
      <w:bookmarkStart w:id="1270" w:name="_24ed9e76_2364_4f98_9973_fe20f74751c4"/>
      <w:bookmarkEnd w:id="1269"/>
      <w:bookmarkEnd w:id="1270"/>
      <w:r>
        <w:rPr>
          <w:rFonts w:ascii="Times New Roman;Times;serif" w:hAnsi="Times New Roman;Times;serif"/>
          <w:b/>
          <w:sz w:val="20"/>
        </w:rPr>
        <w:t>Item 4. Controls and Procedures.</w:t>
      </w:r>
    </w:p>
    <w:p>
      <w:pPr>
        <w:pStyle w:val="TextBody"/>
        <w:bidi w:val="0"/>
        <w:spacing w:before="0" w:after="264"/>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June 30, 2024, our Chief Executive Officer and Chief Financial Officer have concluded that our disclosure controls and procedures were not effective as of such date due to 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light of the conclusion that our disclosure controls and procedures are considered ineffective as of June 30, 2024,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previously disclosed in our Annual report on Form 10-K filed with the SEC for the year ended December 31, 2023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material weaknesses in financial reporting as of June 30, 2024 are summarized as follows:</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have not sufficiently or adequately designed or implemented control activities and have a lack of documentation, review and approval of certain control activities. Additionally, those activities are not sufficiently monitored and tested;</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do not have sufficient qualified accounting personnel to support the preparation of financial statements that are in compliance with U.S. GAAP and SEC reporting requirements; and</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have not sufficiently or adequately designed or implemented information technology general controls over in-scope business processes and financial reporting systems.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second quarter of fiscal 2024 that materially affected, or are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Limitations on Effectiveness of Controls and Procedures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bookmarkStart w:id="1271" w:name="PARTIIOTHERINFORMATION_170690"/>
      <w:bookmarkStart w:id="1272" w:name="_3f98ce5b_592a_49b4_bf0d_09d96b3f12aa"/>
      <w:bookmarkEnd w:id="1271"/>
      <w:bookmarkEnd w:id="1272"/>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273" w:name="Item1LegalProceedings_348887"/>
      <w:bookmarkEnd w:id="1273"/>
      <w:r>
        <w:rPr>
          <w:rFonts w:ascii="Times New Roman;Times;serif" w:hAnsi="Times New Roman;Times;serif"/>
          <w:b/>
          <w:sz w:val="20"/>
        </w:rPr>
        <w:t>Item 1. Legal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See Note 15 - Commitments and Contingencies in our June 30, 2024 Condensed Financial Statements, included in Part I, Item 1, Financial Statements (Unaudited), of this Quarterly Report. </w:t>
      </w:r>
    </w:p>
    <w:p>
      <w:pPr>
        <w:pStyle w:val="TextBody"/>
        <w:bidi w:val="0"/>
        <w:spacing w:before="0" w:after="200"/>
        <w:ind w:left="0" w:right="0" w:hanging="0"/>
        <w:jc w:val="left"/>
        <w:rPr>
          <w:rFonts w:ascii="Times New Roman;Times;serif" w:hAnsi="Times New Roman;Times;serif"/>
          <w:b/>
          <w:sz w:val="20"/>
        </w:rPr>
      </w:pPr>
      <w:bookmarkStart w:id="1274" w:name="Item2UnregisteredSalesofEquitySecurities"/>
      <w:bookmarkStart w:id="1275" w:name="_c692864e_c659_4173_83e2_eaa0d1eeaf8c"/>
      <w:bookmarkEnd w:id="1274"/>
      <w:bookmarkEnd w:id="1275"/>
      <w:r>
        <w:rPr>
          <w:rFonts w:ascii="Times New Roman;Times;serif" w:hAnsi="Times New Roman;Times;serif"/>
          <w:b/>
          <w:sz w:val="20"/>
        </w:rPr>
        <w:t>Item 2. Unregistered Sales of Equity Securities and Use of Proceeds.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Repurchases of Equity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purchases of our common shares by us during the three months ended June 30, 2024:</w:t>
      </w:r>
    </w:p>
    <w:tbl>
      <w:tblPr>
        <w:tblW w:w="10205" w:type="dxa"/>
        <w:jc w:val="left"/>
        <w:tblInd w:w="0" w:type="dxa"/>
        <w:tblLayout w:type="fixed"/>
        <w:tblCellMar>
          <w:top w:w="0" w:type="dxa"/>
          <w:left w:w="0" w:type="dxa"/>
          <w:bottom w:w="0" w:type="dxa"/>
          <w:right w:w="0" w:type="dxa"/>
        </w:tblCellMar>
      </w:tblPr>
      <w:tblGrid>
        <w:gridCol w:w="853"/>
        <w:gridCol w:w="109"/>
        <w:gridCol w:w="1623"/>
        <w:gridCol w:w="109"/>
        <w:gridCol w:w="350"/>
        <w:gridCol w:w="915"/>
        <w:gridCol w:w="109"/>
        <w:gridCol w:w="2824"/>
        <w:gridCol w:w="109"/>
        <w:gridCol w:w="967"/>
        <w:gridCol w:w="2237"/>
      </w:tblGrid>
      <w:tr>
        <w:trPr/>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41655" cy="175260"/>
                      <wp:effectExtent l="0" t="0" r="0" b="0"/>
                      <wp:wrapNone/>
                      <wp:docPr id="468" name="Frame468"/>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030605" cy="175260"/>
                      <wp:effectExtent l="0" t="0" r="0" b="0"/>
                      <wp:wrapNone/>
                      <wp:docPr id="470" name="Frame470"/>
                      <a:graphic xmlns:a="http://schemas.openxmlformats.org/drawingml/2006/main">
                        <a:graphicData uri="http://schemas.microsoft.com/office/word/2010/wordprocessingShape">
                          <wps:wsp>
                            <wps:cNvSpPr txBox="1"/>
                            <wps:spPr>
                              <a:xfrm>
                                <a:off x="0" y="0"/>
                                <a:ext cx="1030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22250" cy="175260"/>
                      <wp:effectExtent l="0" t="0" r="0" b="0"/>
                      <wp:wrapNone/>
                      <wp:docPr id="472" name="Frame47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81025" cy="175260"/>
                      <wp:effectExtent l="0" t="0" r="0" b="0"/>
                      <wp:wrapNone/>
                      <wp:docPr id="473" name="Frame47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793240" cy="175260"/>
                      <wp:effectExtent l="0" t="0" r="0" b="0"/>
                      <wp:wrapNone/>
                      <wp:docPr id="475" name="Frame475"/>
                      <a:graphic xmlns:a="http://schemas.openxmlformats.org/drawingml/2006/main">
                        <a:graphicData uri="http://schemas.microsoft.com/office/word/2010/wordprocessingShape">
                          <wps:wsp>
                            <wps:cNvSpPr txBox="1"/>
                            <wps:spPr>
                              <a:xfrm>
                                <a:off x="0" y="0"/>
                                <a:ext cx="179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14045" cy="175260"/>
                      <wp:effectExtent l="0" t="0" r="0" b="0"/>
                      <wp:wrapNone/>
                      <wp:docPr id="477" name="Frame477"/>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420495" cy="175260"/>
                      <wp:effectExtent l="0" t="0" r="0" b="0"/>
                      <wp:wrapNone/>
                      <wp:docPr id="478" name="Frame478"/>
                      <a:graphic xmlns:a="http://schemas.openxmlformats.org/drawingml/2006/main">
                        <a:graphicData uri="http://schemas.microsoft.com/office/word/2010/wordprocessingShape">
                          <wps:wsp>
                            <wps:cNvSpPr txBox="1"/>
                            <wps:spPr>
                              <a:xfrm>
                                <a:off x="0" y="0"/>
                                <a:ext cx="142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6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 (1)</w:t>
            </w:r>
          </w:p>
        </w:tc>
        <w:tc>
          <w:tcPr>
            <w:tcW w:w="109" w:type="dxa"/>
            <w:tcBorders/>
            <w:vAlign w:val="center"/>
          </w:tcPr>
          <w:p>
            <w:pPr>
              <w:pStyle w:val="TableContents"/>
              <w:bidi w:val="0"/>
              <w:spacing w:before="0" w:after="1"/>
              <w:ind w:left="0" w:right="0" w:hanging="0"/>
              <w:jc w:val="left"/>
              <w:rPr/>
            </w:pPr>
            <w:r>
              <w:rPr/>
              <w:t>​</w:t>
            </w:r>
          </w:p>
        </w:tc>
        <w:tc>
          <w:tcPr>
            <w:tcW w:w="12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 price paid per share</w:t>
            </w:r>
          </w:p>
        </w:tc>
        <w:tc>
          <w:tcPr>
            <w:tcW w:w="109" w:type="dxa"/>
            <w:tcBorders/>
            <w:vAlign w:val="center"/>
          </w:tcPr>
          <w:p>
            <w:pPr>
              <w:pStyle w:val="TableContents"/>
              <w:bidi w:val="0"/>
              <w:spacing w:before="0" w:after="1"/>
              <w:ind w:left="0" w:right="0" w:hanging="0"/>
              <w:jc w:val="left"/>
              <w:rPr/>
            </w:pPr>
            <w:r>
              <w:rPr/>
              <w:t>​</w:t>
            </w:r>
          </w:p>
        </w:tc>
        <w:tc>
          <w:tcPr>
            <w:tcW w:w="28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 as part of publicly announced plans or program</w:t>
            </w:r>
          </w:p>
        </w:tc>
        <w:tc>
          <w:tcPr>
            <w:tcW w:w="109" w:type="dxa"/>
            <w:tcBorders/>
            <w:vAlign w:val="center"/>
          </w:tcPr>
          <w:p>
            <w:pPr>
              <w:pStyle w:val="TableContents"/>
              <w:bidi w:val="0"/>
              <w:spacing w:before="0" w:after="1"/>
              <w:ind w:left="0" w:right="0" w:hanging="0"/>
              <w:jc w:val="left"/>
              <w:rPr/>
            </w:pPr>
            <w:r>
              <w:rPr/>
              <w:t>​</w:t>
            </w:r>
          </w:p>
        </w:tc>
        <w:tc>
          <w:tcPr>
            <w:tcW w:w="32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Approximate dollar value of shares that may yet be purchased under the plans or programs</w:t>
            </w:r>
          </w:p>
        </w:tc>
      </w:tr>
      <w:tr>
        <w:trPr/>
        <w:tc>
          <w:tcPr>
            <w:tcW w:w="8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1-30, 2024</w:t>
            </w:r>
          </w:p>
        </w:tc>
        <w:tc>
          <w:tcPr>
            <w:tcW w:w="109" w:type="dxa"/>
            <w:tcBorders/>
            <w:shd w:fill="CCEEFF" w:val="clear"/>
            <w:vAlign w:val="center"/>
          </w:tcPr>
          <w:p>
            <w:pPr>
              <w:pStyle w:val="TableContents"/>
              <w:bidi w:val="0"/>
              <w:spacing w:before="0" w:after="1"/>
              <w:ind w:left="0" w:right="0" w:hanging="0"/>
              <w:jc w:val="left"/>
              <w:rPr/>
            </w:pPr>
            <w:r>
              <w:rPr/>
              <w:t>​</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170,342</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20.53</w:t>
            </w:r>
          </w:p>
        </w:tc>
        <w:tc>
          <w:tcPr>
            <w:tcW w:w="109" w:type="dxa"/>
            <w:tcBorders/>
            <w:shd w:fill="CCEEFF" w:val="clear"/>
            <w:vAlign w:val="center"/>
          </w:tcPr>
          <w:p>
            <w:pPr>
              <w:pStyle w:val="TableContents"/>
              <w:bidi w:val="0"/>
              <w:spacing w:before="0" w:after="1"/>
              <w:ind w:left="0" w:right="0" w:hanging="0"/>
              <w:jc w:val="left"/>
              <w:rPr/>
            </w:pPr>
            <w:r>
              <w:rPr/>
              <w:t>​</w:t>
            </w:r>
          </w:p>
        </w:tc>
        <w:tc>
          <w:tcPr>
            <w:tcW w:w="282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237" w:type="dxa"/>
            <w:tcBorders/>
            <w:shd w:fill="CCEEFF" w:val="clear"/>
            <w:vAlign w:val="center"/>
          </w:tcPr>
          <w:p>
            <w:pPr>
              <w:pStyle w:val="TableContents"/>
              <w:bidi w:val="0"/>
              <w:spacing w:before="0" w:after="1"/>
              <w:ind w:left="0" w:right="0" w:hanging="0"/>
              <w:jc w:val="right"/>
              <w:rPr/>
            </w:pPr>
            <w:r>
              <w:rPr/>
              <w:t>—</w:t>
            </w:r>
          </w:p>
        </w:tc>
      </w:tr>
      <w:tr>
        <w:trPr/>
        <w:tc>
          <w:tcPr>
            <w:tcW w:w="8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1-31, 2024</w:t>
            </w:r>
          </w:p>
        </w:tc>
        <w:tc>
          <w:tcPr>
            <w:tcW w:w="109" w:type="dxa"/>
            <w:tcBorders/>
            <w:vAlign w:val="center"/>
          </w:tcPr>
          <w:p>
            <w:pPr>
              <w:pStyle w:val="TableContents"/>
              <w:bidi w:val="0"/>
              <w:spacing w:before="0" w:after="1"/>
              <w:ind w:left="0" w:right="0" w:hanging="0"/>
              <w:jc w:val="left"/>
              <w:rPr/>
            </w:pPr>
            <w:r>
              <w:rPr/>
              <w:t>​</w:t>
            </w:r>
          </w:p>
        </w:tc>
        <w:tc>
          <w:tcPr>
            <w:tcW w:w="162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2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67" w:type="dxa"/>
            <w:tcBorders/>
            <w:vAlign w:val="center"/>
          </w:tcPr>
          <w:p>
            <w:pPr>
              <w:pStyle w:val="TableContents"/>
              <w:bidi w:val="0"/>
              <w:spacing w:before="0" w:after="1"/>
              <w:ind w:left="0" w:right="0" w:hanging="0"/>
              <w:jc w:val="left"/>
              <w:rPr/>
            </w:pPr>
            <w:r>
              <w:rPr/>
              <w:t>​</w:t>
            </w:r>
          </w:p>
        </w:tc>
        <w:tc>
          <w:tcPr>
            <w:tcW w:w="2237" w:type="dxa"/>
            <w:tcBorders/>
            <w:vAlign w:val="center"/>
          </w:tcPr>
          <w:p>
            <w:pPr>
              <w:pStyle w:val="TableContents"/>
              <w:bidi w:val="0"/>
              <w:spacing w:before="0" w:after="1"/>
              <w:ind w:left="0" w:right="0" w:hanging="0"/>
              <w:jc w:val="right"/>
              <w:rPr/>
            </w:pPr>
            <w:r>
              <w:rPr/>
              <w:t>—</w:t>
            </w:r>
          </w:p>
        </w:tc>
      </w:tr>
      <w:tr>
        <w:trPr/>
        <w:tc>
          <w:tcPr>
            <w:tcW w:w="8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1-30, 2024</w:t>
            </w:r>
          </w:p>
        </w:tc>
        <w:tc>
          <w:tcPr>
            <w:tcW w:w="109" w:type="dxa"/>
            <w:tcBorders/>
            <w:shd w:fill="CCEEFF" w:val="clear"/>
            <w:vAlign w:val="center"/>
          </w:tcPr>
          <w:p>
            <w:pPr>
              <w:pStyle w:val="TableContents"/>
              <w:bidi w:val="0"/>
              <w:spacing w:before="0" w:after="1"/>
              <w:ind w:left="0" w:right="0" w:hanging="0"/>
              <w:jc w:val="left"/>
              <w:rPr/>
            </w:pPr>
            <w:r>
              <w:rPr/>
              <w:t>​</w:t>
            </w:r>
          </w:p>
        </w:tc>
        <w:tc>
          <w:tcPr>
            <w:tcW w:w="16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2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7" w:type="dxa"/>
            <w:tcBorders/>
            <w:shd w:fill="CCEEFF" w:val="clear"/>
            <w:vAlign w:val="center"/>
          </w:tcPr>
          <w:p>
            <w:pPr>
              <w:pStyle w:val="TableContents"/>
              <w:bidi w:val="0"/>
              <w:spacing w:before="0" w:after="1"/>
              <w:ind w:left="0" w:right="0" w:hanging="0"/>
              <w:jc w:val="left"/>
              <w:rPr/>
            </w:pPr>
            <w:r>
              <w:rPr/>
              <w:t>​</w:t>
            </w:r>
          </w:p>
        </w:tc>
        <w:tc>
          <w:tcPr>
            <w:tcW w:w="2237" w:type="dxa"/>
            <w:tcBorders/>
            <w:shd w:fill="CCEEFF" w:val="clear"/>
            <w:vAlign w:val="center"/>
          </w:tcPr>
          <w:p>
            <w:pPr>
              <w:pStyle w:val="TableContents"/>
              <w:bidi w:val="0"/>
              <w:spacing w:before="0" w:after="1"/>
              <w:ind w:left="0" w:right="60" w:hanging="0"/>
              <w:jc w:val="right"/>
              <w:rPr/>
            </w:pPr>
            <w:r>
              <w:rPr/>
              <w:t>—</w:t>
            </w:r>
          </w:p>
        </w:tc>
      </w:tr>
    </w:tbl>
    <w:tbl>
      <w:tblPr>
        <w:tblW w:w="8346" w:type="dxa"/>
        <w:jc w:val="left"/>
        <w:tblInd w:w="0" w:type="dxa"/>
        <w:tblLayout w:type="fixed"/>
        <w:tblCellMar>
          <w:top w:w="28" w:type="dxa"/>
          <w:left w:w="28" w:type="dxa"/>
          <w:bottom w:w="28" w:type="dxa"/>
          <w:right w:w="28" w:type="dxa"/>
        </w:tblCellMar>
      </w:tblPr>
      <w:tblGrid>
        <w:gridCol w:w="124"/>
        <w:gridCol w:w="331"/>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purchased in open market and not pursuant to a publicly announced plan or program </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276" w:name="DefaultsUpon_535854"/>
      <w:bookmarkStart w:id="1277" w:name="_b366e9fe_0aa7_4703_9c82_d212fbfce5d5"/>
      <w:bookmarkEnd w:id="1276"/>
      <w:bookmarkEnd w:id="1277"/>
      <w:r>
        <w:rPr>
          <w:rFonts w:ascii="Times New Roman;Times;serif" w:hAnsi="Times New Roman;Times;serif"/>
          <w:b/>
          <w:sz w:val="20"/>
        </w:rPr>
        <w:t>Item 3. Defaults Upon Senior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278" w:name="MineSafety_773765"/>
      <w:bookmarkStart w:id="1279" w:name="_dc0b7cd0_c310_4c33_bc8c_05a1113829c5"/>
      <w:bookmarkEnd w:id="1278"/>
      <w:bookmarkEnd w:id="1279"/>
      <w:r>
        <w:rPr>
          <w:rFonts w:ascii="Times New Roman;Times;serif" w:hAnsi="Times New Roman;Times;serif"/>
          <w:b/>
          <w:sz w:val="20"/>
        </w:rPr>
        <w:t>Item 4. Mine Safety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280" w:name="OtherInformation_946294"/>
      <w:bookmarkStart w:id="1281" w:name="_d0e24ea6_0737_4c3a_9857_e1450acece44"/>
      <w:bookmarkEnd w:id="1280"/>
      <w:bookmarkEnd w:id="1281"/>
      <w:r>
        <w:rPr>
          <w:rFonts w:ascii="Times New Roman;Times;serif" w:hAnsi="Times New Roman;Times;serif"/>
          <w:b/>
          <w:sz w:val="20"/>
        </w:rPr>
        <w:t>Item 5. Other Information</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2024, the officers and directors listed below adopted, modified, or terminated trading plans intended to satisfy the affirmative defense conditions of Rule 10b5-1(c) under the Securities Exchange Act of 1934, as amended.</w:t>
      </w:r>
    </w:p>
    <w:p>
      <w:pPr>
        <w:pStyle w:val="TextBody"/>
        <w:bidi w:val="0"/>
        <w:spacing w:before="0" w:after="200"/>
        <w:ind w:left="0" w:right="0" w:firstLine="720"/>
        <w:jc w:val="left"/>
        <w:rPr>
          <w:rFonts w:ascii="Times New Roman;Times;serif" w:hAnsi="Times New Roman;Times;serif"/>
          <w:sz w:val="20"/>
        </w:rPr>
      </w:pPr>
      <w:bookmarkStart w:id="1282" w:name="Narr_EF7iVbAdk0SNru4270RIgQ"/>
      <w:bookmarkEnd w:id="1282"/>
      <w:r>
        <w:rPr>
          <w:rFonts w:ascii="Times New Roman;Times;serif" w:hAnsi="Times New Roman;Times;serif"/>
          <w:sz w:val="20"/>
        </w:rPr>
        <w:t xml:space="preserve">On May 15, 2024 Curtis D. Hodgson, the Company’s Executive Chairman of the Board, adopted a trading plan to sell up to 899,600 shares of the Company’s common stock from August 19, 2024 to August 15, 2025, subject to certain conditions. </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83" w:name="Item6Exhibits_809988"/>
      <w:bookmarkStart w:id="1284" w:name="_911283c7_2043_4820_a3c1_d69602d83c07"/>
      <w:bookmarkEnd w:id="1283"/>
      <w:bookmarkEnd w:id="1284"/>
      <w:r>
        <w:rPr>
          <w:rFonts w:ascii="Times New Roman;Times;serif" w:hAnsi="Times New Roman;Times;serif"/>
          <w:b/>
          <w:sz w:val="20"/>
        </w:rPr>
        <w:t>Item 6. Exhibits.</w:t>
      </w:r>
    </w:p>
    <w:tbl>
      <w:tblPr>
        <w:tblW w:w="9498" w:type="dxa"/>
        <w:jc w:val="left"/>
        <w:tblInd w:w="0" w:type="dxa"/>
        <w:tblLayout w:type="fixed"/>
        <w:tblCellMar>
          <w:top w:w="0" w:type="dxa"/>
          <w:left w:w="0" w:type="dxa"/>
          <w:bottom w:w="0" w:type="dxa"/>
          <w:right w:w="0" w:type="dxa"/>
        </w:tblCellMar>
      </w:tblPr>
      <w:tblGrid>
        <w:gridCol w:w="1876"/>
        <w:gridCol w:w="166"/>
        <w:gridCol w:w="7456"/>
      </w:tblGrid>
      <w:tr>
        <w:trPr/>
        <w:tc>
          <w:tcPr>
            <w:tcW w:w="18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630xex31d1.htm">
              <w:r>
                <w:rPr>
                  <w:rStyle w:val="InternetLink"/>
                  <w:rFonts w:ascii="Times New Roman;Times;serif" w:hAnsi="Times New Roman;Times;serif"/>
                  <w:b w:val="false"/>
                  <w:i w:val="false"/>
                  <w:caps w:val="false"/>
                  <w:smallCaps w:val="false"/>
                  <w:sz w:val="20"/>
                </w:rPr>
                <w:t>Rule 13a—14(a) / 15d—14(a) Certifications — Chief Executive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630xex31d2.htm">
              <w:r>
                <w:rPr>
                  <w:rStyle w:val="InternetLink"/>
                  <w:rFonts w:ascii="Times New Roman;Times;serif" w:hAnsi="Times New Roman;Times;serif"/>
                  <w:b w:val="false"/>
                  <w:i w:val="false"/>
                  <w:caps w:val="false"/>
                  <w:smallCaps w:val="false"/>
                  <w:sz w:val="20"/>
                </w:rPr>
                <w:t>Rule 13a—14(a) / 15d—14(a) Certifications — Chief Financial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630xex32d1.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630xex32d2.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285" w:name="SIGNATURES_65971"/>
      <w:bookmarkStart w:id="1286" w:name="_ebdc8bbc_05d7_42be_87b4_06367ad5fd77"/>
      <w:bookmarkEnd w:id="1285"/>
      <w:bookmarkEnd w:id="1286"/>
      <w:r>
        <w:rPr>
          <w:rFonts w:ascii="Times New Roman;Times;serif" w:hAnsi="Times New Roman;Times;serif"/>
          <w:b/>
          <w:sz w:val="20"/>
        </w:rPr>
        <w:t>SIGNATURES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63" w:type="dxa"/>
        <w:jc w:val="left"/>
        <w:tblInd w:w="0" w:type="dxa"/>
        <w:tblLayout w:type="fixed"/>
        <w:tblCellMar>
          <w:top w:w="0" w:type="dxa"/>
          <w:left w:w="0" w:type="dxa"/>
          <w:bottom w:w="0" w:type="dxa"/>
          <w:right w:w="0" w:type="dxa"/>
        </w:tblCellMar>
      </w:tblPr>
      <w:tblGrid>
        <w:gridCol w:w="1846"/>
        <w:gridCol w:w="406"/>
        <w:gridCol w:w="3211"/>
      </w:tblGrid>
      <w:tr>
        <w:trPr/>
        <w:tc>
          <w:tcPr>
            <w:tcW w:w="184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184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 DUNCAN BATES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Duncan Bates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Fiedelman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firstLine="720"/>
        <w:jc w:val="right"/>
        <w:rPr>
          <w:rFonts w:ascii="Times New Roman;Times;serif" w:hAnsi="Times New Roman;Times;serif"/>
          <w:b/>
          <w:sz w:val="20"/>
        </w:rPr>
      </w:pPr>
      <w:bookmarkStart w:id="1287" w:name="legh-20240630xex31d1.htm"/>
      <w:bookmarkStart w:id="1288" w:name="kslegh20240630xex31d1"/>
      <w:bookmarkEnd w:id="1287"/>
      <w:bookmarkEnd w:id="1288"/>
      <w:r>
        <w:rPr>
          <w:rFonts w:ascii="Times New Roman;Times;serif" w:hAnsi="Times New Roman;Times;serif"/>
          <w:b/>
          <w:sz w:val="20"/>
        </w:rPr>
        <w:t>Exhibit 31.1</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Duncan Bates,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552" w:type="dxa"/>
        <w:jc w:val="center"/>
        <w:tblInd w:w="0" w:type="dxa"/>
        <w:tblLayout w:type="fixed"/>
        <w:tblCellMar>
          <w:top w:w="0" w:type="dxa"/>
          <w:left w:w="0" w:type="dxa"/>
          <w:bottom w:w="0" w:type="dxa"/>
          <w:right w:w="0" w:type="dxa"/>
        </w:tblCellMar>
      </w:tblPr>
      <w:tblGrid>
        <w:gridCol w:w="1846"/>
        <w:gridCol w:w="37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172210" cy="175260"/>
                      <wp:effectExtent l="0" t="0" r="0" b="0"/>
                      <wp:wrapNone/>
                      <wp:docPr id="479" name="Frame47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353945" cy="175260"/>
                      <wp:effectExtent l="0" t="0" r="0" b="0"/>
                      <wp:wrapNone/>
                      <wp:docPr id="480" name="Frame480"/>
                      <a:graphic xmlns:a="http://schemas.openxmlformats.org/drawingml/2006/main">
                        <a:graphicData uri="http://schemas.microsoft.com/office/word/2010/wordprocessingShape">
                          <wps:wsp>
                            <wps:cNvSpPr txBox="1"/>
                            <wps:spPr>
                              <a:xfrm>
                                <a:off x="0" y="0"/>
                                <a:ext cx="2353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Duncan Bates</w:t>
            </w:r>
          </w:p>
        </w:tc>
      </w:tr>
      <w:tr>
        <w:trPr/>
        <w:tc>
          <w:tcPr>
            <w:tcW w:w="184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184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1289" w:name="legh-20240630xex31d2.htm"/>
      <w:bookmarkStart w:id="1290" w:name="kslegh20240630xex31d2"/>
      <w:bookmarkEnd w:id="1289"/>
      <w:bookmarkEnd w:id="1290"/>
      <w:r>
        <w:rPr>
          <w:rFonts w:ascii="Times New Roman;Times;serif" w:hAnsi="Times New Roman;Times;serif"/>
          <w:b/>
          <w:sz w:val="20"/>
        </w:rPr>
        <w:t>Exhibit 31.2</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Jeffrey Fiedelman,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352" w:type="dxa"/>
        <w:jc w:val="center"/>
        <w:tblInd w:w="0" w:type="dxa"/>
        <w:tblLayout w:type="fixed"/>
        <w:tblCellMar>
          <w:top w:w="0" w:type="dxa"/>
          <w:left w:w="0" w:type="dxa"/>
          <w:bottom w:w="0" w:type="dxa"/>
          <w:right w:w="0" w:type="dxa"/>
        </w:tblCellMar>
      </w:tblPr>
      <w:tblGrid>
        <w:gridCol w:w="1846"/>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172210" cy="175260"/>
                      <wp:effectExtent l="0" t="0" r="0" b="0"/>
                      <wp:wrapNone/>
                      <wp:docPr id="481" name="Frame48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591945" cy="175260"/>
                      <wp:effectExtent l="0" t="0" r="0" b="0"/>
                      <wp:wrapNone/>
                      <wp:docPr id="482" name="Frame482"/>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r>
              <w:rPr>
                <w:rFonts w:ascii="Times New Roman;Times;serif" w:hAnsi="Times New Roman;Times;serif"/>
                <w:sz w:val="20"/>
                <w:shd w:fill="FFFF00" w:val="clear"/>
              </w:rPr>
              <w:t xml:space="preserve"> </w:t>
            </w:r>
          </w:p>
        </w:tc>
      </w:tr>
      <w:tr>
        <w:trPr/>
        <w:tc>
          <w:tcPr>
            <w:tcW w:w="184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r>
              <w:rPr>
                <w:rFonts w:ascii="Times New Roman;Times;serif" w:hAnsi="Times New Roman;Times;serif"/>
                <w:sz w:val="20"/>
                <w:shd w:fill="FFFF00" w:val="clear"/>
              </w:rPr>
              <w:t xml:space="preserve"> </w:t>
            </w:r>
          </w:p>
        </w:tc>
      </w:tr>
      <w:tr>
        <w:trPr/>
        <w:tc>
          <w:tcPr>
            <w:tcW w:w="184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291" w:name="legh-20240630xex32d1.htm"/>
      <w:bookmarkStart w:id="1292" w:name="kslegh20240630xex32d1"/>
      <w:bookmarkEnd w:id="1291"/>
      <w:bookmarkEnd w:id="1292"/>
      <w:r>
        <w:rPr>
          <w:rFonts w:ascii="Times New Roman;Times;serif" w:hAnsi="Times New Roman;Times;serif"/>
          <w:b/>
          <w:sz w:val="20"/>
        </w:rPr>
        <w:t>Exhibit 32.1</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June 30, 2024, as filed with the Securities and Exchange Commission on the date hereof (the “Report”), I, Duncan Bates, President and Chief Executive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5552" w:type="dxa"/>
        <w:jc w:val="center"/>
        <w:tblInd w:w="0" w:type="dxa"/>
        <w:tblLayout w:type="fixed"/>
        <w:tblCellMar>
          <w:top w:w="0" w:type="dxa"/>
          <w:left w:w="0" w:type="dxa"/>
          <w:bottom w:w="0" w:type="dxa"/>
          <w:right w:w="0" w:type="dxa"/>
        </w:tblCellMar>
      </w:tblPr>
      <w:tblGrid>
        <w:gridCol w:w="1846"/>
        <w:gridCol w:w="3706"/>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Duncan Bates </w:t>
            </w:r>
          </w:p>
        </w:tc>
      </w:tr>
      <w:tr>
        <w:trPr/>
        <w:tc>
          <w:tcPr>
            <w:tcW w:w="184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184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293" w:name="legh-20240630xex32d2.htm"/>
      <w:bookmarkStart w:id="1294" w:name="kslegh20240630xex32d2"/>
      <w:bookmarkEnd w:id="1293"/>
      <w:bookmarkEnd w:id="1294"/>
      <w:r>
        <w:rPr>
          <w:rFonts w:ascii="Times New Roman;Times;serif" w:hAnsi="Times New Roman;Times;serif"/>
          <w:b/>
          <w:sz w:val="20"/>
        </w:rPr>
        <w:t>Exhibit 32.2</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June 30, 2024, as filed with the Securities and Exchange Commission on the date hereof (the “Report”), I, Jeffrey Fiedelman, Chief Financial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4352" w:type="dxa"/>
        <w:jc w:val="center"/>
        <w:tblInd w:w="0" w:type="dxa"/>
        <w:tblLayout w:type="fixed"/>
        <w:tblCellMar>
          <w:top w:w="0" w:type="dxa"/>
          <w:left w:w="0" w:type="dxa"/>
          <w:bottom w:w="0" w:type="dxa"/>
          <w:right w:w="0" w:type="dxa"/>
        </w:tblCellMar>
      </w:tblPr>
      <w:tblGrid>
        <w:gridCol w:w="1846"/>
        <w:gridCol w:w="2506"/>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Jeffrey Fiedelman </w:t>
            </w:r>
          </w:p>
        </w:tc>
      </w:tr>
      <w:tr>
        <w:trPr/>
        <w:tc>
          <w:tcPr>
            <w:tcW w:w="184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p>
        </w:tc>
      </w:tr>
      <w:tr>
        <w:trPr/>
        <w:tc>
          <w:tcPr>
            <w:tcW w:w="184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20574</Words>
  <Characters>108840</Characters>
  <CharactersWithSpaces>130872</CharactersWithSpaces>
  <Paragraphs>6267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