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160655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31"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3"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71120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2" w:lineRule="exact"/>
        <w:rPr>
          <w:sz w:val="24"/>
          <w:szCs w:val="24"/>
          <w:color w:val="auto"/>
        </w:rPr>
      </w:pPr>
    </w:p>
    <w:p>
      <w:pPr>
        <w:ind w:left="450" w:right="180" w:hanging="450"/>
        <w:spacing w:after="0" w:line="265" w:lineRule="auto"/>
        <w:tabs>
          <w:tab w:leader="none" w:pos="45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3"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73"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OR</w:t>
      </w:r>
    </w:p>
    <w:p>
      <w:pPr>
        <w:spacing w:after="0" w:line="64" w:lineRule="exact"/>
        <w:rPr>
          <w:sz w:val="24"/>
          <w:szCs w:val="24"/>
          <w:color w:val="auto"/>
        </w:rPr>
      </w:pPr>
    </w:p>
    <w:p>
      <w:pPr>
        <w:ind w:left="450" w:right="160" w:hanging="450"/>
        <w:spacing w:after="0" w:line="265" w:lineRule="auto"/>
        <w:tabs>
          <w:tab w:leader="none" w:pos="45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3" w:lineRule="exact"/>
        <w:rPr>
          <w:sz w:val="24"/>
          <w:szCs w:val="24"/>
          <w:color w:val="auto"/>
        </w:rPr>
      </w:pPr>
    </w:p>
    <w:p>
      <w:pPr>
        <w:ind w:left="3770"/>
        <w:spacing w:after="0"/>
        <w:tabs>
          <w:tab w:leader="none" w:pos="629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3"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Commission file number 001-38761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71755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59"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Legacy Housing Corporation</w:t>
      </w:r>
    </w:p>
    <w:p>
      <w:pPr>
        <w:spacing w:after="0" w:line="35" w:lineRule="exact"/>
        <w:rPr>
          <w:sz w:val="24"/>
          <w:szCs w:val="24"/>
          <w:color w:val="auto"/>
        </w:rPr>
      </w:pPr>
    </w:p>
    <w:p>
      <w:pPr>
        <w:jc w:val="center"/>
        <w:ind w:right="1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p>
      <w:pPr>
        <w:spacing w:after="0" w:line="298" w:lineRule="exact"/>
        <w:rPr>
          <w:sz w:val="24"/>
          <w:szCs w:val="24"/>
          <w:color w:val="auto"/>
        </w:rPr>
      </w:pPr>
    </w:p>
    <w:p>
      <w:pPr>
        <w:ind w:left="2390"/>
        <w:spacing w:after="0"/>
        <w:rPr>
          <w:sz w:val="20"/>
          <w:szCs w:val="20"/>
          <w:color w:val="auto"/>
        </w:rPr>
      </w:pPr>
      <w:r>
        <w:rPr>
          <w:rFonts w:ascii="Arial" w:cs="Arial" w:eastAsia="Arial" w:hAnsi="Arial"/>
          <w:sz w:val="16"/>
          <w:szCs w:val="16"/>
          <w:b w:val="1"/>
          <w:bCs w:val="1"/>
          <w:color w:val="auto"/>
        </w:rPr>
        <w:t>Texas</w:t>
      </w:r>
    </w:p>
    <w:p>
      <w:pPr>
        <w:spacing w:after="0" w:line="26" w:lineRule="exact"/>
        <w:rPr>
          <w:sz w:val="24"/>
          <w:szCs w:val="24"/>
          <w:color w:val="auto"/>
        </w:rPr>
      </w:pPr>
    </w:p>
    <w:p>
      <w:pPr>
        <w:ind w:left="1650"/>
        <w:spacing w:after="0"/>
        <w:rPr>
          <w:sz w:val="20"/>
          <w:szCs w:val="20"/>
          <w:color w:val="auto"/>
        </w:rPr>
      </w:pPr>
      <w:r>
        <w:rPr>
          <w:rFonts w:ascii="Arial" w:cs="Arial" w:eastAsia="Arial" w:hAnsi="Arial"/>
          <w:sz w:val="15"/>
          <w:szCs w:val="15"/>
          <w:color w:val="auto"/>
        </w:rPr>
        <w:t>(State or other jurisdiction of</w:t>
      </w:r>
    </w:p>
    <w:p>
      <w:pPr>
        <w:spacing w:after="0" w:line="30" w:lineRule="exact"/>
        <w:rPr>
          <w:sz w:val="24"/>
          <w:szCs w:val="24"/>
          <w:color w:val="auto"/>
        </w:rPr>
      </w:pPr>
    </w:p>
    <w:p>
      <w:pPr>
        <w:ind w:left="161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20-2897516</w:t>
      </w:r>
    </w:p>
    <w:p>
      <w:pPr>
        <w:spacing w:after="0" w:line="26"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1940"/>
        <w:spacing w:after="0"/>
        <w:rPr>
          <w:sz w:val="20"/>
          <w:szCs w:val="20"/>
          <w:color w:val="auto"/>
        </w:rPr>
      </w:pPr>
      <w:r>
        <w:rPr>
          <w:rFonts w:ascii="Arial" w:cs="Arial" w:eastAsia="Arial" w:hAnsi="Arial"/>
          <w:sz w:val="15"/>
          <w:szCs w:val="15"/>
          <w:color w:val="auto"/>
        </w:rPr>
        <w:t>Identification No.)</w:t>
      </w:r>
    </w:p>
    <w:p>
      <w:pPr>
        <w:spacing w:after="0" w:line="144" w:lineRule="exact"/>
        <w:rPr>
          <w:sz w:val="24"/>
          <w:szCs w:val="24"/>
          <w:color w:val="auto"/>
        </w:rPr>
      </w:pPr>
    </w:p>
    <w:p>
      <w:pPr>
        <w:sectPr>
          <w:pgSz w:w="11900" w:h="16838" w:orient="portrait"/>
          <w:cols w:equalWidth="0" w:num="2">
            <w:col w:w="6370" w:space="720"/>
            <w:col w:w="3140"/>
          </w:cols>
          <w:pgMar w:left="830" w:top="665" w:right="839" w:bottom="1440" w:gutter="0" w:footer="0" w:header="0"/>
          <w:type w:val="continuous"/>
        </w:sectPr>
      </w:pPr>
    </w:p>
    <w:p>
      <w:pPr>
        <w:jc w:val="center"/>
        <w:ind w:right="10"/>
        <w:spacing w:after="0"/>
        <w:rPr>
          <w:sz w:val="20"/>
          <w:szCs w:val="20"/>
          <w:color w:val="auto"/>
        </w:rPr>
      </w:pPr>
      <w:r>
        <w:rPr>
          <w:rFonts w:ascii="Arial" w:cs="Arial" w:eastAsia="Arial" w:hAnsi="Arial"/>
          <w:sz w:val="16"/>
          <w:szCs w:val="16"/>
          <w:b w:val="1"/>
          <w:bCs w:val="1"/>
          <w:color w:val="auto"/>
        </w:rPr>
        <w:t>1600 Airport Freeway, #100</w:t>
      </w:r>
    </w:p>
    <w:p>
      <w:pPr>
        <w:spacing w:after="0" w:line="26"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Bedford, Texas 76022</w:t>
      </w:r>
    </w:p>
    <w:p>
      <w:pPr>
        <w:spacing w:after="0" w:line="19" w:lineRule="exact"/>
        <w:rPr>
          <w:sz w:val="24"/>
          <w:szCs w:val="24"/>
          <w:color w:val="auto"/>
        </w:rPr>
      </w:pPr>
    </w:p>
    <w:p>
      <w:pPr>
        <w:jc w:val="center"/>
        <w:ind w:right="10"/>
        <w:spacing w:after="0"/>
        <w:rPr>
          <w:sz w:val="20"/>
          <w:szCs w:val="20"/>
          <w:color w:val="auto"/>
        </w:rPr>
      </w:pPr>
      <w:r>
        <w:rPr>
          <w:rFonts w:ascii="Arial" w:cs="Arial" w:eastAsia="Arial" w:hAnsi="Arial"/>
          <w:sz w:val="14"/>
          <w:szCs w:val="14"/>
          <w:color w:val="auto"/>
        </w:rPr>
        <w:t>(Address of principal executive offices)</w:t>
      </w:r>
    </w:p>
    <w:p>
      <w:pPr>
        <w:spacing w:after="0" w:line="42" w:lineRule="exact"/>
        <w:rPr>
          <w:sz w:val="24"/>
          <w:szCs w:val="24"/>
          <w:color w:val="auto"/>
        </w:rPr>
      </w:pPr>
    </w:p>
    <w:p>
      <w:pPr>
        <w:jc w:val="center"/>
        <w:ind w:right="10"/>
        <w:spacing w:after="0"/>
        <w:rPr>
          <w:sz w:val="20"/>
          <w:szCs w:val="20"/>
          <w:color w:val="auto"/>
        </w:rPr>
      </w:pPr>
      <w:r>
        <w:rPr>
          <w:rFonts w:ascii="Arial" w:cs="Arial" w:eastAsia="Arial" w:hAnsi="Arial"/>
          <w:sz w:val="16"/>
          <w:szCs w:val="16"/>
          <w:color w:val="auto"/>
        </w:rPr>
        <w:t>(Zip Code)</w:t>
      </w:r>
    </w:p>
    <w:p>
      <w:pPr>
        <w:sectPr>
          <w:pgSz w:w="11900" w:h="16838" w:orient="portrait"/>
          <w:cols w:equalWidth="0" w:num="1">
            <w:col w:w="10230"/>
          </w:cols>
          <w:pgMar w:left="830" w:top="665" w:right="839" w:bottom="1440" w:gutter="0" w:footer="0" w:header="0"/>
          <w:type w:val="continuous"/>
        </w:sectPr>
      </w:pPr>
    </w:p>
    <w:p>
      <w:pPr>
        <w:spacing w:after="0" w:line="119"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(817) 799-4900</w:t>
      </w:r>
    </w:p>
    <w:p>
      <w:pPr>
        <w:spacing w:after="0" w:line="26" w:lineRule="exact"/>
        <w:rPr>
          <w:sz w:val="24"/>
          <w:szCs w:val="24"/>
          <w:color w:val="auto"/>
        </w:rPr>
      </w:pPr>
    </w:p>
    <w:p>
      <w:pPr>
        <w:jc w:val="center"/>
        <w:ind w:right="1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135890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86" w:lineRule="exact"/>
        <w:rPr>
          <w:sz w:val="24"/>
          <w:szCs w:val="24"/>
          <w:color w:val="auto"/>
        </w:rPr>
      </w:pPr>
    </w:p>
    <w:p>
      <w:pPr>
        <w:ind w:left="10" w:right="3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left="10" w:right="44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left="10" w:right="520"/>
        <w:spacing w:after="0" w:line="27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type w:val="continuous"/>
        </w:sectPr>
      </w:pPr>
    </w:p>
    <w:p>
      <w:pPr>
        <w:spacing w:after="0" w:line="1" w:lineRule="exact"/>
        <w:rPr>
          <w:sz w:val="24"/>
          <w:szCs w:val="24"/>
          <w:color w:val="auto"/>
        </w:rPr>
      </w:pPr>
    </w:p>
    <w:p>
      <w:pPr>
        <w:ind w:left="169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2">
            <w:col w:w="6530" w:space="720"/>
            <w:col w:w="2980"/>
          </w:cols>
          <w:pgMar w:left="830" w:top="665" w:right="839" w:bottom="1440" w:gutter="0" w:footer="0" w:header="0"/>
          <w:type w:val="continuous"/>
        </w:sectPr>
      </w:pPr>
    </w:p>
    <w:p>
      <w:pPr>
        <w:spacing w:after="0" w:line="33" w:lineRule="exact"/>
        <w:rPr>
          <w:sz w:val="24"/>
          <w:szCs w:val="24"/>
          <w:color w:val="auto"/>
        </w:rPr>
      </w:pPr>
    </w:p>
    <w:p>
      <w:pPr>
        <w:ind w:left="173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8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190" w:space="720"/>
            <w:col w:w="3320"/>
          </w:cols>
          <w:pgMar w:left="830" w:top="665" w:right="839" w:bottom="1440" w:gutter="0" w:footer="0" w:header="0"/>
          <w:type w:val="continuous"/>
        </w:sectPr>
      </w:pPr>
    </w:p>
    <w:p>
      <w:pPr>
        <w:spacing w:after="0" w:line="3" w:lineRule="exact"/>
        <w:rPr>
          <w:sz w:val="24"/>
          <w:szCs w:val="24"/>
          <w:color w:val="auto"/>
        </w:rPr>
      </w:pPr>
    </w:p>
    <w:p>
      <w:pPr>
        <w:ind w:left="10" w:right="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3"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03"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1" w:lineRule="exact"/>
        <w:rPr>
          <w:sz w:val="24"/>
          <w:szCs w:val="24"/>
          <w:color w:val="auto"/>
        </w:rPr>
      </w:pPr>
    </w:p>
    <w:tbl>
      <w:tblPr>
        <w:tblLayout w:type="fixed"/>
        <w:tblInd w:w="10" w:type="dxa"/>
        <w:tblCellMar>
          <w:top w:w="0" w:type="dxa"/>
          <w:left w:w="0" w:type="dxa"/>
          <w:bottom w:w="0" w:type="dxa"/>
          <w:right w:w="0" w:type="dxa"/>
        </w:tblCellMar>
      </w:tblPr>
      <w:tr>
        <w:trPr>
          <w:trHeight w:val="171"/>
        </w:trPr>
        <w:tc>
          <w:tcPr>
            <w:tcW w:w="3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Title of each class:</w:t>
            </w:r>
          </w:p>
        </w:tc>
        <w:tc>
          <w:tcPr>
            <w:tcW w:w="3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Trading Symbol</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($0.001 par value)</w:t>
            </w:r>
          </w:p>
        </w:tc>
        <w:tc>
          <w:tcPr>
            <w:tcW w:w="200" w:type="dxa"/>
            <w:vAlign w:val="bottom"/>
          </w:tcPr>
          <w:p>
            <w:pPr>
              <w:spacing w:after="0"/>
              <w:rPr>
                <w:sz w:val="15"/>
                <w:szCs w:val="15"/>
                <w:color w:val="auto"/>
              </w:rPr>
            </w:pPr>
          </w:p>
        </w:tc>
        <w:tc>
          <w:tcPr>
            <w:tcW w:w="3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LEGH</w:t>
            </w:r>
          </w:p>
        </w:tc>
        <w:tc>
          <w:tcPr>
            <w:tcW w:w="20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24" w:lineRule="exact"/>
        <w:rPr>
          <w:sz w:val="24"/>
          <w:szCs w:val="24"/>
          <w:color w:val="auto"/>
        </w:rPr>
      </w:pPr>
    </w:p>
    <w:p>
      <w:pPr>
        <w:ind w:left="650"/>
        <w:spacing w:after="0"/>
        <w:rPr>
          <w:sz w:val="20"/>
          <w:szCs w:val="20"/>
          <w:color w:val="auto"/>
        </w:rPr>
      </w:pPr>
      <w:r>
        <w:rPr>
          <w:rFonts w:ascii="Arial" w:cs="Arial" w:eastAsia="Arial" w:hAnsi="Arial"/>
          <w:sz w:val="16"/>
          <w:szCs w:val="16"/>
          <w:color w:val="auto"/>
        </w:rPr>
        <w:t>There were 24,202,631 shares of Common Stock ($0.001 par value) outstanding as of May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575310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95250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137795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7460" w:type="dxa"/>
            <w:vAlign w:val="bottom"/>
            <w:gridSpan w:val="16"/>
          </w:tcPr>
          <w:p>
            <w:pPr>
              <w:ind w:left="2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952"/>
        </w:trPr>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80" w:type="dxa"/>
            <w:vAlign w:val="bottom"/>
            <w:gridSpan w:val="5"/>
          </w:tcPr>
          <w:p>
            <w:pPr>
              <w:jc w:val="center"/>
              <w:ind w:right="1300"/>
              <w:spacing w:after="0"/>
              <w:rPr>
                <w:sz w:val="20"/>
                <w:szCs w:val="20"/>
                <w:color w:val="auto"/>
              </w:rPr>
            </w:pPr>
            <w:r>
              <w:rPr>
                <w:rFonts w:ascii="Arial" w:cs="Arial" w:eastAsia="Arial" w:hAnsi="Arial"/>
                <w:sz w:val="18"/>
                <w:szCs w:val="18"/>
                <w:b w:val="1"/>
                <w:bCs w:val="1"/>
                <w:color w:val="auto"/>
              </w:rPr>
              <w:t>LEGACY HOUSING CORPORATION</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2"/>
          </w:tcPr>
          <w:p>
            <w:pPr>
              <w:jc w:val="center"/>
              <w:ind w:right="1960"/>
              <w:spacing w:after="0"/>
              <w:rPr>
                <w:sz w:val="20"/>
                <w:szCs w:val="20"/>
                <w:color w:val="auto"/>
              </w:rPr>
            </w:pPr>
            <w:r>
              <w:rPr>
                <w:rFonts w:ascii="Arial" w:cs="Arial" w:eastAsia="Arial" w:hAnsi="Arial"/>
                <w:sz w:val="18"/>
                <w:szCs w:val="18"/>
                <w:b w:val="1"/>
                <w:bCs w:val="1"/>
                <w:color w:val="auto"/>
                <w:w w:val="98"/>
              </w:rPr>
              <w:t>TABLE OF CONTENTS</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8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Page</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450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2.   Management’s Discussion and Analysis of Financial Condition and Results of Operations</w:t>
              </w:r>
            </w:hyperlink>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   Quantitative and Qualitative Disclosures About Market Risk</w:t>
              </w:r>
            </w:hyperlink>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   Controls and Procedures</w:t>
              </w:r>
            </w:hyperlink>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440" w:type="dxa"/>
            <w:vAlign w:val="bottom"/>
            <w:gridSpan w:val="1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PART II - OTHER INFORMATION</w:t>
              </w:r>
            </w:hyperlink>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Item 1.</w:t>
              </w:r>
            </w:hyperlink>
          </w:p>
        </w:tc>
        <w:tc>
          <w:tcPr>
            <w:tcW w:w="220" w:type="dxa"/>
            <w:vAlign w:val="bottom"/>
            <w:tcBorders>
              <w:top w:val="single" w:sz="8" w:color="0000EE"/>
            </w:tcBorders>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300" w:type="dxa"/>
            <w:vAlign w:val="bottom"/>
            <w:tcBorders>
              <w:top w:val="single" w:sz="8" w:color="0000EE"/>
            </w:tcBorders>
          </w:tcPr>
          <w:p>
            <w:pPr>
              <w:spacing w:after="0"/>
              <w:rPr>
                <w:sz w:val="24"/>
                <w:szCs w:val="24"/>
                <w:color w:val="auto"/>
              </w:rPr>
            </w:pPr>
          </w:p>
        </w:tc>
        <w:tc>
          <w:tcPr>
            <w:tcW w:w="4820" w:type="dxa"/>
            <w:vAlign w:val="bottom"/>
            <w:gridSpan w:val="6"/>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2.   Unregistered Sales of Equity Securities and Use of Proceeds</w:t>
              </w:r>
            </w:hyperlink>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3.   Defaults Upon Senior Securities</w:t>
              </w:r>
            </w:hyperlink>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Item 4.</w:t>
              </w:r>
            </w:hyperlink>
          </w:p>
        </w:tc>
        <w:tc>
          <w:tcPr>
            <w:tcW w:w="2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4140" w:type="dxa"/>
            <w:vAlign w:val="bottom"/>
            <w:gridSpan w:val="3"/>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Item 5.</w:t>
              </w:r>
            </w:hyperlink>
          </w:p>
        </w:tc>
        <w:tc>
          <w:tcPr>
            <w:tcW w:w="220" w:type="dxa"/>
            <w:vAlign w:val="bottom"/>
          </w:tcPr>
          <w:p>
            <w:pPr>
              <w:spacing w:after="0"/>
              <w:rPr>
                <w:sz w:val="24"/>
                <w:szCs w:val="24"/>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Other Information</w:t>
              </w:r>
            </w:hyperlink>
          </w:p>
        </w:tc>
        <w:tc>
          <w:tcPr>
            <w:tcW w:w="5140" w:type="dxa"/>
            <w:vAlign w:val="bottom"/>
            <w:gridSpan w:val="8"/>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Item 6.</w:t>
              </w:r>
            </w:hyperlink>
          </w:p>
        </w:tc>
        <w:tc>
          <w:tcPr>
            <w:tcW w:w="220" w:type="dxa"/>
            <w:vAlign w:val="bottom"/>
          </w:tcPr>
          <w:p>
            <w:pPr>
              <w:spacing w:after="0"/>
              <w:rPr>
                <w:sz w:val="24"/>
                <w:szCs w:val="24"/>
                <w:color w:val="auto"/>
              </w:rPr>
            </w:pPr>
          </w:p>
        </w:tc>
        <w:tc>
          <w:tcPr>
            <w:tcW w:w="6460" w:type="dxa"/>
            <w:vAlign w:val="bottom"/>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44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1674"/>
        </w:trPr>
        <w:tc>
          <w:tcPr>
            <w:tcW w:w="2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(in thousands, except share and per share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15"/>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02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5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ind w:left="300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2,408</w:t>
            </w:r>
          </w:p>
        </w:tc>
        <w:tc>
          <w:tcPr>
            <w:tcW w:w="42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0" w:type="dxa"/>
            <w:vAlign w:val="bottom"/>
          </w:tcPr>
          <w:p>
            <w:pPr>
              <w:spacing w:after="0"/>
              <w:rPr>
                <w:sz w:val="1"/>
                <w:szCs w:val="1"/>
                <w:color w:val="auto"/>
              </w:rPr>
            </w:pPr>
          </w:p>
        </w:tc>
      </w:tr>
      <w:tr>
        <w:trPr>
          <w:trHeight w:val="203"/>
        </w:trPr>
        <w:tc>
          <w:tcPr>
            <w:tcW w:w="6500" w:type="dxa"/>
            <w:vAlign w:val="bottom"/>
          </w:tcPr>
          <w:p>
            <w:pPr>
              <w:ind w:left="100"/>
              <w:spacing w:after="0"/>
              <w:rPr>
                <w:sz w:val="20"/>
                <w:szCs w:val="20"/>
                <w:color w:val="auto"/>
              </w:rPr>
            </w:pPr>
            <w:r>
              <w:rPr>
                <w:rFonts w:ascii="Arial" w:cs="Arial" w:eastAsia="Arial" w:hAnsi="Arial"/>
                <w:sz w:val="17"/>
                <w:szCs w:val="17"/>
                <w:color w:val="auto"/>
              </w:rPr>
              <w:t>Accounts receivable, net of allowance for doubtful accounts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3,914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3,867</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consumer loans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5,348</w:t>
            </w:r>
          </w:p>
        </w:tc>
        <w:tc>
          <w:tcPr>
            <w:tcW w:w="0" w:type="dxa"/>
            <w:vAlign w:val="bottom"/>
          </w:tcPr>
          <w:p>
            <w:pPr>
              <w:spacing w:after="0"/>
              <w:rPr>
                <w:sz w:val="1"/>
                <w:szCs w:val="1"/>
                <w:color w:val="auto"/>
              </w:rPr>
            </w:pPr>
          </w:p>
        </w:tc>
      </w:tr>
      <w:tr>
        <w:trPr>
          <w:trHeight w:val="203"/>
        </w:trPr>
        <w:tc>
          <w:tcPr>
            <w:tcW w:w="6500" w:type="dxa"/>
            <w:vAlign w:val="bottom"/>
          </w:tcPr>
          <w:p>
            <w:pPr>
              <w:ind w:left="100"/>
              <w:spacing w:after="0"/>
              <w:rPr>
                <w:sz w:val="20"/>
                <w:szCs w:val="20"/>
                <w:color w:val="auto"/>
              </w:rPr>
            </w:pPr>
            <w:r>
              <w:rPr>
                <w:rFonts w:ascii="Arial" w:cs="Arial" w:eastAsia="Arial" w:hAnsi="Arial"/>
                <w:sz w:val="17"/>
                <w:szCs w:val="17"/>
                <w:color w:val="auto"/>
              </w:rPr>
              <w:t>Current portion of notes receivable from mobile home parks (“MHP”)</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11,967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12,468</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other notes receivable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2,054</w:t>
            </w:r>
          </w:p>
        </w:tc>
        <w:tc>
          <w:tcPr>
            <w:tcW w:w="0" w:type="dxa"/>
            <w:vAlign w:val="bottom"/>
          </w:tcPr>
          <w:p>
            <w:pPr>
              <w:spacing w:after="0"/>
              <w:rPr>
                <w:sz w:val="1"/>
                <w:szCs w:val="1"/>
                <w:color w:val="auto"/>
              </w:rPr>
            </w:pPr>
          </w:p>
        </w:tc>
      </w:tr>
      <w:tr>
        <w:trPr>
          <w:trHeight w:val="203"/>
        </w:trPr>
        <w:tc>
          <w:tcPr>
            <w:tcW w:w="6500" w:type="dxa"/>
            <w:vAlign w:val="bottom"/>
          </w:tcPr>
          <w:p>
            <w:pPr>
              <w:ind w:left="100"/>
              <w:spacing w:after="0"/>
              <w:rPr>
                <w:sz w:val="20"/>
                <w:szCs w:val="20"/>
                <w:color w:val="auto"/>
              </w:rPr>
            </w:pPr>
            <w:r>
              <w:rPr>
                <w:rFonts w:ascii="Arial" w:cs="Arial" w:eastAsia="Arial" w:hAnsi="Arial"/>
                <w:sz w:val="17"/>
                <w:szCs w:val="17"/>
                <w:color w:val="auto"/>
              </w:rPr>
              <w:t>Inventories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31,915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27,224</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3,649</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3,234</w:t>
            </w:r>
          </w:p>
        </w:tc>
        <w:tc>
          <w:tcPr>
            <w:tcW w:w="0" w:type="dxa"/>
            <w:vAlign w:val="bottom"/>
          </w:tcPr>
          <w:p>
            <w:pPr>
              <w:spacing w:after="0"/>
              <w:rPr>
                <w:sz w:val="1"/>
                <w:szCs w:val="1"/>
                <w:color w:val="auto"/>
              </w:rPr>
            </w:pPr>
          </w:p>
        </w:tc>
      </w:tr>
      <w:tr>
        <w:trPr>
          <w:trHeight w:val="196"/>
        </w:trPr>
        <w:tc>
          <w:tcPr>
            <w:tcW w:w="6500" w:type="dxa"/>
            <w:vAlign w:val="bottom"/>
          </w:tcPr>
          <w:p>
            <w:pPr>
              <w:ind w:left="320"/>
              <w:spacing w:after="0"/>
              <w:rPr>
                <w:sz w:val="20"/>
                <w:szCs w:val="20"/>
                <w:color w:val="auto"/>
              </w:rPr>
            </w:pPr>
            <w:r>
              <w:rPr>
                <w:rFonts w:ascii="Arial" w:cs="Arial" w:eastAsia="Arial" w:hAnsi="Arial"/>
                <w:sz w:val="17"/>
                <w:szCs w:val="17"/>
                <w:color w:val="auto"/>
              </w:rPr>
              <w:t>Total current assets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60,847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54,963</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24,070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22,616</w:t>
            </w:r>
          </w:p>
        </w:tc>
        <w:tc>
          <w:tcPr>
            <w:tcW w:w="0" w:type="dxa"/>
            <w:vAlign w:val="bottom"/>
          </w:tcPr>
          <w:p>
            <w:pPr>
              <w:spacing w:after="0"/>
              <w:rPr>
                <w:sz w:val="1"/>
                <w:szCs w:val="1"/>
                <w:color w:val="auto"/>
              </w:rPr>
            </w:pPr>
          </w:p>
        </w:tc>
      </w:tr>
      <w:tr>
        <w:trPr>
          <w:trHeight w:val="203"/>
        </w:trPr>
        <w:tc>
          <w:tcPr>
            <w:tcW w:w="6500" w:type="dxa"/>
            <w:vAlign w:val="bottom"/>
          </w:tcPr>
          <w:p>
            <w:pPr>
              <w:spacing w:after="0"/>
              <w:rPr>
                <w:sz w:val="20"/>
                <w:szCs w:val="20"/>
                <w:color w:val="auto"/>
              </w:rPr>
            </w:pPr>
            <w:r>
              <w:rPr>
                <w:rFonts w:ascii="Arial" w:cs="Arial" w:eastAsia="Arial" w:hAnsi="Arial"/>
                <w:sz w:val="17"/>
                <w:szCs w:val="17"/>
                <w:color w:val="auto"/>
              </w:rPr>
              <w:t>Consumer loans, net of deferred financing fees and allowance for loan losses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108,443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106,572</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Notes receivable from mobile home parks (“MHP”)</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128,318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123,872</w:t>
            </w:r>
          </w:p>
        </w:tc>
        <w:tc>
          <w:tcPr>
            <w:tcW w:w="0" w:type="dxa"/>
            <w:vAlign w:val="bottom"/>
          </w:tcPr>
          <w:p>
            <w:pPr>
              <w:spacing w:after="0"/>
              <w:rPr>
                <w:sz w:val="1"/>
                <w:szCs w:val="1"/>
                <w:color w:val="auto"/>
              </w:rPr>
            </w:pPr>
          </w:p>
        </w:tc>
      </w:tr>
      <w:tr>
        <w:trPr>
          <w:trHeight w:val="203"/>
        </w:trPr>
        <w:tc>
          <w:tcPr>
            <w:tcW w:w="6500" w:type="dxa"/>
            <w:vAlign w:val="bottom"/>
          </w:tcPr>
          <w:p>
            <w:pPr>
              <w:spacing w:after="0"/>
              <w:rPr>
                <w:sz w:val="20"/>
                <w:szCs w:val="20"/>
                <w:color w:val="auto"/>
              </w:rPr>
            </w:pPr>
            <w:r>
              <w:rPr>
                <w:rFonts w:ascii="Arial" w:cs="Arial" w:eastAsia="Arial" w:hAnsi="Arial"/>
                <w:sz w:val="17"/>
                <w:szCs w:val="17"/>
                <w:color w:val="auto"/>
              </w:rPr>
              <w:t>Other notes receivable, net of allowance for loan losses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18,979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13,050</w:t>
            </w: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8,887</w:t>
            </w:r>
          </w:p>
        </w:tc>
        <w:tc>
          <w:tcPr>
            <w:tcW w:w="0" w:type="dxa"/>
            <w:vAlign w:val="bottom"/>
          </w:tcPr>
          <w:p>
            <w:pPr>
              <w:spacing w:after="0"/>
              <w:rPr>
                <w:sz w:val="1"/>
                <w:szCs w:val="1"/>
                <w:color w:val="auto"/>
              </w:rPr>
            </w:pPr>
          </w:p>
        </w:tc>
      </w:tr>
      <w:tr>
        <w:trPr>
          <w:trHeight w:val="203"/>
        </w:trPr>
        <w:tc>
          <w:tcPr>
            <w:tcW w:w="6500" w:type="dxa"/>
            <w:vAlign w:val="bottom"/>
            <w:tcBorders>
              <w:bottom w:val="single" w:sz="8" w:color="CCEEFF"/>
            </w:tcBorders>
          </w:tcPr>
          <w:p>
            <w:pPr>
              <w:spacing w:after="0" w:line="196" w:lineRule="exact"/>
              <w:rPr>
                <w:sz w:val="20"/>
                <w:szCs w:val="20"/>
                <w:color w:val="auto"/>
              </w:rPr>
            </w:pPr>
            <w:r>
              <w:rPr>
                <w:rFonts w:ascii="Arial" w:cs="Arial" w:eastAsia="Arial" w:hAnsi="Arial"/>
                <w:sz w:val="17"/>
                <w:szCs w:val="17"/>
                <w:color w:val="auto"/>
              </w:rPr>
              <w:t>Inventory non</w:t>
            </w:r>
            <w:r>
              <w:rPr>
                <w:rFonts w:ascii="MS PGothic" w:cs="MS PGothic" w:eastAsia="MS PGothic" w:hAnsi="MS PGothic"/>
                <w:sz w:val="17"/>
                <w:szCs w:val="17"/>
                <w:color w:val="auto"/>
              </w:rPr>
              <w:t>‑</w:t>
            </w:r>
            <w:r>
              <w:rPr>
                <w:rFonts w:ascii="Arial" w:cs="Arial" w:eastAsia="Arial" w:hAnsi="Arial"/>
                <w:sz w:val="17"/>
                <w:szCs w:val="17"/>
                <w:color w:val="auto"/>
              </w:rPr>
              <w:t>current</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7,467</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8,656</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356,918</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338,616</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1920"/>
              <w:spacing w:after="0"/>
              <w:rPr>
                <w:sz w:val="20"/>
                <w:szCs w:val="20"/>
                <w:color w:val="auto"/>
              </w:rPr>
            </w:pPr>
            <w:r>
              <w:rPr>
                <w:rFonts w:ascii="Arial" w:cs="Arial" w:eastAsia="Arial" w:hAnsi="Arial"/>
                <w:sz w:val="17"/>
                <w:szCs w:val="17"/>
                <w:b w:val="1"/>
                <w:bCs w:val="1"/>
                <w:color w:val="auto"/>
              </w:rPr>
              <w:t>Liabilities and Stockholders' Equity</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100"/>
              <w:spacing w:after="0"/>
              <w:rPr>
                <w:sz w:val="20"/>
                <w:szCs w:val="20"/>
                <w:color w:val="auto"/>
              </w:rPr>
            </w:pPr>
            <w:r>
              <w:rPr>
                <w:rFonts w:ascii="Arial" w:cs="Arial" w:eastAsia="Arial" w:hAnsi="Arial"/>
                <w:sz w:val="17"/>
                <w:szCs w:val="17"/>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9,422</w:t>
            </w:r>
          </w:p>
        </w:tc>
        <w:tc>
          <w:tcPr>
            <w:tcW w:w="42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10,197</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liabilities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14,860</w:t>
            </w:r>
          </w:p>
        </w:tc>
        <w:tc>
          <w:tcPr>
            <w:tcW w:w="0" w:type="dxa"/>
            <w:vAlign w:val="bottom"/>
          </w:tcPr>
          <w:p>
            <w:pPr>
              <w:spacing w:after="0"/>
              <w:rPr>
                <w:sz w:val="1"/>
                <w:szCs w:val="1"/>
                <w:color w:val="auto"/>
              </w:rPr>
            </w:pPr>
          </w:p>
        </w:tc>
      </w:tr>
      <w:tr>
        <w:trPr>
          <w:trHeight w:val="203"/>
        </w:trPr>
        <w:tc>
          <w:tcPr>
            <w:tcW w:w="6500" w:type="dxa"/>
            <w:vAlign w:val="bottom"/>
          </w:tcPr>
          <w:p>
            <w:pPr>
              <w:ind w:left="100"/>
              <w:spacing w:after="0"/>
              <w:rPr>
                <w:sz w:val="20"/>
                <w:szCs w:val="20"/>
                <w:color w:val="auto"/>
              </w:rPr>
            </w:pPr>
            <w:r>
              <w:rPr>
                <w:rFonts w:ascii="Arial" w:cs="Arial" w:eastAsia="Arial" w:hAnsi="Arial"/>
                <w:sz w:val="17"/>
                <w:szCs w:val="17"/>
                <w:color w:val="auto"/>
              </w:rPr>
              <w:t>Customer deposits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5,150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3,620</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Escrow liability</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8,015</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7,729</w:t>
            </w:r>
          </w:p>
        </w:tc>
        <w:tc>
          <w:tcPr>
            <w:tcW w:w="0" w:type="dxa"/>
            <w:vAlign w:val="bottom"/>
          </w:tcPr>
          <w:p>
            <w:pPr>
              <w:spacing w:after="0"/>
              <w:rPr>
                <w:sz w:val="1"/>
                <w:szCs w:val="1"/>
                <w:color w:val="auto"/>
              </w:rPr>
            </w:pPr>
          </w:p>
        </w:tc>
      </w:tr>
      <w:tr>
        <w:trPr>
          <w:trHeight w:val="196"/>
        </w:trPr>
        <w:tc>
          <w:tcPr>
            <w:tcW w:w="6500" w:type="dxa"/>
            <w:vAlign w:val="bottom"/>
          </w:tcPr>
          <w:p>
            <w:pPr>
              <w:ind w:left="320"/>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36,264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36,406</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196" w:lineRule="exact"/>
              <w:rPr>
                <w:sz w:val="20"/>
                <w:szCs w:val="20"/>
                <w:color w:val="auto"/>
              </w:rPr>
            </w:pPr>
            <w:r>
              <w:rPr>
                <w:rFonts w:ascii="Arial" w:cs="Arial" w:eastAsia="Arial" w:hAnsi="Arial"/>
                <w:sz w:val="17"/>
                <w:szCs w:val="17"/>
                <w:color w:val="auto"/>
              </w:rPr>
              <w:t>Long</w:t>
            </w:r>
            <w:r>
              <w:rPr>
                <w:rFonts w:ascii="MS PGothic" w:cs="MS PGothic" w:eastAsia="MS PGothic" w:hAnsi="MS PGothic"/>
                <w:sz w:val="17"/>
                <w:szCs w:val="17"/>
                <w:color w:val="auto"/>
              </w:rPr>
              <w:t>‑</w:t>
            </w:r>
            <w:r>
              <w:rPr>
                <w:rFonts w:ascii="Arial" w:cs="Arial" w:eastAsia="Arial" w:hAnsi="Arial"/>
                <w:sz w:val="17"/>
                <w:szCs w:val="17"/>
                <w:color w:val="auto"/>
              </w:rPr>
              <w:t>term liabilities: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100"/>
              <w:spacing w:after="0"/>
              <w:rPr>
                <w:sz w:val="20"/>
                <w:szCs w:val="20"/>
                <w:color w:val="auto"/>
              </w:rPr>
            </w:pPr>
            <w:r>
              <w:rPr>
                <w:rFonts w:ascii="Arial" w:cs="Arial" w:eastAsia="Arial" w:hAnsi="Arial"/>
                <w:sz w:val="17"/>
                <w:szCs w:val="17"/>
                <w:color w:val="auto"/>
              </w:rPr>
              <w:t>Lines of credit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45,347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36,174</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Deferred income taxes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1,971</w:t>
            </w:r>
          </w:p>
        </w:tc>
        <w:tc>
          <w:tcPr>
            <w:tcW w:w="0" w:type="dxa"/>
            <w:vAlign w:val="bottom"/>
          </w:tcPr>
          <w:p>
            <w:pPr>
              <w:spacing w:after="0"/>
              <w:rPr>
                <w:sz w:val="1"/>
                <w:szCs w:val="1"/>
                <w:color w:val="auto"/>
              </w:rPr>
            </w:pPr>
          </w:p>
        </w:tc>
      </w:tr>
      <w:tr>
        <w:trPr>
          <w:trHeight w:val="203"/>
        </w:trPr>
        <w:tc>
          <w:tcPr>
            <w:tcW w:w="6500" w:type="dxa"/>
            <w:vAlign w:val="bottom"/>
          </w:tcPr>
          <w:p>
            <w:pPr>
              <w:ind w:left="100"/>
              <w:spacing w:after="0"/>
              <w:rPr>
                <w:sz w:val="20"/>
                <w:szCs w:val="20"/>
                <w:color w:val="auto"/>
              </w:rPr>
            </w:pPr>
            <w:r>
              <w:rPr>
                <w:rFonts w:ascii="Arial" w:cs="Arial" w:eastAsia="Arial" w:hAnsi="Arial"/>
                <w:sz w:val="17"/>
                <w:szCs w:val="17"/>
                <w:color w:val="auto"/>
              </w:rPr>
              <w:t>Accrued liabilities, net of current portion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630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630</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Dealer incentive liability</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4,445</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4,242</w:t>
            </w:r>
          </w:p>
        </w:tc>
        <w:tc>
          <w:tcPr>
            <w:tcW w:w="0" w:type="dxa"/>
            <w:vAlign w:val="bottom"/>
          </w:tcPr>
          <w:p>
            <w:pPr>
              <w:spacing w:after="0"/>
              <w:rPr>
                <w:sz w:val="1"/>
                <w:szCs w:val="1"/>
                <w:color w:val="auto"/>
              </w:rPr>
            </w:pPr>
          </w:p>
        </w:tc>
      </w:tr>
      <w:tr>
        <w:trPr>
          <w:trHeight w:val="196"/>
        </w:trPr>
        <w:tc>
          <w:tcPr>
            <w:tcW w:w="6500" w:type="dxa"/>
            <w:vAlign w:val="bottom"/>
          </w:tcPr>
          <w:p>
            <w:pPr>
              <w:ind w:left="320"/>
              <w:spacing w:after="0"/>
              <w:rPr>
                <w:sz w:val="20"/>
                <w:szCs w:val="20"/>
                <w:color w:val="auto"/>
              </w:rPr>
            </w:pPr>
            <w:r>
              <w:rPr>
                <w:rFonts w:ascii="Arial" w:cs="Arial" w:eastAsia="Arial" w:hAnsi="Arial"/>
                <w:sz w:val="17"/>
                <w:szCs w:val="17"/>
                <w:color w:val="auto"/>
              </w:rPr>
              <w:t>Total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88,657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79,423</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Commitments and contingencies (Note 12)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rPr>
                <w:sz w:val="20"/>
                <w:szCs w:val="20"/>
                <w:color w:val="auto"/>
              </w:rPr>
            </w:pPr>
            <w:r>
              <w:rPr>
                <w:rFonts w:ascii="Arial" w:cs="Arial" w:eastAsia="Arial" w:hAnsi="Arial"/>
                <w:sz w:val="17"/>
                <w:szCs w:val="17"/>
                <w:color w:val="auto"/>
              </w:rPr>
              <w:t>Stockholders' equity:</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Preferred stock, $.001 par value, 10,000,000 shares authorized: issued -0-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6500" w:type="dxa"/>
            <w:vAlign w:val="bottom"/>
          </w:tcPr>
          <w:p>
            <w:pPr>
              <w:ind w:left="100"/>
              <w:spacing w:after="0" w:line="185" w:lineRule="exact"/>
              <w:rPr>
                <w:sz w:val="20"/>
                <w:szCs w:val="20"/>
                <w:color w:val="auto"/>
              </w:rPr>
            </w:pPr>
            <w:r>
              <w:rPr>
                <w:rFonts w:ascii="Arial" w:cs="Arial" w:eastAsia="Arial" w:hAnsi="Arial"/>
                <w:sz w:val="17"/>
                <w:szCs w:val="17"/>
                <w:color w:val="auto"/>
                <w:w w:val="92"/>
              </w:rPr>
              <w:t>Common stock, $.001 par value, 90,000,000 shares authorized; 24,647,696 and 24,639,125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00" w:type="dxa"/>
            <w:vAlign w:val="bottom"/>
          </w:tcPr>
          <w:p>
            <w:pPr>
              <w:ind w:left="100"/>
              <w:spacing w:after="0"/>
              <w:rPr>
                <w:sz w:val="20"/>
                <w:szCs w:val="20"/>
                <w:color w:val="auto"/>
              </w:rPr>
            </w:pPr>
            <w:r>
              <w:rPr>
                <w:rFonts w:ascii="Arial" w:cs="Arial" w:eastAsia="Arial" w:hAnsi="Arial"/>
                <w:sz w:val="17"/>
                <w:szCs w:val="17"/>
                <w:color w:val="auto"/>
                <w:w w:val="94"/>
              </w:rPr>
              <w:t>issued and 24,202,631 and 24,194,060 outstanding at March 31, 2021 and December 31,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500" w:type="dxa"/>
            <w:vAlign w:val="bottom"/>
          </w:tcPr>
          <w:p>
            <w:pPr>
              <w:ind w:left="100"/>
              <w:spacing w:after="0"/>
              <w:rPr>
                <w:sz w:val="20"/>
                <w:szCs w:val="20"/>
                <w:color w:val="auto"/>
              </w:rPr>
            </w:pPr>
            <w:r>
              <w:rPr>
                <w:rFonts w:ascii="Arial" w:cs="Arial" w:eastAsia="Arial" w:hAnsi="Arial"/>
                <w:sz w:val="17"/>
                <w:szCs w:val="17"/>
                <w:color w:val="auto"/>
              </w:rPr>
              <w:t>2020, respectively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5"/>
        </w:trPr>
        <w:tc>
          <w:tcPr>
            <w:tcW w:w="6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Treasury stock at cost, 445,065 shares at March 31, 2021 and December 31, 2020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(4,477)</w:t>
            </w:r>
          </w:p>
        </w:tc>
        <w:tc>
          <w:tcPr>
            <w:tcW w:w="0" w:type="dxa"/>
            <w:vAlign w:val="bottom"/>
          </w:tcPr>
          <w:p>
            <w:pPr>
              <w:spacing w:after="0"/>
              <w:rPr>
                <w:sz w:val="1"/>
                <w:szCs w:val="1"/>
                <w:color w:val="auto"/>
              </w:rPr>
            </w:pPr>
          </w:p>
        </w:tc>
      </w:tr>
      <w:tr>
        <w:trPr>
          <w:trHeight w:val="203"/>
        </w:trPr>
        <w:tc>
          <w:tcPr>
            <w:tcW w:w="6500" w:type="dxa"/>
            <w:vAlign w:val="bottom"/>
          </w:tcPr>
          <w:p>
            <w:pPr>
              <w:ind w:left="100"/>
              <w:spacing w:after="0"/>
              <w:rPr>
                <w:sz w:val="20"/>
                <w:szCs w:val="20"/>
                <w:color w:val="auto"/>
              </w:rPr>
            </w:pPr>
            <w:r>
              <w:rPr>
                <w:rFonts w:ascii="Arial" w:cs="Arial" w:eastAsia="Arial" w:hAnsi="Arial"/>
                <w:sz w:val="17"/>
                <w:szCs w:val="17"/>
                <w:color w:val="auto"/>
              </w:rPr>
              <w:t>Additional paid-in-capital</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175,337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175,293</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Retained earnings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97,376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88,352</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stockholders' equity</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268,261</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259,193</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liabilities and stockholders'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356,918</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338,616</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80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rPr>
                <w:sz w:val="20"/>
                <w:szCs w:val="20"/>
                <w:color w:val="auto"/>
              </w:rPr>
            </w:pPr>
            <w:r>
              <w:rPr>
                <w:rFonts w:ascii="Arial" w:cs="Arial" w:eastAsia="Arial" w:hAnsi="Arial"/>
                <w:sz w:val="18"/>
                <w:szCs w:val="18"/>
                <w:color w:val="auto"/>
              </w:rPr>
              <w:t>Product sales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32,274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Consumer and MHP loans interest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 sales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rPr>
                <w:sz w:val="20"/>
                <w:szCs w:val="20"/>
                <w:color w:val="auto"/>
              </w:rPr>
            </w:pPr>
            <w:r>
              <w:rPr>
                <w:rFonts w:ascii="Arial" w:cs="Arial" w:eastAsia="Arial" w:hAnsi="Arial"/>
                <w:sz w:val="18"/>
                <w:szCs w:val="18"/>
                <w:color w:val="auto"/>
              </w:rPr>
              <w:t>Selling, general administrative expenses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Dealer incentive</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Miscellaneous, net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rPr>
                <w:sz w:val="20"/>
                <w:szCs w:val="20"/>
                <w:color w:val="auto"/>
              </w:rPr>
            </w:pPr>
            <w:r>
              <w:rPr>
                <w:rFonts w:ascii="Arial" w:cs="Arial" w:eastAsia="Arial" w:hAnsi="Arial"/>
                <w:sz w:val="18"/>
                <w:szCs w:val="18"/>
                <w:color w:val="auto"/>
              </w:rPr>
              <w:t>Gain on settlement, net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w:t>
            </w:r>
          </w:p>
        </w:tc>
        <w:tc>
          <w:tcPr>
            <w:tcW w:w="1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 expense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24,199,107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24,319,328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rPr>
                <w:sz w:val="20"/>
                <w:szCs w:val="20"/>
                <w:color w:val="auto"/>
              </w:rPr>
            </w:pPr>
            <w:r>
              <w:rPr>
                <w:rFonts w:ascii="Arial" w:cs="Arial" w:eastAsia="Arial" w:hAnsi="Arial"/>
                <w:sz w:val="18"/>
                <w:szCs w:val="18"/>
                <w:color w:val="auto"/>
              </w:rPr>
              <w:t>Diluted</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24,211,182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24,361,083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00"/>
              <w:spacing w:after="0"/>
              <w:rPr>
                <w:sz w:val="20"/>
                <w:szCs w:val="20"/>
                <w:color w:val="auto"/>
              </w:rPr>
            </w:pPr>
            <w:r>
              <w:rPr>
                <w:rFonts w:ascii="Arial" w:cs="Arial" w:eastAsia="Arial" w:hAnsi="Arial"/>
                <w:sz w:val="18"/>
                <w:szCs w:val="18"/>
                <w:color w:val="auto"/>
              </w:rPr>
              <w:t>Basic</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LEGACY HOUSING CORPORATION</w:t>
      </w:r>
    </w:p>
    <w:p>
      <w:pPr>
        <w:spacing w:after="0" w:line="18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0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9,024</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9,025</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to net cash used by operating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60" w:type="dxa"/>
            <w:vAlign w:val="bottom"/>
          </w:tcPr>
          <w:p>
            <w:pPr>
              <w:ind w:left="100"/>
              <w:spacing w:after="0"/>
              <w:rPr>
                <w:sz w:val="20"/>
                <w:szCs w:val="20"/>
                <w:color w:val="auto"/>
              </w:rPr>
            </w:pPr>
            <w:r>
              <w:rPr>
                <w:rFonts w:ascii="Arial" w:cs="Arial" w:eastAsia="Arial" w:hAnsi="Arial"/>
                <w:sz w:val="18"/>
                <w:szCs w:val="18"/>
                <w:color w:val="auto"/>
              </w:rPr>
              <w:t>Depreciation expense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debt discount and issuance costs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100"/>
              <w:spacing w:after="0"/>
              <w:rPr>
                <w:sz w:val="20"/>
                <w:szCs w:val="20"/>
                <w:color w:val="auto"/>
              </w:rPr>
            </w:pPr>
            <w:r>
              <w:rPr>
                <w:rFonts w:ascii="Arial" w:cs="Arial" w:eastAsia="Arial" w:hAnsi="Arial"/>
                <w:sz w:val="18"/>
                <w:szCs w:val="18"/>
                <w:color w:val="auto"/>
              </w:rPr>
              <w:t>Provision for loan loss—consumer loans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100"/>
              <w:spacing w:after="0"/>
              <w:rPr>
                <w:sz w:val="20"/>
                <w:szCs w:val="20"/>
                <w:color w:val="auto"/>
              </w:rPr>
            </w:pPr>
            <w:r>
              <w:rPr>
                <w:rFonts w:ascii="Arial" w:cs="Arial" w:eastAsia="Arial" w:hAnsi="Arial"/>
                <w:sz w:val="18"/>
                <w:szCs w:val="18"/>
                <w:color w:val="auto"/>
              </w:rPr>
              <w:t>Share based payment expense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operating assets and liabilities: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(1,405)</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loans originations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14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Consumer loans principal collections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2,297</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 MHP originations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(17,205)</w:t>
            </w:r>
          </w:p>
        </w:tc>
        <w:tc>
          <w:tcPr>
            <w:tcW w:w="14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Notes receivable MHP principal collections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6,473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6,267</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4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1,428</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(1,703)</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14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Customer deposits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661</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Dealer incentive liability</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r>
      <w:tr>
        <w:trPr>
          <w:trHeight w:val="209"/>
        </w:trPr>
        <w:tc>
          <w:tcPr>
            <w:tcW w:w="6060" w:type="dxa"/>
            <w:vAlign w:val="bottom"/>
          </w:tcPr>
          <w:p>
            <w:pPr>
              <w:ind w:left="320"/>
              <w:spacing w:after="0"/>
              <w:rPr>
                <w:sz w:val="20"/>
                <w:szCs w:val="20"/>
                <w:color w:val="auto"/>
              </w:rPr>
            </w:pPr>
            <w:r>
              <w:rPr>
                <w:rFonts w:ascii="Arial" w:cs="Arial" w:eastAsia="Arial" w:hAnsi="Arial"/>
                <w:sz w:val="18"/>
                <w:szCs w:val="18"/>
                <w:color w:val="auto"/>
              </w:rPr>
              <w:t>Net cash used in operating activities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(4,547)</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notes receivable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Notes receivable collections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consumer loans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r>
      <w:tr>
        <w:trPr>
          <w:trHeight w:val="216"/>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Collections from purchased consumer loans</w:t>
            </w:r>
          </w:p>
        </w:tc>
        <w:tc>
          <w:tcPr>
            <w:tcW w:w="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Borders>
              <w:bottom w:val="single" w:sz="8" w:color="CCEEFF"/>
            </w:tcBorders>
          </w:tcPr>
          <w:p>
            <w:pPr>
              <w:spacing w:after="0"/>
              <w:rPr>
                <w:sz w:val="18"/>
                <w:szCs w:val="18"/>
                <w:color w:val="auto"/>
              </w:rPr>
            </w:pPr>
          </w:p>
        </w:tc>
      </w:tr>
      <w:tr>
        <w:trPr>
          <w:trHeight w:val="209"/>
        </w:trPr>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Treasury stock purchase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CEEFF"/>
          </w:tcPr>
          <w:p>
            <w:pPr>
              <w:spacing w:after="0"/>
              <w:rPr>
                <w:sz w:val="18"/>
                <w:szCs w:val="18"/>
                <w:color w:val="auto"/>
              </w:rPr>
            </w:pPr>
          </w:p>
        </w:tc>
      </w:tr>
      <w:tr>
        <w:trPr>
          <w:trHeight w:val="216"/>
        </w:trPr>
        <w:tc>
          <w:tcPr>
            <w:tcW w:w="6060" w:type="dxa"/>
            <w:vAlign w:val="bottom"/>
          </w:tcPr>
          <w:p>
            <w:pPr>
              <w:ind w:left="100"/>
              <w:spacing w:after="0"/>
              <w:rPr>
                <w:sz w:val="20"/>
                <w:szCs w:val="20"/>
                <w:color w:val="auto"/>
              </w:rPr>
            </w:pPr>
            <w:r>
              <w:rPr>
                <w:rFonts w:ascii="Arial" w:cs="Arial" w:eastAsia="Arial" w:hAnsi="Arial"/>
                <w:sz w:val="18"/>
                <w:szCs w:val="18"/>
                <w:color w:val="auto"/>
              </w:rPr>
              <w:t>Escrow liability, net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lines of credit, net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18,430</w:t>
            </w:r>
          </w:p>
        </w:tc>
        <w:tc>
          <w:tcPr>
            <w:tcW w:w="140" w:type="dxa"/>
            <w:vAlign w:val="bottom"/>
            <w:shd w:val="clear" w:color="auto" w:fill="CCEEFF"/>
          </w:tcPr>
          <w:p>
            <w:pPr>
              <w:spacing w:after="0"/>
              <w:rPr>
                <w:sz w:val="18"/>
                <w:szCs w:val="18"/>
                <w:color w:val="auto"/>
              </w:rPr>
            </w:pPr>
          </w:p>
        </w:tc>
      </w:tr>
      <w:tr>
        <w:trPr>
          <w:trHeight w:val="216"/>
        </w:trPr>
        <w:tc>
          <w:tcPr>
            <w:tcW w:w="6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Payments on lines of credit</w:t>
            </w:r>
          </w:p>
        </w:tc>
        <w:tc>
          <w:tcPr>
            <w:tcW w:w="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(10,264)</w:t>
            </w:r>
          </w:p>
        </w:tc>
        <w:tc>
          <w:tcPr>
            <w:tcW w:w="140" w:type="dxa"/>
            <w:vAlign w:val="bottom"/>
            <w:tcBorders>
              <w:bottom w:val="single" w:sz="8" w:color="CCEEFF"/>
            </w:tcBorders>
          </w:tcPr>
          <w:p>
            <w:pPr>
              <w:spacing w:after="0"/>
              <w:rPr>
                <w:sz w:val="18"/>
                <w:szCs w:val="18"/>
                <w:color w:val="auto"/>
              </w:rPr>
            </w:pPr>
          </w:p>
        </w:tc>
      </w:tr>
      <w:tr>
        <w:trPr>
          <w:trHeight w:val="210"/>
        </w:trPr>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140" w:type="dxa"/>
            <w:vAlign w:val="bottom"/>
            <w:shd w:val="clear" w:color="auto" w:fill="CCEEFF"/>
          </w:tcPr>
          <w:p>
            <w:pPr>
              <w:spacing w:after="0"/>
              <w:rPr>
                <w:sz w:val="18"/>
                <w:szCs w:val="18"/>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1,993</w:t>
            </w:r>
          </w:p>
        </w:tc>
        <w:tc>
          <w:tcPr>
            <w:tcW w:w="14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40" w:type="dxa"/>
            <w:vAlign w:val="bottom"/>
            <w:shd w:val="clear" w:color="auto" w:fill="CCEEFF"/>
          </w:tcPr>
          <w:p>
            <w:pPr>
              <w:spacing w:after="0"/>
              <w:rPr>
                <w:sz w:val="18"/>
                <w:szCs w:val="18"/>
                <w:color w:val="auto"/>
              </w:rPr>
            </w:pPr>
          </w:p>
        </w:tc>
      </w:tr>
      <w:tr>
        <w:trPr>
          <w:trHeight w:val="250"/>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140" w:type="dxa"/>
            <w:vAlign w:val="bottom"/>
            <w:tcBorders>
              <w:bottom w:val="single" w:sz="8" w:color="CCEEFF"/>
            </w:tcBorders>
          </w:tcPr>
          <w:p>
            <w:pPr>
              <w:spacing w:after="0"/>
              <w:rPr>
                <w:sz w:val="21"/>
                <w:szCs w:val="21"/>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6"/>
        </w:trPr>
        <w:tc>
          <w:tcPr>
            <w:tcW w:w="60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7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206</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22"/>
                <w:szCs w:val="22"/>
                <w:color w:val="auto"/>
              </w:rPr>
            </w:pPr>
          </w:p>
        </w:tc>
      </w:tr>
      <w:tr>
        <w:trPr>
          <w:trHeight w:val="196"/>
        </w:trPr>
        <w:tc>
          <w:tcPr>
            <w:tcW w:w="60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paid for taxes</w:t>
            </w: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w w:val="99"/>
              </w:rPr>
              <w:t>Common Stock</w:t>
            </w:r>
          </w:p>
        </w:tc>
        <w:tc>
          <w:tcPr>
            <w:tcW w:w="2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10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76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stock</w:t>
            </w:r>
          </w:p>
        </w:tc>
        <w:tc>
          <w:tcPr>
            <w:tcW w:w="1080" w:type="dxa"/>
            <w:vAlign w:val="bottom"/>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94"/>
              </w:rPr>
              <w:t>paid-in-capital</w:t>
            </w:r>
          </w:p>
        </w:tc>
        <w:tc>
          <w:tcPr>
            <w:tcW w:w="60" w:type="dxa"/>
            <w:vAlign w:val="bottom"/>
          </w:tcPr>
          <w:p>
            <w:pPr>
              <w:spacing w:after="0"/>
              <w:rPr>
                <w:sz w:val="12"/>
                <w:szCs w:val="12"/>
                <w:color w:val="auto"/>
              </w:rPr>
            </w:pPr>
          </w:p>
        </w:tc>
        <w:tc>
          <w:tcPr>
            <w:tcW w:w="7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2019</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24,620,079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w:t>
            </w: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(3,060)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$ 50,357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$ 222,389</w:t>
            </w:r>
          </w:p>
        </w:tc>
        <w:tc>
          <w:tcPr>
            <w:tcW w:w="60" w:type="dxa"/>
            <w:vAlign w:val="bottom"/>
          </w:tcPr>
          <w:p>
            <w:pPr>
              <w:spacing w:after="0"/>
              <w:rPr>
                <w:sz w:val="18"/>
                <w:szCs w:val="18"/>
                <w:color w:val="auto"/>
              </w:rPr>
            </w:pPr>
          </w:p>
        </w:tc>
      </w:tr>
      <w:tr>
        <w:trPr>
          <w:trHeight w:val="182"/>
        </w:trPr>
        <w:tc>
          <w:tcPr>
            <w:tcW w:w="3780" w:type="dxa"/>
            <w:vAlign w:val="bottom"/>
          </w:tcPr>
          <w:p>
            <w:pPr>
              <w:ind w:left="100"/>
              <w:spacing w:after="0" w:line="182" w:lineRule="exact"/>
              <w:rPr>
                <w:sz w:val="20"/>
                <w:szCs w:val="20"/>
                <w:color w:val="auto"/>
              </w:rPr>
            </w:pPr>
            <w:r>
              <w:rPr>
                <w:rFonts w:ascii="Arial" w:cs="Arial" w:eastAsia="Arial" w:hAnsi="Arial"/>
                <w:sz w:val="18"/>
                <w:szCs w:val="18"/>
                <w:color w:val="auto"/>
                <w:w w:val="97"/>
              </w:rPr>
              <w:t>Share based compensation expense and stock</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3780" w:type="dxa"/>
            <w:vAlign w:val="bottom"/>
          </w:tcPr>
          <w:p>
            <w:pPr>
              <w:ind w:left="100"/>
              <w:spacing w:after="0"/>
              <w:rPr>
                <w:sz w:val="20"/>
                <w:szCs w:val="20"/>
                <w:color w:val="auto"/>
              </w:rPr>
            </w:pPr>
            <w:r>
              <w:rPr>
                <w:rFonts w:ascii="Arial" w:cs="Arial" w:eastAsia="Arial" w:hAnsi="Arial"/>
                <w:sz w:val="18"/>
                <w:szCs w:val="18"/>
                <w:color w:val="auto"/>
              </w:rPr>
              <w:t>units vested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17,143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0"/>
                <w:szCs w:val="20"/>
                <w:color w:val="auto"/>
              </w:rPr>
            </w:pP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treasury stock</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(682)</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60" w:type="dxa"/>
            <w:vAlign w:val="bottom"/>
          </w:tcPr>
          <w:p>
            <w:pPr>
              <w:spacing w:after="0"/>
              <w:rPr>
                <w:sz w:val="18"/>
                <w:szCs w:val="18"/>
                <w:color w:val="auto"/>
              </w:rPr>
            </w:pPr>
          </w:p>
        </w:tc>
      </w:tr>
      <w:tr>
        <w:trPr>
          <w:trHeight w:val="216"/>
        </w:trPr>
        <w:tc>
          <w:tcPr>
            <w:tcW w:w="37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9,025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9,025</w:t>
            </w:r>
          </w:p>
        </w:tc>
        <w:tc>
          <w:tcPr>
            <w:tcW w:w="60" w:type="dxa"/>
            <w:vAlign w:val="bottom"/>
          </w:tcPr>
          <w:p>
            <w:pPr>
              <w:spacing w:after="0"/>
              <w:rPr>
                <w:sz w:val="18"/>
                <w:szCs w:val="18"/>
                <w:color w:val="auto"/>
              </w:rPr>
            </w:pPr>
          </w:p>
        </w:tc>
      </w:tr>
      <w:tr>
        <w:trPr>
          <w:trHeight w:val="210"/>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March 31, 2020</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24,637,222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w:t>
            </w: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(3,742)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$ 59,382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$ 230,829</w:t>
            </w:r>
          </w:p>
        </w:tc>
        <w:tc>
          <w:tcPr>
            <w:tcW w:w="6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center"/>
              <w:ind w:right="21"/>
              <w:spacing w:after="0"/>
              <w:rPr>
                <w:sz w:val="20"/>
                <w:szCs w:val="20"/>
                <w:color w:val="auto"/>
              </w:rPr>
            </w:pPr>
            <w:r>
              <w:rPr>
                <w:rFonts w:ascii="Arial" w:cs="Arial" w:eastAsia="Arial" w:hAnsi="Arial"/>
                <w:sz w:val="14"/>
                <w:szCs w:val="14"/>
                <w:b w:val="1"/>
                <w:bCs w:val="1"/>
                <w:color w:val="auto"/>
                <w:w w:val="94"/>
              </w:rPr>
              <w:t>Treasury</w:t>
            </w: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24"/>
                <w:szCs w:val="2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3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6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stock</w:t>
            </w:r>
          </w:p>
        </w:tc>
        <w:tc>
          <w:tcPr>
            <w:tcW w:w="108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4"/>
              </w:rPr>
              <w:t>paid-in-capital</w:t>
            </w:r>
          </w:p>
        </w:tc>
        <w:tc>
          <w:tcPr>
            <w:tcW w:w="60" w:type="dxa"/>
            <w:vAlign w:val="bottom"/>
          </w:tcPr>
          <w:p>
            <w:pPr>
              <w:spacing w:after="0"/>
              <w:rPr>
                <w:sz w:val="12"/>
                <w:szCs w:val="12"/>
                <w:color w:val="auto"/>
              </w:rPr>
            </w:pPr>
          </w:p>
        </w:tc>
        <w:tc>
          <w:tcPr>
            <w:tcW w:w="7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2020</w:t>
            </w: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24,639,125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u w:val="single" w:color="auto"/>
                <w:color w:val="auto"/>
                <w:w w:val="90"/>
              </w:rPr>
              <w:t>(4,477)</w:t>
            </w:r>
            <w:r>
              <w:rPr>
                <w:rFonts w:ascii="Arial" w:cs="Arial" w:eastAsia="Arial" w:hAnsi="Arial"/>
                <w:sz w:val="18"/>
                <w:szCs w:val="18"/>
                <w:color w:val="auto"/>
                <w:w w:val="90"/>
              </w:rPr>
              <w:t>$</w:t>
            </w: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175,293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$ 88,352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$ 259,193</w:t>
            </w:r>
          </w:p>
        </w:tc>
      </w:tr>
      <w:tr>
        <w:trPr>
          <w:trHeight w:val="182"/>
        </w:trPr>
        <w:tc>
          <w:tcPr>
            <w:tcW w:w="3780" w:type="dxa"/>
            <w:vAlign w:val="bottom"/>
          </w:tcPr>
          <w:p>
            <w:pPr>
              <w:ind w:left="120"/>
              <w:spacing w:after="0" w:line="182" w:lineRule="exact"/>
              <w:rPr>
                <w:sz w:val="20"/>
                <w:szCs w:val="20"/>
                <w:color w:val="auto"/>
              </w:rPr>
            </w:pPr>
            <w:r>
              <w:rPr>
                <w:rFonts w:ascii="Arial" w:cs="Arial" w:eastAsia="Arial" w:hAnsi="Arial"/>
                <w:sz w:val="18"/>
                <w:szCs w:val="18"/>
                <w:color w:val="auto"/>
                <w:w w:val="97"/>
              </w:rPr>
              <w:t>Share based compensation expense and stock</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3780" w:type="dxa"/>
            <w:vAlign w:val="bottom"/>
          </w:tcPr>
          <w:p>
            <w:pPr>
              <w:ind w:left="120"/>
              <w:spacing w:after="0"/>
              <w:rPr>
                <w:sz w:val="20"/>
                <w:szCs w:val="20"/>
                <w:color w:val="auto"/>
              </w:rPr>
            </w:pPr>
            <w:r>
              <w:rPr>
                <w:rFonts w:ascii="Arial" w:cs="Arial" w:eastAsia="Arial" w:hAnsi="Arial"/>
                <w:sz w:val="18"/>
                <w:szCs w:val="18"/>
                <w:color w:val="auto"/>
              </w:rPr>
              <w:t>units vested</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8,571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3"/>
          </w:tcPr>
          <w:p>
            <w:pPr>
              <w:jc w:val="right"/>
              <w:ind w:right="81"/>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9,024</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9,024</w:t>
            </w:r>
          </w:p>
        </w:tc>
      </w:tr>
      <w:tr>
        <w:trPr>
          <w:trHeight w:val="210"/>
        </w:trPr>
        <w:tc>
          <w:tcPr>
            <w:tcW w:w="3780" w:type="dxa"/>
            <w:vAlign w:val="bottom"/>
          </w:tcPr>
          <w:p>
            <w:pPr>
              <w:ind w:left="20"/>
              <w:spacing w:after="0"/>
              <w:rPr>
                <w:sz w:val="20"/>
                <w:szCs w:val="20"/>
                <w:color w:val="auto"/>
              </w:rPr>
            </w:pPr>
            <w:r>
              <w:rPr>
                <w:rFonts w:ascii="Arial" w:cs="Arial" w:eastAsia="Arial" w:hAnsi="Arial"/>
                <w:sz w:val="18"/>
                <w:szCs w:val="18"/>
                <w:color w:val="auto"/>
              </w:rPr>
              <w:t>Balances, March 31, 2021</w:t>
            </w:r>
          </w:p>
        </w:tc>
        <w:tc>
          <w:tcPr>
            <w:tcW w:w="6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3"/>
              </w:rPr>
              <w:t>24,647,696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u w:val="single" w:color="auto"/>
                <w:color w:val="auto"/>
                <w:w w:val="90"/>
              </w:rPr>
              <w:t>(4,477)</w:t>
            </w:r>
            <w:r>
              <w:rPr>
                <w:rFonts w:ascii="Arial" w:cs="Arial" w:eastAsia="Arial" w:hAnsi="Arial"/>
                <w:sz w:val="18"/>
                <w:szCs w:val="18"/>
                <w:color w:val="auto"/>
                <w:w w:val="90"/>
              </w:rPr>
              <w:t>$</w:t>
            </w: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175,337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88"/>
              </w:rPr>
              <w:t>$ 97,376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2"/>
              </w:rPr>
              <w:t>$ 268,261</w:t>
            </w:r>
          </w:p>
        </w:tc>
      </w:tr>
      <w:tr>
        <w:trPr>
          <w:trHeight w:val="20"/>
        </w:trPr>
        <w:tc>
          <w:tcPr>
            <w:tcW w:w="3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2021 AND 2020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OPERATIONS</w:t>
      </w:r>
    </w:p>
    <w:p>
      <w:pPr>
        <w:spacing w:after="0" w:line="229" w:lineRule="exact"/>
        <w:rPr>
          <w:sz w:val="20"/>
          <w:szCs w:val="20"/>
          <w:color w:val="auto"/>
        </w:rPr>
      </w:pPr>
    </w:p>
    <w:p>
      <w:pPr>
        <w:ind w:left="60" w:right="119" w:firstLine="713"/>
        <w:spacing w:after="0" w:line="259" w:lineRule="auto"/>
        <w:rPr>
          <w:sz w:val="20"/>
          <w:szCs w:val="20"/>
          <w:color w:val="auto"/>
        </w:rPr>
      </w:pPr>
      <w:r>
        <w:rPr>
          <w:rFonts w:ascii="Arial" w:cs="Arial" w:eastAsia="Arial" w:hAnsi="Arial"/>
          <w:sz w:val="18"/>
          <w:szCs w:val="18"/>
          <w:color w:val="auto"/>
        </w:rPr>
        <w:t>Legacy Housing Corporation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w:t>
      </w:r>
    </w:p>
    <w:p>
      <w:pPr>
        <w:spacing w:after="0" w:line="146" w:lineRule="exact"/>
        <w:rPr>
          <w:sz w:val="20"/>
          <w:szCs w:val="20"/>
          <w:color w:val="auto"/>
        </w:rPr>
      </w:pPr>
    </w:p>
    <w:p>
      <w:pPr>
        <w:ind w:left="60" w:right="79" w:firstLine="713"/>
        <w:spacing w:after="0" w:line="275" w:lineRule="auto"/>
        <w:rPr>
          <w:sz w:val="20"/>
          <w:szCs w:val="20"/>
          <w:color w:val="auto"/>
        </w:rPr>
      </w:pPr>
      <w:r>
        <w:rPr>
          <w:rFonts w:ascii="Arial" w:cs="Arial" w:eastAsia="Arial" w:hAnsi="Arial"/>
          <w:sz w:val="17"/>
          <w:szCs w:val="17"/>
          <w:color w:val="auto"/>
        </w:rPr>
        <w:t>The Company (1) manufactures and provides for the transport of mobile homes, (2) provides wholesale financing to dealers and mobile home parks, (3) provides retail financing to consumers and (4) is involved in financing and developing new manufactured home communities. The Company manufactures its mobile homes at plants located in Fort Worth, Texas, Commerce, Texas and Eatonton, Georgia. The Company relies on a network of dealers to market and sell its mobile homes. The Company also sells homes directly to dealers and mobile home parks.</w:t>
      </w:r>
    </w:p>
    <w:p>
      <w:pPr>
        <w:spacing w:after="0" w:line="149" w:lineRule="exact"/>
        <w:rPr>
          <w:sz w:val="20"/>
          <w:szCs w:val="20"/>
          <w:color w:val="auto"/>
        </w:rPr>
      </w:pPr>
    </w:p>
    <w:p>
      <w:pPr>
        <w:ind w:left="60" w:right="119" w:firstLine="713"/>
        <w:spacing w:after="0" w:line="257" w:lineRule="auto"/>
        <w:rPr>
          <w:sz w:val="20"/>
          <w:szCs w:val="20"/>
          <w:color w:val="auto"/>
        </w:rPr>
      </w:pPr>
      <w:r>
        <w:rPr>
          <w:rFonts w:ascii="Arial" w:cs="Arial" w:eastAsia="Arial" w:hAnsi="Arial"/>
          <w:sz w:val="18"/>
          <w:szCs w:val="18"/>
          <w:color w:val="auto"/>
        </w:rPr>
        <w:t>In December 2018, the Company sold 4,000,000 shares of its common stock through an initial public offering (“IPO”) at $12.00 per share. Proceeds from the IPO, net of $4,504 of underwriting discounts and offering expenses paid by the Company, were $43,492. In January 2019, the Company sold an additional 600,000 shares of its common stock as part of the IPO at $12.00 per share. Proceeds from the January 2019 issuance, net of $505 of underwriting discounts and offering expenses paid by the Company, were $6,695.</w:t>
      </w:r>
    </w:p>
    <w:p>
      <w:pPr>
        <w:spacing w:after="0" w:line="147" w:lineRule="exact"/>
        <w:rPr>
          <w:sz w:val="20"/>
          <w:szCs w:val="20"/>
          <w:color w:val="auto"/>
        </w:rPr>
      </w:pPr>
    </w:p>
    <w:p>
      <w:pPr>
        <w:ind w:left="60" w:right="99" w:firstLine="713"/>
        <w:spacing w:after="0" w:line="271" w:lineRule="auto"/>
        <w:rPr>
          <w:sz w:val="20"/>
          <w:szCs w:val="20"/>
          <w:color w:val="auto"/>
        </w:rPr>
      </w:pPr>
      <w:r>
        <w:rPr>
          <w:rFonts w:ascii="Arial" w:cs="Arial" w:eastAsia="Arial" w:hAnsi="Arial"/>
          <w:sz w:val="17"/>
          <w:szCs w:val="17"/>
          <w:color w:val="auto"/>
        </w:rPr>
        <w:t>On April 17, 2019, the Company purchased 300,000 shares of its common stock at the price of $10.20 per share, pursuant to the Company’s repurchase program. During the year ended December 31, 2020, the Company purchased 145,065 shares of its common stock at an average price of $9.77 per share, pursuant to the Company’s repurchase program. Under the repurchase program, the Company may purchase up to $10,000 of its common stock. Share purchases may be made from time to time in the open market or through privately negotiated transactions depending on market conditions, share price, trading volume and other factors. Such purchases, if any, will be made in accordance with applicable insider trading and other securities laws and regulations. These repurchases may be commenced or suspended at any time or from time to time without prior notice.</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Conversion</w:t>
      </w:r>
    </w:p>
    <w:p>
      <w:pPr>
        <w:spacing w:after="0" w:line="202" w:lineRule="exact"/>
        <w:rPr>
          <w:sz w:val="20"/>
          <w:szCs w:val="20"/>
          <w:color w:val="auto"/>
        </w:rPr>
      </w:pPr>
    </w:p>
    <w:p>
      <w:pPr>
        <w:ind w:left="60" w:right="99" w:firstLine="713"/>
        <w:spacing w:after="0" w:line="296" w:lineRule="auto"/>
        <w:rPr>
          <w:sz w:val="20"/>
          <w:szCs w:val="20"/>
          <w:color w:val="auto"/>
        </w:rPr>
      </w:pPr>
      <w:r>
        <w:rPr>
          <w:rFonts w:ascii="Arial" w:cs="Arial" w:eastAsia="Arial" w:hAnsi="Arial"/>
          <w:sz w:val="16"/>
          <w:szCs w:val="16"/>
          <w:color w:val="auto"/>
        </w:rPr>
        <w:t>Effective January 1, 2018, the Partnership converted into a Delaware corporation pursuant to a statutory conversion and changed its name to Legacy Housing Corporation. In order to consummate the corporate conversion completed on January 1, 2018, a certificate of conversion was filed with the Secretary of State of the State of Delaware and with the Secretary of State of the State of Texas. Holders of partnership interests in Legacy Housing, Ltd. received an initial allocation, on a proportional basis, of 20,000,000 shares of common stock of Legacy Housing Corporation.</w:t>
      </w:r>
    </w:p>
    <w:p>
      <w:pPr>
        <w:spacing w:after="0" w:line="121"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7"/>
          <w:szCs w:val="17"/>
          <w:color w:val="auto"/>
        </w:rPr>
        <w:t>Following the corporate conversion, Legacy Housing Corporation continues to hold all property and assets of Legacy Housing, Ltd. and all of the debts and obligations of Legacy Housing, Ltd. On the effective date of the corporate conversion, the officers of Legacy Housing, Ltd. became the officers of Legacy Housing Corporation. As a result of the corporate conversion, the Company is now a federal corporate taxpayer.</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accompanying unaudited interim condensed financial statements as of March 31, 2021 and for the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three months ended March 31, 2021 and 2020, respectively, have been prepared in accordance with accounting principles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generally accepted in the United States of America ("GAAP") for interim financial information and pursuant to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rules and regulations of the U.S. Securities and Exchange Commission ("SEC") as required by Regulation S-X, Rule 8-03.</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the opinion of management, the unaudited interim financial statements have been prepared on the same basis as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audited financial statements, and include all adjustments, consisting only of normal recurring adjustments, necessary for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fair statement of the Company's financial position for the periods presented. The results for the three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2021 AND 2020 (dollars in thousands)</w:t>
      </w:r>
    </w:p>
    <w:p>
      <w:pPr>
        <w:spacing w:after="0" w:line="200" w:lineRule="exact"/>
        <w:rPr>
          <w:sz w:val="20"/>
          <w:szCs w:val="20"/>
          <w:color w:val="auto"/>
        </w:rPr>
      </w:pPr>
    </w:p>
    <w:p>
      <w:pPr>
        <w:spacing w:after="0" w:line="271"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months ended March 31, 2021 are not necessarily indicative of the results to be expected for the year ending December 31, 2021, or any other period. The accompanying balance sheet as of December 31, 2020 was derived from audited financial statements included in the Company's annual report on Form 10-K for the year ended December 31, 2020 (the "Form 10-K"). The accompanying financial statements do not include all of the information and footnotes required by GAAP for annual financial statements. Accordingly, they should be read in conjunction with the audited financial statements and notes thereto included in the Form 10-K.</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Material estimates that are susceptible to significant change in the near term primarily relate to the determination of accounts receivable, loans to mobile home parks, consumer loans and notes receivable, inventory obsolescence, income taxes, fair value of financial instruments and contingent liabilities. Actual results could differ from these estimates.</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i w:val="1"/>
          <w:iCs w:val="1"/>
          <w:color w:val="auto"/>
        </w:rPr>
        <w:t xml:space="preserve">Product sales </w:t>
      </w:r>
      <w:r>
        <w:rPr>
          <w:rFonts w:ascii="Arial" w:cs="Arial" w:eastAsia="Arial" w:hAnsi="Arial"/>
          <w:sz w:val="17"/>
          <w:szCs w:val="17"/>
          <w:color w:val="auto"/>
        </w:rPr>
        <w:t>primarily consist of sales of mobile homes to consumers and mobile home parks through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sales channels, which include Direct Sales, Commercial Sales, Consignment Sales, and Retail Store Sales. Direct Sales include homes sold directly to independent retailers or customers that are not financed by the Company and are not sold under a consignment arrangement. These types of homes are generally paid for prior to shipment. Commercial Sales include homes sold to mobile home parks under commercial loan programs or paid for upfront. The Company provides floor plan financing for independent retailers, which takes the form of a consignment arrangement. Consignment Sales are considered sales of consigned homes from independent dealers to individual customers. Retail Store Sales are homes sold through Company-owned retail locations. Consignment Sales and Retail Sales of homes may be financed by the Company, by a third party, or in paid in cash.</w:t>
      </w:r>
    </w:p>
    <w:p>
      <w:pPr>
        <w:spacing w:after="0" w:line="181"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Revenue from product sales is recognized at a point in time when the performance obligation under the terms of a contract with our customers is satisfied which typically occurs upon delivery and transfer of title of the home, as this depicts when control of the promised good is transferred to our customers. For financed sales by the Company, the individual customer enters into a sales and financing contract and is required to make a down payment. These financed sales contain a significant financing component and any interest income is separately recorded in the statement of operations.</w:t>
      </w:r>
    </w:p>
    <w:p>
      <w:pPr>
        <w:spacing w:after="0" w:line="192"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Revenue is measured as the amount of consideration expected to be received in exchange for transferring the homes to the customers. Sales and other similar taxes collected concurrently with revenue-producing activities are excluded from revenue.</w:t>
      </w:r>
    </w:p>
    <w:p>
      <w:pPr>
        <w:spacing w:after="0" w:line="13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20" w:right="160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2021 AND 2020 (dollars in thousands)</w:t>
      </w:r>
    </w:p>
    <w:p>
      <w:pPr>
        <w:spacing w:after="0" w:line="200" w:lineRule="exact"/>
        <w:rPr>
          <w:sz w:val="20"/>
          <w:szCs w:val="20"/>
          <w:color w:val="auto"/>
        </w:rPr>
      </w:pPr>
    </w:p>
    <w:p>
      <w:pPr>
        <w:spacing w:after="0" w:line="271" w:lineRule="exact"/>
        <w:rPr>
          <w:sz w:val="20"/>
          <w:szCs w:val="20"/>
          <w:color w:val="auto"/>
        </w:rPr>
      </w:pPr>
    </w:p>
    <w:p>
      <w:pPr>
        <w:ind w:left="60" w:right="679" w:firstLine="648"/>
        <w:spacing w:after="0" w:line="277" w:lineRule="auto"/>
        <w:rPr>
          <w:sz w:val="20"/>
          <w:szCs w:val="20"/>
          <w:color w:val="auto"/>
        </w:rPr>
      </w:pPr>
      <w:r>
        <w:rPr>
          <w:rFonts w:ascii="Arial" w:cs="Arial" w:eastAsia="Arial" w:hAnsi="Arial"/>
          <w:sz w:val="18"/>
          <w:szCs w:val="18"/>
          <w:color w:val="auto"/>
        </w:rPr>
        <w:t>For the three months ended March 31, 2021 and 2020, sales to an independent third-party and its affiliates accounted for $2,664 or 8.3% and $11,986 or 37.2% of our product sales, respectively.</w:t>
      </w:r>
    </w:p>
    <w:p>
      <w:pPr>
        <w:spacing w:after="0" w:line="116"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For the three months ended March 31, 2021 and 2020, total cost of product sales included $2,182 and $4,907 of costs, mainly relating to up front dealer commission and reimbursed dealer expenses for consignment sales and certain other similar costs incurred for retail store and commercial sales.</w:t>
      </w:r>
    </w:p>
    <w:p>
      <w:pPr>
        <w:spacing w:after="0" w:line="130"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consists of consignment fees, commercial lease rents, service fees and other miscellaneous income.</w:t>
      </w:r>
      <w:r>
        <w:rPr>
          <w:rFonts w:ascii="Arial" w:cs="Arial" w:eastAsia="Arial" w:hAnsi="Arial"/>
          <w:sz w:val="17"/>
          <w:szCs w:val="17"/>
          <w:i w:val="1"/>
          <w:iCs w:val="1"/>
          <w:color w:val="auto"/>
        </w:rPr>
        <w:t xml:space="preserve"> </w:t>
      </w:r>
      <w:r>
        <w:rPr>
          <w:rFonts w:ascii="Arial" w:cs="Arial" w:eastAsia="Arial" w:hAnsi="Arial"/>
          <w:sz w:val="17"/>
          <w:szCs w:val="17"/>
          <w:color w:val="auto"/>
        </w:rPr>
        <w:t>Consignment fees are 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are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commercial leases is recognized as earned monthly over a contractual period of 96 or 120 months. Revenue for service fees and miscellaneous income is recognized at a point in time when the performance obligation is satisfied.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20" w:right="160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2021 AND 2020 (dollars in thousands)</w:t>
      </w:r>
    </w:p>
    <w:p>
      <w:pPr>
        <w:spacing w:after="0" w:line="200" w:lineRule="exact"/>
        <w:rPr>
          <w:sz w:val="20"/>
          <w:szCs w:val="20"/>
          <w:color w:val="auto"/>
        </w:rPr>
      </w:pPr>
    </w:p>
    <w:p>
      <w:pPr>
        <w:spacing w:after="0" w:line="271"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i w:val="1"/>
          <w:iCs w:val="1"/>
          <w:color w:val="auto"/>
        </w:rPr>
        <w:t>Disaggregation of Revenue</w:t>
      </w:r>
      <w:r>
        <w:rPr>
          <w:rFonts w:ascii="Arial" w:cs="Arial" w:eastAsia="Arial" w:hAnsi="Arial"/>
          <w:sz w:val="18"/>
          <w:szCs w:val="18"/>
          <w:color w:val="auto"/>
        </w:rPr>
        <w:t>. The following table summarizes customer contract revenues disaggregated by source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revenue for the three months ended March 31, 2021 and 2020:</w:t>
      </w:r>
    </w:p>
    <w:p>
      <w:pPr>
        <w:spacing w:after="0" w:line="202"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w:t>
            </w:r>
          </w:p>
        </w:tc>
      </w:tr>
      <w:tr>
        <w:trPr>
          <w:trHeight w:val="201"/>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4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Direct sales</w:t>
            </w:r>
          </w:p>
        </w:tc>
        <w:tc>
          <w:tcPr>
            <w:tcW w:w="12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3,422</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2,225</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sales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15,791</w:t>
            </w: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Consignment sales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10,599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8,840</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Retail store sales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(1)</w:t>
            </w:r>
          </w:p>
        </w:tc>
        <w:tc>
          <w:tcPr>
            <w:tcW w:w="10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product sales</w:t>
            </w:r>
          </w:p>
        </w:tc>
        <w:tc>
          <w:tcPr>
            <w:tcW w:w="10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32,274</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31,195</w:t>
            </w: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Consumer and MHP loans interest: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 consumer installment notes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 MHP notes</w:t>
            </w:r>
          </w:p>
        </w:tc>
        <w:tc>
          <w:tcPr>
            <w:tcW w:w="10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and MHP loans interest</w:t>
            </w:r>
          </w:p>
        </w:tc>
        <w:tc>
          <w:tcPr>
            <w:tcW w:w="10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6,424</w:t>
            </w:r>
          </w:p>
        </w:tc>
      </w:tr>
      <w:tr>
        <w:trPr>
          <w:trHeight w:val="209"/>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0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39,940</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38,273</w:t>
            </w: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(1) Other product sales revenue from ancillary products and services including parts, freight and other services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Share-Based Compensation</w:t>
      </w:r>
    </w:p>
    <w:p>
      <w:pPr>
        <w:spacing w:after="0" w:line="18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 xml:space="preserve">The Company accounts for share-based compensation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Share-based compensation expense is recognized based on the award’s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 in order to recognize compensation cost for those shares expected to vest. The Company has elected to record forfeitures as they occur. Compensation cost is recognized on a straight-line basis over the vesting period of the awards and adjusted as forfeitures occur.</w:t>
      </w:r>
    </w:p>
    <w:p>
      <w:pPr>
        <w:spacing w:after="0" w:line="161" w:lineRule="exact"/>
        <w:rPr>
          <w:sz w:val="20"/>
          <w:szCs w:val="20"/>
          <w:color w:val="auto"/>
        </w:rPr>
      </w:pPr>
    </w:p>
    <w:p>
      <w:pPr>
        <w:jc w:val="both"/>
        <w:ind w:left="60" w:right="599" w:firstLine="648"/>
        <w:spacing w:after="0" w:line="263" w:lineRule="auto"/>
        <w:rPr>
          <w:sz w:val="20"/>
          <w:szCs w:val="20"/>
          <w:color w:val="auto"/>
        </w:rPr>
      </w:pPr>
      <w:r>
        <w:rPr>
          <w:rFonts w:ascii="Arial" w:cs="Arial" w:eastAsia="Arial" w:hAnsi="Arial"/>
          <w:sz w:val="18"/>
          <w:szCs w:val="18"/>
          <w:color w:val="auto"/>
        </w:rPr>
        <w:t>The fair value of each option grant with only service-based conditions is estimated using the Black-Scholes pricing model. The fair value of each restricted stock unit (the”RSU”) is calculated based on the closing price of the Company’s common stock on the grant date.</w:t>
      </w:r>
    </w:p>
    <w:p>
      <w:pPr>
        <w:spacing w:after="0" w:line="143"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As a recently formed public entity with a small public float and limited trading of its common shares on the NASDAQ Global Market, it was not practicable for the Company to estimate the volatility of its common shares; therefore, management estimated volatility based on the historical volatilities of a small group of companies considered as close to comparable to the Company as available, all equally weighted, over the expected life of the option. Management concluded that this group is more characteristic of the Company’s business than a broad industry index. The expected life of awards granted represents the period of time that the awards are expected to be outstanding based on the “simplified” method, which is allowed for companies that cannot reasonably estimate the expected life of options based on its historical award exercise experience. The Company does not expect to pay dividends on its common stock.</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2021 AND 2020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18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Included in accounts receivable are receivables from direct sales of mobile homes and sales of parts and supplies to customers, consignment fees and interest receivables.</w:t>
      </w:r>
    </w:p>
    <w:p>
      <w:pPr>
        <w:spacing w:after="0" w:line="143"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Accounts receivables are generally due within 30 days and are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At March 31, 2021 and December 31, 2020, the allowance for doubtful accounts totaled $111 and $97, respectively.</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Leased Property</w:t>
      </w:r>
    </w:p>
    <w:p>
      <w:pPr>
        <w:spacing w:after="0" w:line="189"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Company offers mobile home park operators the opportunity to lease mobile homes for rent in lieu of purchasing the homes for cash or under a longer-term financing agreement. In this arrangement title for the mobile homes remains with the Company.</w:t>
      </w:r>
    </w:p>
    <w:p>
      <w:pPr>
        <w:spacing w:after="0" w:line="76"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The standard lease agreement is typically for 96 months or 120 months. Under the lease arrangement, the lessee (mobile home park operator) uses the mobile homes as personal property to be rented as a residence at the lessee's mobile home park. The lessee makes monthly, periodic lease payments to the Company over the term of the lease. The lessee is responsible for maintaining the homes during the term of the lease. The lessee is also responsible for repairing all damages caused by force majeure events even in cases of total or partial loss of the property. At the end of the lease term or in the event of default, the lessee is required to deliver to the Company the homes with all improvements in good repair and condition in substantially the same condition as existed at the commencement of the lease. The lessee may terminate the lease with 30 days written notice to the Company and pay a lease termination fee of either 10% of the remaining lease payments or six month’s rent, whichever is greater. The lessee has an option to purchase the homes at the end of the lease term for fair market value based on an agreed upon determination of fair market value by both parties for example comparable sales, recent appraisal, or NADA official guidance. The lessee must provide the Company with 30 days written notice prior to expiration of the lease of intent to purchase the property for fair market value. The lease also includes a renewal option whereby the lessee has the option to extend the lease for an additional 48 months (the extended term) at the same terms and conditions as the original lease. The lessee must notify the Company of the intent to exercise the renewal extension option not less than six months prior to expiration of the lease term. The leased mobile homes are included in other assets on the Company’s balance sheet, capitalized at manufactured cost and depreciated over a 15 year useful life. Homes returned to the Company upon expiration of the lease or in the event of default will be sold by the Company through its standard sales and distribution channels.</w:t>
      </w:r>
    </w:p>
    <w:p>
      <w:pPr>
        <w:spacing w:after="0" w:line="63"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Future minimum lease income under all non-cancelable operating leases for each of the next five years at March 31, 2021, are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2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2022</w:t>
            </w:r>
          </w:p>
        </w:tc>
        <w:tc>
          <w:tcPr>
            <w:tcW w:w="3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2024</w:t>
            </w:r>
          </w:p>
        </w:tc>
        <w:tc>
          <w:tcPr>
            <w:tcW w:w="3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9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100" w:type="dxa"/>
            <w:vAlign w:val="bottom"/>
            <w:tcBorders>
              <w:bottom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Total</w:t>
            </w:r>
          </w:p>
        </w:tc>
        <w:tc>
          <w:tcPr>
            <w:tcW w:w="39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960" w:type="dxa"/>
            <w:vAlign w:val="bottom"/>
            <w:vMerge w:val="restart"/>
          </w:tcPr>
          <w:p>
            <w:pPr>
              <w:jc w:val="right"/>
              <w:ind w:right="2330"/>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2021 AND 2020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Company has elected to use longer phase-in periods for the adoption of new or revised financial accounting standards under the JOBS Act as an emerging growth company.</w:t>
      </w:r>
    </w:p>
    <w:p>
      <w:pPr>
        <w:spacing w:after="0" w:line="143"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to increase transparency and comparability among organizations by recognizing lease assets and lease liabilities on the balance sheet and disclosing key information about leasing arrangements. A lessee should recognize in the balance sheet a liability to make lease payments (the lease liability) and an asset representing its right to use the underlying asset for the lease term. The recognition, measurement and presentation of expenses and cash flows arising from a lease by a lessee have not significantly changed from previous requirements. The Company plans to use longer phase-in period for adoption and accordingly this ASU is effective for the Company’s fiscal year beginning January 1, 2022. Modified retrospective application and early adoption is permitted. The Company expects that the adoption of this standard will result in a material increase to assets and liabilities on the balance sheet but will not have a material impact on the statement of operations. While the Company is continuing to assess all the effects of adoption, it currently believes the most significant effects relate to (i) the recognition of new right-of-use assets and lease liabilities on its balance sheet for its property and equipment operating leases and (ii) providing significant new disclosures about its leasing activities.</w:t>
      </w:r>
    </w:p>
    <w:p>
      <w:pPr>
        <w:spacing w:after="0" w:line="127"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 xml:space="preserve">In June 2016, the FASB issued an accounting standards update ASU 2016-13 </w:t>
      </w:r>
      <w:r>
        <w:rPr>
          <w:rFonts w:ascii="Arial" w:cs="Arial" w:eastAsia="Arial" w:hAnsi="Arial"/>
          <w:sz w:val="16"/>
          <w:szCs w:val="16"/>
          <w:i w:val="1"/>
          <w:iCs w:val="1"/>
          <w:color w:val="auto"/>
        </w:rPr>
        <w:t>Financial Instruments—Credit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(Topic 326): Measurement of Credit Losses on Financial Instruments</w:t>
      </w:r>
      <w:r>
        <w:rPr>
          <w:rFonts w:ascii="Arial" w:cs="Arial" w:eastAsia="Arial" w:hAnsi="Arial"/>
          <w:sz w:val="16"/>
          <w:szCs w:val="16"/>
          <w:color w:val="auto"/>
        </w:rPr>
        <w:t>, which amends guidance on reporting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losses for assets held at amortized cost 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and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plans to use longer phase-in period for adoption and accordingly this ASU is effective for the Company’s fiscal year beginning January 1, 2023. The Company is continuing to evaluate the impact of the adoption of this ASU and is uncertain of the impact on the financial statements and disclosures at this point in time.</w:t>
      </w:r>
    </w:p>
    <w:p>
      <w:pPr>
        <w:spacing w:after="0" w:line="130"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CONSUMER LOANS RECEIVABLE</w:t>
      </w:r>
    </w:p>
    <w:p>
      <w:pPr>
        <w:spacing w:after="0" w:line="202" w:lineRule="exact"/>
        <w:rPr>
          <w:sz w:val="20"/>
          <w:szCs w:val="20"/>
          <w:color w:val="auto"/>
        </w:rPr>
      </w:pPr>
    </w:p>
    <w:p>
      <w:pPr>
        <w:jc w:val="both"/>
        <w:ind w:left="60" w:right="79" w:firstLine="648"/>
        <w:spacing w:after="0" w:line="296" w:lineRule="auto"/>
        <w:rPr>
          <w:sz w:val="20"/>
          <w:szCs w:val="20"/>
          <w:color w:val="auto"/>
        </w:rPr>
      </w:pPr>
      <w:r>
        <w:rPr>
          <w:rFonts w:ascii="Arial" w:cs="Arial" w:eastAsia="Arial" w:hAnsi="Arial"/>
          <w:sz w:val="16"/>
          <w:szCs w:val="16"/>
          <w:color w:val="auto"/>
        </w:rPr>
        <w:t>Consumer loans receivable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13.7% as of March 31, 2021 and 13.8% as of December 31, 2020. Consumer loans receivable have maturities that range from 3 to 30 years.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00" w:right="162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2021 AND 2020 (dollars in thousands)</w:t>
      </w:r>
    </w:p>
    <w:p>
      <w:pPr>
        <w:spacing w:after="0" w:line="200" w:lineRule="exact"/>
        <w:rPr>
          <w:sz w:val="20"/>
          <w:szCs w:val="20"/>
          <w:color w:val="auto"/>
        </w:rPr>
      </w:pPr>
    </w:p>
    <w:p>
      <w:pPr>
        <w:spacing w:after="0" w:line="271"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Loan applications go through an underwriting process that considers credit history to evaluate credit risk of the consumer. Interest rates on approved loans are determined based on consumer credit score, payment ability and down payment amount.</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uses payment history to monitor the credit quality of the consumer loans on an ongoing basis.</w:t>
      </w:r>
    </w:p>
    <w:p>
      <w:pPr>
        <w:spacing w:after="0" w:line="210" w:lineRule="exact"/>
        <w:rPr>
          <w:sz w:val="20"/>
          <w:szCs w:val="20"/>
          <w:color w:val="auto"/>
        </w:rPr>
      </w:pPr>
    </w:p>
    <w:p>
      <w:pPr>
        <w:ind w:left="60" w:right="219" w:firstLine="648"/>
        <w:spacing w:after="0" w:line="286" w:lineRule="auto"/>
        <w:rPr>
          <w:sz w:val="20"/>
          <w:szCs w:val="20"/>
          <w:color w:val="auto"/>
        </w:rPr>
      </w:pPr>
      <w:r>
        <w:rPr>
          <w:rFonts w:ascii="Arial" w:cs="Arial" w:eastAsia="Arial" w:hAnsi="Arial"/>
          <w:sz w:val="17"/>
          <w:szCs w:val="17"/>
          <w:color w:val="auto"/>
        </w:rPr>
        <w:t>The Company may also receive escrow payments for property taxes and insurance included in its consumer loan collections. The liabilities associated with these escrow collections totaled $8,015 and $7,729 as of March 31, 2021 and December 31, 2020, respectively, and are included in escrow liability in the balance sheets.</w:t>
      </w:r>
    </w:p>
    <w:p>
      <w:pPr>
        <w:spacing w:after="0" w:line="1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Allowance for Loan Losses—Consumer Loans Receivable</w:t>
      </w:r>
    </w:p>
    <w:p>
      <w:pPr>
        <w:spacing w:after="0" w:line="18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spacing w:after="0" w:line="130"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 allowance for loan losses is comprised of two components: the general reserve and specific reserves. The Company’s calculation of the general reserve considers the historical loss rate for the last three years, adjusted for the estimated loss discovery period and any qualitative factors both internal and external to the Company. Specific reserves are determined based on probable losses on specific classified impaired loans.</w:t>
      </w:r>
    </w:p>
    <w:p>
      <w:pPr>
        <w:spacing w:after="0" w:line="131"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6"/>
          <w:szCs w:val="16"/>
          <w:color w:val="auto"/>
        </w:rPr>
        <w:t>The Company’s policy is to place a loan on nonaccrual status when there is a clear indication that the borrower’s cash flow may not be sufficient to meet payments as they become due, which is normally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spacing w:after="0" w:line="126"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Impaired loans are those loans where it is probable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uses various factors to determine the value of the underlying collateral for impaired loans. These factors are:</w:t>
      </w:r>
    </w:p>
    <w:p>
      <w:pPr>
        <w:spacing w:after="0" w:line="4" w:lineRule="exact"/>
        <w:rPr>
          <w:sz w:val="20"/>
          <w:szCs w:val="20"/>
          <w:color w:val="auto"/>
        </w:rPr>
      </w:pPr>
    </w:p>
    <w:p>
      <w:pPr>
        <w:ind w:left="60" w:right="79" w:hanging="10"/>
        <w:spacing w:after="0" w:line="253"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length of time the unit was unsold after construction; (2) the amount of time the house was occupied; (3) the cooperation level of the borrowers, i.e., loans requiring legal action or extensive field collection efforts; (4) units located on private property as opposed to a manufactured home park; (5) the length of time the borrower has lived in the house without making payments; (6) location, size, and market conditions; and (7) the experience and expertise of the particular dealer assisting in collection efforts.</w:t>
      </w:r>
    </w:p>
    <w:p>
      <w:pPr>
        <w:spacing w:after="0" w:line="164"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Collateral for repossessed loans is acquired through foreclosure or similar proceedings and is recorded at the estimated fair value of the home, less the costs to sell. At repossession, the fair value of the collateral is computed based on the historical recovery rates of previously charged-off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2021 AND 2020 (dollars in thousands)</w:t>
      </w:r>
    </w:p>
    <w:p>
      <w:pPr>
        <w:spacing w:after="0" w:line="200" w:lineRule="exact"/>
        <w:rPr>
          <w:sz w:val="20"/>
          <w:szCs w:val="20"/>
          <w:color w:val="auto"/>
        </w:rPr>
      </w:pPr>
    </w:p>
    <w:p>
      <w:pPr>
        <w:spacing w:after="0" w:line="271"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Repossessed homes totaled $751 and $1,395 as of March 31, 2021 and December 31, 2020, respectively, and are included in other assets in the balance sheets.</w:t>
      </w:r>
    </w:p>
    <w:p>
      <w:pPr>
        <w:spacing w:after="0" w:line="130" w:lineRule="exact"/>
        <w:rPr>
          <w:sz w:val="20"/>
          <w:szCs w:val="20"/>
          <w:color w:val="auto"/>
        </w:rPr>
      </w:pPr>
    </w:p>
    <w:p>
      <w:pPr>
        <w:ind w:left="60" w:right="779" w:firstLine="648"/>
        <w:spacing w:after="0" w:line="277" w:lineRule="auto"/>
        <w:rPr>
          <w:sz w:val="20"/>
          <w:szCs w:val="20"/>
          <w:color w:val="auto"/>
        </w:rPr>
      </w:pPr>
      <w:r>
        <w:rPr>
          <w:rFonts w:ascii="Arial" w:cs="Arial" w:eastAsia="Arial" w:hAnsi="Arial"/>
          <w:sz w:val="18"/>
          <w:szCs w:val="18"/>
          <w:color w:val="auto"/>
        </w:rPr>
        <w:t>Consumer loans receivable, net of allowance for loan losses and deferred financing fees, consisted of the following:</w:t>
      </w:r>
    </w:p>
    <w:p>
      <w:pPr>
        <w:spacing w:after="0" w:line="13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As of</w:t>
            </w:r>
          </w:p>
        </w:tc>
      </w:tr>
      <w:tr>
        <w:trPr>
          <w:trHeight w:val="148"/>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Consumer loans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117,337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115,639</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Loan discount and deferred financing fees,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(2,814)</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09"/>
        </w:trPr>
        <w:tc>
          <w:tcPr>
            <w:tcW w:w="5240" w:type="dxa"/>
            <w:vAlign w:val="bottom"/>
            <w:gridSpan w:val="2"/>
          </w:tcPr>
          <w:p>
            <w:pPr>
              <w:spacing w:after="0"/>
              <w:rPr>
                <w:sz w:val="20"/>
                <w:szCs w:val="20"/>
                <w:color w:val="auto"/>
              </w:rPr>
            </w:pPr>
            <w:r>
              <w:rPr>
                <w:rFonts w:ascii="Arial" w:cs="Arial" w:eastAsia="Arial" w:hAnsi="Arial"/>
                <w:sz w:val="18"/>
                <w:szCs w:val="18"/>
                <w:color w:val="auto"/>
              </w:rPr>
              <w:t>Consumer loans receivable,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113,680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111,920</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a detail of the activity in the allowance for loan losses:</w:t>
      </w:r>
    </w:p>
    <w:p>
      <w:pPr>
        <w:spacing w:after="0" w:line="17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5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Charge offs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impaired and general reserve for allowance for loan losses consisted of the following:</w:t>
      </w:r>
    </w:p>
    <w:p>
      <w:pPr>
        <w:spacing w:after="0" w:line="17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40" w:type="dxa"/>
            <w:vAlign w:val="bottom"/>
            <w:gridSpan w:val="2"/>
          </w:tcPr>
          <w:p>
            <w:pPr>
              <w:jc w:val="center"/>
              <w:ind w:left="593"/>
              <w:spacing w:after="0"/>
              <w:rPr>
                <w:sz w:val="20"/>
                <w:szCs w:val="20"/>
                <w:color w:val="auto"/>
              </w:rPr>
            </w:pPr>
            <w:r>
              <w:rPr>
                <w:rFonts w:ascii="Arial" w:cs="Arial" w:eastAsia="Arial" w:hAnsi="Arial"/>
                <w:sz w:val="14"/>
                <w:szCs w:val="14"/>
                <w:b w:val="1"/>
                <w:bCs w:val="1"/>
                <w:color w:val="auto"/>
                <w:w w:val="96"/>
              </w:rPr>
              <w:t>2021</w:t>
            </w:r>
          </w:p>
        </w:tc>
        <w:tc>
          <w:tcPr>
            <w:tcW w:w="1040" w:type="dxa"/>
            <w:vAlign w:val="bottom"/>
            <w:gridSpan w:val="2"/>
          </w:tcPr>
          <w:p>
            <w:pPr>
              <w:jc w:val="center"/>
              <w:ind w:left="53"/>
              <w:spacing w:after="0"/>
              <w:rPr>
                <w:sz w:val="20"/>
                <w:szCs w:val="20"/>
                <w:color w:val="auto"/>
              </w:rPr>
            </w:pPr>
            <w:r>
              <w:rPr>
                <w:rFonts w:ascii="Arial" w:cs="Arial" w:eastAsia="Arial" w:hAnsi="Arial"/>
                <w:sz w:val="14"/>
                <w:szCs w:val="14"/>
                <w:b w:val="1"/>
                <w:bCs w:val="1"/>
                <w:color w:val="auto"/>
                <w:w w:val="96"/>
              </w:rPr>
              <w:t>2020</w:t>
            </w: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consumer loans</w:t>
            </w:r>
          </w:p>
        </w:tc>
        <w:tc>
          <w:tcPr>
            <w:tcW w:w="7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$ 117,337</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115,639</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allowance for loan losses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905</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individually evaluated for impairment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Specific reserve against impaired loans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558</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loans collectively evaluated for allowance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114,036</w:t>
            </w: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General allowance for loan losses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347</w:t>
            </w:r>
          </w:p>
        </w:tc>
      </w:tr>
    </w:tbl>
    <w:p>
      <w:pPr>
        <w:spacing w:after="0" w:line="187"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As of March 31, 2021 and December 31, 2020, the total principal outstanding for consumer loans on nonaccrual status was $1,611 and $1,603, respectively. A detailed aging of consumer loans receivable that are past due as of March 31, 2021 and December 31, 2020 were as follows: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March 31,</w:t>
            </w:r>
          </w:p>
        </w:tc>
        <w:tc>
          <w:tcPr>
            <w:tcW w:w="5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December 31,</w:t>
            </w:r>
          </w:p>
        </w:tc>
        <w:tc>
          <w:tcPr>
            <w:tcW w:w="5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consumer loans receivable</w:t>
            </w: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117,337</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115,639</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Past due consumer loans:</w:t>
            </w: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 w:type="dxa"/>
            <w:vAlign w:val="bottom"/>
          </w:tcPr>
          <w:p>
            <w:pPr>
              <w:spacing w:after="0"/>
              <w:rPr>
                <w:sz w:val="17"/>
                <w:szCs w:val="17"/>
                <w:color w:val="auto"/>
              </w:rPr>
            </w:pPr>
          </w:p>
        </w:tc>
        <w:tc>
          <w:tcPr>
            <w:tcW w:w="34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31</w:t>
            </w: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 days past due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89"/>
              </w:rPr>
              <w:t>61</w:t>
            </w:r>
          </w:p>
        </w:tc>
        <w:tc>
          <w:tcPr>
            <w:tcW w:w="3140" w:type="dxa"/>
            <w:vAlign w:val="bottom"/>
          </w:tcPr>
          <w:p>
            <w:pPr>
              <w:ind w:left="20"/>
              <w:spacing w:after="0"/>
              <w:rPr>
                <w:sz w:val="20"/>
                <w:szCs w:val="20"/>
                <w:color w:val="auto"/>
              </w:rPr>
            </w:pPr>
            <w:r>
              <w:rPr>
                <w:rFonts w:ascii="Arial" w:cs="Arial" w:eastAsia="Arial" w:hAnsi="Arial"/>
                <w:sz w:val="18"/>
                <w:szCs w:val="18"/>
                <w:color w:val="auto"/>
              </w:rPr>
              <w:t>- 90 days past due</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91</w:t>
            </w: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- 120 days past due</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Greater than 120 days past due</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past due</w:t>
            </w: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13</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2021 AND 2020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NOTES RECEIVABLE FROM MOBILE HOME PARKS (“MHP Notes”)</w:t>
      </w:r>
    </w:p>
    <w:p>
      <w:pPr>
        <w:spacing w:after="0" w:line="189"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The notes receivable from mobile home parks (“MHP Notes” or “Notes”) relate to mobile homes sold to mobile home parks and financed through notes receivable. The Notes have varying maturity dates and call for monthly principal and interest payments. The interest rate on the MHP Notes can be fixed or variable. Approximately $114 million of the Notes have a fixed interest rate ranging from 5.0% to 9.5%. The remaining Notes have a variable rate typically set at 4.0% above prime with a minimum of 8.0%. The average interest rate per loan was approximately 7.6% and 7.7% as of March 31, 2021 and December 31, 2020, respectively, with maturities that range from 1 to 20 years. The collateral underlying the Notes are individual mobile homes which can be repossessed and resold. The MHP Notes are generally personally guaranteed by the borrowers.</w:t>
      </w:r>
    </w:p>
    <w:p>
      <w:pPr>
        <w:spacing w:after="0" w:line="165" w:lineRule="exact"/>
        <w:rPr>
          <w:sz w:val="20"/>
          <w:szCs w:val="20"/>
          <w:color w:val="auto"/>
        </w:rPr>
      </w:pPr>
    </w:p>
    <w:p>
      <w:pPr>
        <w:jc w:val="both"/>
        <w:ind w:left="60" w:right="379" w:firstLine="648"/>
        <w:spacing w:after="0" w:line="263" w:lineRule="auto"/>
        <w:rPr>
          <w:sz w:val="20"/>
          <w:szCs w:val="20"/>
          <w:color w:val="auto"/>
        </w:rPr>
      </w:pPr>
      <w:r>
        <w:rPr>
          <w:rFonts w:ascii="Arial" w:cs="Arial" w:eastAsia="Arial" w:hAnsi="Arial"/>
          <w:sz w:val="18"/>
          <w:szCs w:val="18"/>
          <w:color w:val="auto"/>
        </w:rPr>
        <w:t>The Company had concentrations of MHP Notes with an independent third-party and its affiliates that equaled 52.1% and 52.9% of the principal balance outstanding, all of which was secured by the mobile homes, as of March 31, 2021 and December 31, 2020, respectively.</w:t>
      </w:r>
    </w:p>
    <w:p>
      <w:pPr>
        <w:spacing w:after="0" w:line="143"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 There were minimal past due balances on the MHP Notes as of March 31, 2021 and December 31, 2020 and no charge offs were recorded for MHP Notes during the three months ended March 31, 2021 and 2020, respectively. Allowance for loan loss is considered immaterial and accordingly no loss is recorded against the MHP Notes as of March 31, 2021 and December 31, 2020.</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OTHER NOTES RECEIVABLE</w:t>
      </w:r>
    </w:p>
    <w:p>
      <w:pPr>
        <w:spacing w:after="0" w:line="202"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6"/>
          <w:szCs w:val="16"/>
          <w:color w:val="auto"/>
        </w:rPr>
        <w:t>Other notes receivable relate to various notes issued to mobile park owners and dealers, which are not directly tied to sale of mobile homes. The other notes have varying maturity dates and call for monthly principal and interest payments. The other notes are collateralized by mortgages on real estate, units being financed and used as offices, as well as vehicles, and are typically personally guaranteed by the borrowers. The interest rate on the other notes are fixed and range from</w:t>
      </w:r>
    </w:p>
    <w:p>
      <w:pPr>
        <w:spacing w:after="0" w:line="1" w:lineRule="exact"/>
        <w:rPr>
          <w:sz w:val="20"/>
          <w:szCs w:val="20"/>
          <w:color w:val="auto"/>
        </w:rPr>
      </w:pPr>
    </w:p>
    <w:p>
      <w:pPr>
        <w:jc w:val="both"/>
        <w:ind w:left="60" w:right="99"/>
        <w:spacing w:after="0" w:line="323" w:lineRule="auto"/>
        <w:rPr>
          <w:sz w:val="20"/>
          <w:szCs w:val="20"/>
          <w:color w:val="auto"/>
        </w:rPr>
      </w:pPr>
      <w:r>
        <w:rPr>
          <w:rFonts w:ascii="Arial" w:cs="Arial" w:eastAsia="Arial" w:hAnsi="Arial"/>
          <w:sz w:val="16"/>
          <w:szCs w:val="16"/>
          <w:color w:val="auto"/>
        </w:rPr>
        <w:t>6.25% to 12.00%. The Company reserves for estimated losses on the other notes based on current economic conditions that may affect the borrower’s ability to pay, the borrower’s financial strength, and historical loss experience.</w:t>
      </w:r>
    </w:p>
    <w:p>
      <w:pPr>
        <w:spacing w:after="0" w:line="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balance outstanding on the other notes receivable were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2"/>
                <w:szCs w:val="12"/>
                <w:color w:val="auto"/>
              </w:rPr>
            </w:pPr>
          </w:p>
        </w:tc>
        <w:tc>
          <w:tcPr>
            <w:tcW w:w="1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w:t>
            </w:r>
          </w:p>
        </w:tc>
        <w:tc>
          <w:tcPr>
            <w:tcW w:w="2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360" w:type="dxa"/>
            <w:vAlign w:val="bottom"/>
            <w:vMerge w:val="restart"/>
          </w:tcPr>
          <w:p>
            <w:pPr>
              <w:jc w:val="right"/>
              <w:ind w:right="14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00" w:right="162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2021 AND 2020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INVENTORIES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consisted of the following:</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Work in progress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22,755</w:t>
            </w:r>
          </w:p>
        </w:tc>
        <w:tc>
          <w:tcPr>
            <w:tcW w:w="0" w:type="dxa"/>
            <w:vAlign w:val="bottom"/>
          </w:tcPr>
          <w:p>
            <w:pPr>
              <w:spacing w:after="0"/>
              <w:rPr>
                <w:sz w:val="1"/>
                <w:szCs w:val="1"/>
                <w:color w:val="auto"/>
              </w:rPr>
            </w:pPr>
          </w:p>
        </w:tc>
      </w:tr>
      <w:tr>
        <w:trPr>
          <w:trHeight w:val="209"/>
        </w:trPr>
        <w:tc>
          <w:tcPr>
            <w:tcW w:w="5420" w:type="dxa"/>
            <w:vAlign w:val="bottom"/>
            <w:gridSpan w:val="2"/>
          </w:tcPr>
          <w:p>
            <w:pPr>
              <w:ind w:left="88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35,880</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PROPERTY, PLANT AND EQUIPMENT</w:t>
            </w: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420" w:type="dxa"/>
            <w:vAlign w:val="bottom"/>
            <w:gridSpan w:val="2"/>
          </w:tcPr>
          <w:p>
            <w:pPr>
              <w:ind w:left="640"/>
              <w:spacing w:after="0"/>
              <w:rPr>
                <w:sz w:val="20"/>
                <w:szCs w:val="20"/>
                <w:color w:val="auto"/>
              </w:rPr>
            </w:pPr>
            <w:r>
              <w:rPr>
                <w:rFonts w:ascii="Arial" w:cs="Arial" w:eastAsia="Arial" w:hAnsi="Arial"/>
                <w:sz w:val="18"/>
                <w:szCs w:val="18"/>
                <w:color w:val="auto"/>
              </w:rPr>
              <w:t>Property, plant and equipment consisted of the following:</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14,518</w:t>
            </w:r>
          </w:p>
        </w:tc>
        <w:tc>
          <w:tcPr>
            <w:tcW w:w="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12,968</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4,167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29,757</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09"/>
        </w:trPr>
        <w:tc>
          <w:tcPr>
            <w:tcW w:w="5420" w:type="dxa"/>
            <w:vAlign w:val="bottom"/>
            <w:gridSpan w:val="2"/>
          </w:tcPr>
          <w:p>
            <w:pPr>
              <w:ind w:left="880"/>
              <w:spacing w:after="0"/>
              <w:rPr>
                <w:sz w:val="20"/>
                <w:szCs w:val="20"/>
                <w:color w:val="auto"/>
              </w:rPr>
            </w:pPr>
            <w:r>
              <w:rPr>
                <w:rFonts w:ascii="Arial" w:cs="Arial" w:eastAsia="Arial" w:hAnsi="Arial"/>
                <w:sz w:val="18"/>
                <w:szCs w:val="18"/>
                <w:color w:val="auto"/>
              </w:rPr>
              <w:t>Total property, plant and equipment</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24,070</w:t>
            </w:r>
          </w:p>
        </w:tc>
        <w:tc>
          <w:tcPr>
            <w:tcW w:w="160" w:type="dxa"/>
            <w:vAlign w:val="bottom"/>
            <w:gridSpan w:val="2"/>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22,616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Depreciation expense was $264 with $104 included as a component of cost of product sales for the three months ended March 31, 2021 and $248 with $106 included as a component of cost of product sales for the three months ended March 31, 2020.</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OTHER ASSETS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assets consisted of the following:</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March 31,</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As of December 31,</w:t>
            </w:r>
          </w:p>
        </w:tc>
      </w:tr>
      <w:tr>
        <w:trPr>
          <w:trHeight w:val="201"/>
        </w:trPr>
        <w:tc>
          <w:tcPr>
            <w:tcW w:w="64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property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w:t>
            </w: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Prepaid rent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Repossessed homes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r>
      <w:tr>
        <w:trPr>
          <w:trHeight w:val="210"/>
        </w:trPr>
        <w:tc>
          <w:tcPr>
            <w:tcW w:w="64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8,794</w:t>
            </w:r>
          </w:p>
        </w:tc>
        <w:tc>
          <w:tcPr>
            <w:tcW w:w="18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8,887</w:t>
            </w:r>
          </w:p>
        </w:tc>
      </w:tr>
      <w:tr>
        <w:trPr>
          <w:trHeight w:val="20"/>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Depreciation expense for the leased property was $98 and $33 for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2021 AND 2020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ACCRUED LIABILITIES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liabilities consisted of the following:</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As of</w:t>
            </w: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Litigation reserve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taxes payable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w:t>
            </w: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expenses &amp; other accrued liabilities</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w:t>
            </w:r>
          </w:p>
        </w:tc>
      </w:tr>
      <w:tr>
        <w:trPr>
          <w:trHeight w:val="209"/>
        </w:trPr>
        <w:tc>
          <w:tcPr>
            <w:tcW w:w="2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14,860</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DEBT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Lines of Credit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Revolver 1</w:t>
      </w:r>
    </w:p>
    <w:p>
      <w:pPr>
        <w:spacing w:after="0" w:line="198"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At December 31, 2019, the Company had a revolving line of credit (“Revolver 1”) with Capital One, N.A. with a maximum credit limit of $45,000 and a maturity date of May 11, 2020. On March 30, 2020, the Company entered into an agreement with Capital One, N.A. to replace Revolver 1 with a new revolving line of credit (“New Revolver”). The New Revolver has a maximum credit limit of $70,000 and a maturity date of March 30, 2024. For the period January 1, 2020 through March 30, 2020, Revolver 1 accrued interest at one-month LIBOR plus 2.40%. Amounts available under Revolver 1 were subject to a formula based on eligible consumer loans and MHP Notes and were secured by all accounts receivable and the consumer loans receivable and MHP Notes.</w:t>
      </w:r>
    </w:p>
    <w:p>
      <w:pPr>
        <w:spacing w:after="0" w:line="137"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New Revolver accrues interest at one-month LIBOR plus 2.00%. The interest rate in effect as of March 31, 2021 was 2.11%. As with Revolver 1, amounts available under the New Revolver are subject to a formula based on eligible consumer loans and MHP Notes and are secured by all accounts receivable and the consumer loans receivable and MHP Notes. The amount of available credit under the New Revolver was $24,653 as of March 31, 2021. In connection with the New Revolver, we paid certain arrangement fees and other fees of approximately $0.3 million, which were capitalized as deferred debt issuance costs and will be amortized to interest expense over the life of the New Revolver.</w:t>
      </w:r>
    </w:p>
    <w:p>
      <w:pPr>
        <w:spacing w:after="0" w:line="124"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For the three months ended March 31, 2021 and 2020, interest expense under the Capital One Revolvers was $226 and $320. The outstanding balance as of March 31, 2021 and December 31, 2020 was $45,347 and $36,174, respectively. The Company was in compliance with all financial covenants as of March 31, 2021, including that it maintain a tangible net worth of at least $120,000 and that it maintain a ratio of debt to EBITDA of 4 to 1, or less.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Revolver 2</w:t>
      </w:r>
    </w:p>
    <w:p>
      <w:pPr>
        <w:spacing w:after="0" w:line="185" w:lineRule="exact"/>
        <w:rPr>
          <w:sz w:val="20"/>
          <w:szCs w:val="20"/>
          <w:color w:val="auto"/>
        </w:rPr>
      </w:pPr>
    </w:p>
    <w:p>
      <w:pPr>
        <w:ind w:left="60" w:right="239" w:firstLine="648"/>
        <w:spacing w:after="0" w:line="290" w:lineRule="auto"/>
        <w:rPr>
          <w:sz w:val="20"/>
          <w:szCs w:val="20"/>
          <w:color w:val="auto"/>
        </w:rPr>
      </w:pPr>
      <w:r>
        <w:rPr>
          <w:rFonts w:ascii="Arial" w:cs="Arial" w:eastAsia="Arial" w:hAnsi="Arial"/>
          <w:sz w:val="16"/>
          <w:szCs w:val="16"/>
          <w:color w:val="auto"/>
        </w:rPr>
        <w:t>In April 2016, the Company entered into an agreement with Veritex Community Bank to secure an additional revolving line of credit of $15,000 (“Revolver 2”). Revolver 2 accrues interest at one month LIBOR plus 2.50% and all unpaid principal and interest is due at maturity on April 4, 2021. Revolver 2 is secured by all finished goods inventory excluding repossessed homes. Amounts available under Revolver 2 are subject to a formula based on eligible inventory. The interest rate in effect as of March 31, 2020 was 4.17%. On May 12, 2017, the Company entered into an agreement to increase the line of credit to $20,000. On October 15, 2018, Revolver 2 was amended to extend the maturity date from April 4, 2019 to April 4, 2021. The amount of available credit under Revolver 2 was $12,028 at March 31, 2020. The Company was in compliance with all required covenants as of March 31, 2020. For the three months ended March 31,</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2021 AND 2020 (dollars in thousands)</w:t>
      </w:r>
    </w:p>
    <w:p>
      <w:pPr>
        <w:spacing w:after="0" w:line="200" w:lineRule="exact"/>
        <w:rPr>
          <w:sz w:val="20"/>
          <w:szCs w:val="20"/>
          <w:color w:val="auto"/>
        </w:rPr>
      </w:pPr>
    </w:p>
    <w:p>
      <w:pPr>
        <w:spacing w:after="0" w:line="271"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2020 interest expense was $21. The outstanding balance as of March 31, 2020 was $2,001. In April 2020, this note was paid in full and the facility was terminated.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PPP Loan</w:t>
      </w:r>
    </w:p>
    <w:p>
      <w:pPr>
        <w:spacing w:after="0" w:line="202" w:lineRule="exact"/>
        <w:rPr>
          <w:sz w:val="20"/>
          <w:szCs w:val="20"/>
          <w:color w:val="auto"/>
        </w:rPr>
      </w:pPr>
    </w:p>
    <w:p>
      <w:pPr>
        <w:ind w:left="60" w:right="279" w:firstLine="648"/>
        <w:spacing w:after="0" w:line="293" w:lineRule="auto"/>
        <w:rPr>
          <w:sz w:val="20"/>
          <w:szCs w:val="20"/>
          <w:color w:val="auto"/>
        </w:rPr>
      </w:pPr>
      <w:r>
        <w:rPr>
          <w:rFonts w:ascii="Arial" w:cs="Arial" w:eastAsia="Arial" w:hAnsi="Arial"/>
          <w:sz w:val="16"/>
          <w:szCs w:val="16"/>
          <w:color w:val="auto"/>
        </w:rPr>
        <w:t>On April 10, 2020, the Company entered into a loan with Peoples Bank as the lender in an aggregate principal amount of $6,545,700 (the “Loan”) pursuant to the Paycheck Protection Program under the Coronavirus Aid, Relief, and Economic Security Act. The Loan was evidenced by a promissory note (the “Note”) dated April 10, 2020 and had a maturity date of April 10, 2022. The Note had an interest rate of 1.00% per annum, with the first six months of interest deferred. Principal and interest were payable monthly commencing on November 10, 2020 and could be prepaid by the Company at any time prior to maturity with no prepayment penalties. On May 1, 2020, this loan was paid in full.</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PILOT Agreement</w:t>
      </w:r>
    </w:p>
    <w:p>
      <w:pPr>
        <w:spacing w:after="0" w:line="189" w:lineRule="exact"/>
        <w:rPr>
          <w:sz w:val="20"/>
          <w:szCs w:val="20"/>
          <w:color w:val="auto"/>
        </w:rPr>
      </w:pPr>
    </w:p>
    <w:p>
      <w:pPr>
        <w:ind w:left="60" w:right="319" w:firstLine="648"/>
        <w:spacing w:after="0" w:line="284" w:lineRule="auto"/>
        <w:rPr>
          <w:sz w:val="20"/>
          <w:szCs w:val="20"/>
          <w:color w:val="auto"/>
        </w:rPr>
      </w:pPr>
      <w:r>
        <w:rPr>
          <w:rFonts w:ascii="Arial" w:cs="Arial" w:eastAsia="Arial" w:hAnsi="Arial"/>
          <w:sz w:val="16"/>
          <w:szCs w:val="16"/>
          <w:color w:val="auto"/>
        </w:rPr>
        <w:t>In December 2016, the Company entered into a Payment in Lieu of Taxes (“PILOT”) agreement commonly offered in Georgia by local community development programs to encourage industry development. The net effect of the PILOT agreement is to provide the Company with incentives through the abatement of local, city and county property taxes and to provide financing for improvements to the Company’s Georgia plant (the “Project”). In connection with the PILOT agreement, the Putman County Development Authority provides a credit facility for up to $10,000 which can be drawn upon to fund Project improvements and capital expenditures as defined in the agreement. If funds are drawn, the Company would pay transactions costs and debt service payments. The PILOT agreement requires interest payments of</w:t>
      </w:r>
    </w:p>
    <w:p>
      <w:pPr>
        <w:spacing w:after="0" w:line="2"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6.00% per annum on outstanding balances, which are due each December 1st through maturity on December 1, 2021, at which time all unpaid principal and interest are due. The PILOT agreement is collateralized by the assets of the Project. As of March 31, 2021, the Company had not drawn on this credit facility.</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SHARE-BASED COMPENSATION</w:t>
      </w:r>
    </w:p>
    <w:p>
      <w:pPr>
        <w:spacing w:after="0" w:line="18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Pursuant to the Legacy Housing Corporation 2018 Incentive Compensation Plan (the “Compensation Plan”), the Company may issue up to 10.0 million equity awards to employees, directors, consultants and nonemployee service providers in the form of stock options, stock and stock appreciation rights. Stock options may be granted with a contractual life of up to ten years. At March 31, 2021, the Company had 9.7 million shares available for grant under the Compensation Plan.</w:t>
      </w:r>
    </w:p>
    <w:p>
      <w:pPr>
        <w:spacing w:after="0" w:line="147"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In February 2019, the Company granted 120,000 restricted shares of its common stock to members of senior management. The shares were granted on February 7, 2019 and had a grant date fair value of $1,636. The shares vest at a rate of 14.3% annually, beginning on February 7, 2019, and becoming fully vested on February 7, 2025. During the second quarter of 2020, 42,857 of these restricted shares were forfeited due to the departure of a member of senior managment.</w:t>
      </w:r>
    </w:p>
    <w:p>
      <w:pPr>
        <w:spacing w:after="0" w:line="130"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The Company granted 2,936 restricted shares of its common stock to the independent directors on the Company’s Board of Directors. The shares were granted on February 7, 2019 and become fully vested on December 13, 2019.</w:t>
      </w:r>
    </w:p>
    <w:p>
      <w:pPr>
        <w:spacing w:after="0" w:line="83"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In August 2019, the Company granted 39,526 restricted shares of its common stock to a member of senior management. The shares were granted on August 2, 2019 and had a grant date fair value of $496. The shares vest at a rate of 20.0% annually, beginning on August 2, 2020, becoming fully vested on August 2, 2024. This grant was canceled during the second quarter of 2020 due to the departure of the member of senior managment.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2021 AND 2020 (dollars in thousands)</w:t>
      </w:r>
    </w:p>
    <w:p>
      <w:pPr>
        <w:spacing w:after="0" w:line="200" w:lineRule="exact"/>
        <w:rPr>
          <w:sz w:val="20"/>
          <w:szCs w:val="20"/>
          <w:color w:val="auto"/>
        </w:rPr>
      </w:pPr>
    </w:p>
    <w:p>
      <w:pPr>
        <w:spacing w:after="0" w:line="271"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The Company granted 1,903 restricted shares of its common stock to the independent directors on the Company’s Board of Directors. The shares were granted on March 27, 2020 and become fully vested on December 13, 2020.</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is a summary of restricted stock units (the “RSU”) activity (in thousands, except per unit data):</w:t>
      </w:r>
    </w:p>
    <w:p>
      <w:pPr>
        <w:spacing w:after="0" w:line="224"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8"/>
              </w:rPr>
              <w:t>Grant</w:t>
            </w:r>
          </w:p>
        </w:tc>
      </w:tr>
      <w:tr>
        <w:trPr>
          <w:trHeight w:val="203"/>
        </w:trPr>
        <w:tc>
          <w:tcPr>
            <w:tcW w:w="6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92"/>
              </w:rPr>
              <w:t>Number</w:t>
            </w: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2"/>
              </w:rPr>
              <w:t>date Fair</w:t>
            </w:r>
          </w:p>
        </w:tc>
      </w:tr>
      <w:tr>
        <w:trPr>
          <w:trHeight w:val="213"/>
        </w:trPr>
        <w:tc>
          <w:tcPr>
            <w:tcW w:w="64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of Units</w:t>
            </w:r>
          </w:p>
        </w:tc>
        <w:tc>
          <w:tcPr>
            <w:tcW w:w="3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Value</w:t>
            </w:r>
          </w:p>
        </w:tc>
      </w:tr>
      <w:tr>
        <w:trPr>
          <w:trHeight w:val="199"/>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Nonvested, January 1, 2021</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Granted</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r>
      <w:tr>
        <w:trPr>
          <w:trHeight w:val="196"/>
        </w:trPr>
        <w:tc>
          <w:tcPr>
            <w:tcW w:w="6420" w:type="dxa"/>
            <w:vAlign w:val="bottom"/>
          </w:tcPr>
          <w:p>
            <w:pPr>
              <w:spacing w:after="0"/>
              <w:rPr>
                <w:sz w:val="20"/>
                <w:szCs w:val="20"/>
                <w:color w:val="auto"/>
              </w:rPr>
            </w:pPr>
            <w:r>
              <w:rPr>
                <w:rFonts w:ascii="Arial" w:cs="Arial" w:eastAsia="Arial" w:hAnsi="Arial"/>
                <w:sz w:val="16"/>
                <w:szCs w:val="16"/>
                <w:color w:val="auto"/>
              </w:rPr>
              <w:t>Nonvested, March 31, 2021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13.63</w:t>
            </w:r>
          </w:p>
        </w:tc>
      </w:tr>
      <w:tr>
        <w:trPr>
          <w:trHeight w:val="20"/>
        </w:trPr>
        <w:tc>
          <w:tcPr>
            <w:tcW w:w="6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right="439" w:firstLine="648"/>
        <w:spacing w:after="0" w:line="308" w:lineRule="auto"/>
        <w:rPr>
          <w:sz w:val="20"/>
          <w:szCs w:val="20"/>
          <w:color w:val="auto"/>
        </w:rPr>
      </w:pPr>
      <w:r>
        <w:rPr>
          <w:rFonts w:ascii="Arial" w:cs="Arial" w:eastAsia="Arial" w:hAnsi="Arial"/>
          <w:sz w:val="17"/>
          <w:szCs w:val="17"/>
          <w:color w:val="auto"/>
        </w:rPr>
        <w:t>As of March 31, 2021, approximately 34,000 RSUs remained unvested. Unrecognized compensation expense related to these RSUs at March 31, 2021 was $451 and is expected to be recognized over 3.86 years.</w:t>
      </w:r>
    </w:p>
    <w:p>
      <w:pPr>
        <w:spacing w:after="0" w:line="106"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The Company granted 58,694 incentive stock options to a member of senior management. The options were granted on February 7, 2019 at an exercise price of $13.63 per share. The options vest at a rate of 12.5% annually, beginning on February 7, 2019, and becoming fully vested on February 7, 2026. All options expire ten years after the date of grant. Weighted-average assumptions used in the Black-Scholes option pricing model for stock options granted were as follows: risk free interest rate of 2.41%; dividend yield of 0.00%; expected volatility of common stock of 65.0% and expected life of options of 7.9 years. During the second quarter of 2020, these options were forfeited due to the departure of a senior manager.</w:t>
      </w:r>
    </w:p>
    <w:p>
      <w:pPr>
        <w:spacing w:after="0" w:line="154"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The Company granted 34,626 incentive stock options to a member of senior management. The options were granted on August 10, 2020 at an exercise price of $14.44 per share. The options vest at a rate of 20.0% annually, beginning on August 10, 2021, and becoming fully vested on August 10, 2025. All options expire ten years after the date of grant. Weighted-average assumptions used in the Black-Scholes option pricing model for stock options granted were as follows: risk free interest rate of 0.24%; dividend yield of 0.00%; expected volatility of common stock of 75.0% and expected life of options of 6.5 years.</w:t>
      </w:r>
    </w:p>
    <w:p>
      <w:pPr>
        <w:spacing w:after="0" w:line="200" w:lineRule="exact"/>
        <w:rPr>
          <w:sz w:val="20"/>
          <w:szCs w:val="20"/>
          <w:color w:val="auto"/>
        </w:rPr>
      </w:pPr>
    </w:p>
    <w:p>
      <w:pPr>
        <w:spacing w:after="0" w:line="3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option activity (in thousands, except per unit data):</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tcPr>
          <w:p>
            <w:pPr>
              <w:ind w:left="20"/>
              <w:spacing w:after="0"/>
              <w:rPr>
                <w:sz w:val="20"/>
                <w:szCs w:val="20"/>
                <w:color w:val="auto"/>
              </w:rPr>
            </w:pPr>
            <w:r>
              <w:rPr>
                <w:rFonts w:ascii="Arial" w:cs="Arial" w:eastAsia="Arial" w:hAnsi="Arial"/>
                <w:sz w:val="16"/>
                <w:szCs w:val="16"/>
                <w:b w:val="1"/>
                <w:bCs w:val="1"/>
                <w:color w:val="auto"/>
              </w:rPr>
              <w:t>Weighted</w:t>
            </w:r>
          </w:p>
        </w:tc>
        <w:tc>
          <w:tcPr>
            <w:tcW w:w="840" w:type="dxa"/>
            <w:vAlign w:val="bottom"/>
            <w:gridSpan w:val="3"/>
          </w:tcPr>
          <w:p>
            <w:pPr>
              <w:spacing w:after="0"/>
              <w:rPr>
                <w:sz w:val="20"/>
                <w:szCs w:val="20"/>
                <w:color w:val="auto"/>
              </w:rPr>
            </w:pPr>
            <w:r>
              <w:rPr>
                <w:rFonts w:ascii="Arial" w:cs="Arial" w:eastAsia="Arial" w:hAnsi="Arial"/>
                <w:sz w:val="16"/>
                <w:szCs w:val="16"/>
                <w:b w:val="1"/>
                <w:bCs w:val="1"/>
                <w:color w:val="auto"/>
              </w:rPr>
              <w:t>Weighted</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8"/>
              </w:rPr>
              <w:t>Average</w:t>
            </w:r>
          </w:p>
        </w:tc>
        <w:tc>
          <w:tcPr>
            <w:tcW w:w="8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Average</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Remaining</w:t>
            </w: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w w:val="85"/>
              </w:rPr>
              <w:t>Aggregate</w:t>
            </w:r>
          </w:p>
        </w:tc>
      </w:tr>
      <w:tr>
        <w:trPr>
          <w:trHeight w:val="203"/>
        </w:trPr>
        <w:tc>
          <w:tcPr>
            <w:tcW w:w="470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8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1"/>
              </w:rPr>
              <w:t>Exercise</w:t>
            </w:r>
          </w:p>
        </w:tc>
        <w:tc>
          <w:tcPr>
            <w:tcW w:w="10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w:t>
            </w: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Contractual</w:t>
            </w:r>
          </w:p>
        </w:tc>
        <w:tc>
          <w:tcPr>
            <w:tcW w:w="720" w:type="dxa"/>
            <w:vAlign w:val="bottom"/>
            <w:gridSpan w:val="2"/>
          </w:tcPr>
          <w:p>
            <w:pPr>
              <w:ind w:left="60"/>
              <w:spacing w:after="0"/>
              <w:rPr>
                <w:sz w:val="20"/>
                <w:szCs w:val="20"/>
                <w:color w:val="auto"/>
              </w:rPr>
            </w:pPr>
            <w:r>
              <w:rPr>
                <w:rFonts w:ascii="Arial" w:cs="Arial" w:eastAsia="Arial" w:hAnsi="Arial"/>
                <w:sz w:val="16"/>
                <w:szCs w:val="16"/>
                <w:b w:val="1"/>
                <w:bCs w:val="1"/>
                <w:color w:val="auto"/>
              </w:rPr>
              <w:t>Intrinsic</w:t>
            </w:r>
          </w:p>
        </w:tc>
      </w:tr>
      <w:tr>
        <w:trPr>
          <w:trHeight w:val="213"/>
        </w:trPr>
        <w:tc>
          <w:tcPr>
            <w:tcW w:w="47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of Units</w:t>
            </w:r>
          </w:p>
        </w:tc>
        <w:tc>
          <w:tcPr>
            <w:tcW w:w="120" w:type="dxa"/>
            <w:vAlign w:val="bottom"/>
          </w:tcPr>
          <w:p>
            <w:pPr>
              <w:spacing w:after="0"/>
              <w:rPr>
                <w:sz w:val="18"/>
                <w:szCs w:val="18"/>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Pr>
          <w:p>
            <w:pPr>
              <w:spacing w:after="0"/>
              <w:rPr>
                <w:sz w:val="18"/>
                <w:szCs w:val="18"/>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Life</w:t>
            </w:r>
          </w:p>
        </w:tc>
        <w:tc>
          <w:tcPr>
            <w:tcW w:w="14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Value</w:t>
            </w:r>
          </w:p>
        </w:tc>
      </w:tr>
      <w:tr>
        <w:trPr>
          <w:trHeight w:val="199"/>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January 1, 2021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Granted</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2"/>
        </w:trPr>
        <w:tc>
          <w:tcPr>
            <w:tcW w:w="4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Outstanding, March 31, 2021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14.44</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8.67</w:t>
            </w: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9.36</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114</w:t>
            </w:r>
          </w:p>
        </w:tc>
      </w:tr>
      <w:tr>
        <w:trPr>
          <w:trHeight w:val="196"/>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Exercisable, March 31, 2021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ind w:left="60" w:right="319" w:firstLine="648"/>
        <w:spacing w:after="0" w:line="308" w:lineRule="auto"/>
        <w:rPr>
          <w:sz w:val="20"/>
          <w:szCs w:val="20"/>
          <w:color w:val="auto"/>
        </w:rPr>
      </w:pPr>
      <w:r>
        <w:rPr>
          <w:rFonts w:ascii="Arial" w:cs="Arial" w:eastAsia="Arial" w:hAnsi="Arial"/>
          <w:sz w:val="17"/>
          <w:szCs w:val="17"/>
          <w:color w:val="auto"/>
        </w:rPr>
        <w:t>As of March 31, 2021, approximately 35,000 options remained unvested. Unrecognized compensation expense related to these options at March 31, 2021 was $262 and is expected to be recognized over 4.36 years.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2021 AND 2020 (dollars in thousands)</w:t>
      </w:r>
    </w:p>
    <w:p>
      <w:pPr>
        <w:spacing w:after="0" w:line="200" w:lineRule="exact"/>
        <w:rPr>
          <w:sz w:val="20"/>
          <w:szCs w:val="20"/>
          <w:color w:val="auto"/>
        </w:rPr>
      </w:pPr>
    </w:p>
    <w:p>
      <w:pPr>
        <w:spacing w:after="0" w:line="271"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On March 31, 2020, the Company filed a registration statement on Form S-8 to register with the SEC approximately 2.3 million shares of Legacy common stock available for issuance under the 2018 Incentive Compensation Plan. The registration statement became effective upon filing.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INCOME TAXES</w:t>
      </w:r>
    </w:p>
    <w:p>
      <w:pPr>
        <w:spacing w:after="0" w:line="189"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The provision for income tax expense for the three months ended March 31, 2021 and 2020 was $1.9 million and $2.6 million, respectively. The effective tax rate for the three months ended March 31, 2021 was 17.1% and differs from the federal statutory rate of 21% primarily due to a federal tax credit for energy efficient construction partially offset by state income taxes. The effective tax rate for the three months ended March 31, 2020 was 22.3% and differs from the federal statutory rate of 21% due to state income taxes.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COMMITMENTS AND CONTINGENCIES</w:t>
      </w:r>
    </w:p>
    <w:p>
      <w:pPr>
        <w:spacing w:after="0" w:line="202"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As of January 1, 2020, the Company instituted a self-insured health benefits plan with a stop-loss policy, which provides medical benefits to employees electing coverage under the plan. The Company estimates and records costs for 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At March 31, 2021, the Company accrued a $85 liability for incurred but not reported claims.</w:t>
      </w:r>
    </w:p>
    <w:p>
      <w:pPr>
        <w:spacing w:after="0" w:line="152"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maximum amount for which the Company was liable under such agreements approximated $3,073 and $2,967 at March 31, 2021 and December 31, 2020, respectively, without reduction for the resale value of the homes. The Company considers its obligations on current contracts to be insignificant and accordingly have not recorded any reserve for repurchase commitment as of March 31, 2021 or December 31, 2020.</w:t>
      </w:r>
    </w:p>
    <w:p>
      <w:pPr>
        <w:spacing w:after="0" w:line="138" w:lineRule="exact"/>
        <w:rPr>
          <w:sz w:val="20"/>
          <w:szCs w:val="20"/>
          <w:color w:val="auto"/>
        </w:rPr>
      </w:pPr>
    </w:p>
    <w:p>
      <w:pPr>
        <w:ind w:left="60" w:right="319" w:firstLine="648"/>
        <w:spacing w:after="0" w:line="293"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The Company leases facilities under operating leases that typically have 10-year terms. These leases</w:t>
      </w:r>
      <w:r>
        <w:rPr>
          <w:rFonts w:ascii="Arial" w:cs="Arial" w:eastAsia="Arial" w:hAnsi="Arial"/>
          <w:sz w:val="16"/>
          <w:szCs w:val="16"/>
          <w:i w:val="1"/>
          <w:iCs w:val="1"/>
          <w:color w:val="auto"/>
        </w:rPr>
        <w:t xml:space="preserve"> </w:t>
      </w:r>
      <w:r>
        <w:rPr>
          <w:rFonts w:ascii="Arial" w:cs="Arial" w:eastAsia="Arial" w:hAnsi="Arial"/>
          <w:sz w:val="16"/>
          <w:szCs w:val="16"/>
          <w:color w:val="auto"/>
        </w:rPr>
        <w:t>usually offer the Company a right of first refusal that affords the Company the option to purchase the leased premises under certain terms in the event the landlord attempts to sell the leased premises to a third party. Rent expense was $151 and $144 for the three months ended March 31, 2021, and 2020, respectively. The Company also subleases properties to third parties, ranging from 3-year to 11-year terms with various renewal options. Rental income from the subleased property was approximately $91 and $85 for the three months ended March 31, 2021 and 2020.</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Future minimum lease commitments under all non-cancelable operating leases for each of the next five years at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2021, are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3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2022</w:t>
            </w:r>
          </w:p>
        </w:tc>
        <w:tc>
          <w:tcPr>
            <w:tcW w:w="3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2024</w:t>
            </w:r>
          </w:p>
        </w:tc>
        <w:tc>
          <w:tcPr>
            <w:tcW w:w="3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9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9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960" w:type="dxa"/>
            <w:vAlign w:val="bottom"/>
            <w:vMerge w:val="restart"/>
          </w:tcPr>
          <w:p>
            <w:pPr>
              <w:jc w:val="right"/>
              <w:ind w:right="2330"/>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00" w:right="162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2021 AND 2020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Although litigation is inherently uncertain, based on past experience and the information currently available, management does not believe that the currently pending and threatened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spacing w:after="0" w:line="147" w:lineRule="exact"/>
        <w:rPr>
          <w:sz w:val="20"/>
          <w:szCs w:val="20"/>
          <w:color w:val="auto"/>
        </w:rPr>
      </w:pPr>
    </w:p>
    <w:p>
      <w:pPr>
        <w:ind w:left="60" w:right="2019" w:hanging="10"/>
        <w:spacing w:after="0" w:line="456" w:lineRule="auto"/>
        <w:tabs>
          <w:tab w:leader="none" w:pos="33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AND FAIR VALUE MEASUREMENTS Derivative Financial Instruments</w:t>
      </w:r>
    </w:p>
    <w:p>
      <w:pPr>
        <w:ind w:left="60" w:right="99" w:firstLine="648"/>
        <w:spacing w:after="0" w:line="269" w:lineRule="auto"/>
        <w:rPr>
          <w:sz w:val="20"/>
          <w:szCs w:val="20"/>
          <w:color w:val="auto"/>
        </w:rPr>
      </w:pPr>
      <w:r>
        <w:rPr>
          <w:rFonts w:ascii="Arial" w:cs="Arial" w:eastAsia="Arial" w:hAnsi="Arial"/>
          <w:sz w:val="17"/>
          <w:szCs w:val="17"/>
          <w:color w:val="auto"/>
        </w:rPr>
        <w:t xml:space="preserve">On February 2, 2012, the Company entered into a master interest rate swap agreement. The Company elected not to designate the interest rate swap agreements as cash flow hedges and, therefore, gains or losses on the agreements as well as the other offsetting gains or losses on the hedged items attributable to the hedged risk are recognized in current earnings. ASC 815-10, </w:t>
      </w:r>
      <w:r>
        <w:rPr>
          <w:rFonts w:ascii="Arial" w:cs="Arial" w:eastAsia="Arial" w:hAnsi="Arial"/>
          <w:sz w:val="17"/>
          <w:szCs w:val="17"/>
          <w:i w:val="1"/>
          <w:iCs w:val="1"/>
          <w:color w:val="auto"/>
        </w:rPr>
        <w:t>Derivatives and Hedging</w:t>
      </w:r>
      <w:r>
        <w:rPr>
          <w:rFonts w:ascii="Arial" w:cs="Arial" w:eastAsia="Arial" w:hAnsi="Arial"/>
          <w:sz w:val="17"/>
          <w:szCs w:val="17"/>
          <w:color w:val="auto"/>
        </w:rPr>
        <w:t>, requires derivative instruments to be measured at fair value and recorded in the statements of financial position as either assets or liabilities. The Company entered into interest rate swap agreement with Capital One Bank on June 12, 2017 to fix the variable rate portion for $8,000 of the line of credit. This interest rate swap agreement matured on May 11, 2020. The fair value of the interest rate swap agreement was an asset included in prepaid expenses and other current assets and was $7 at March 31, 2020. Included in the statements of operations for the three months ended March 31, 2020 is a gain of $2 which was the result of the changes in the fair values of the interest rate swap agreement.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 xml:space="preserve">The Company accounts for its investments and derivative instruments in accordance with ASC 820-10,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which among other things provides the framework for measuring fair value. That framework provides a fair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820-10, </w:t>
      </w:r>
      <w:r>
        <w:rPr>
          <w:rFonts w:ascii="Arial" w:cs="Arial" w:eastAsia="Arial" w:hAnsi="Arial"/>
          <w:sz w:val="18"/>
          <w:szCs w:val="18"/>
          <w:i w:val="1"/>
          <w:iCs w:val="1"/>
          <w:color w:val="auto"/>
        </w:rPr>
        <w:t>Fair Value Measurement</w:t>
      </w:r>
      <w:r>
        <w:rPr>
          <w:rFonts w:ascii="Arial" w:cs="Arial" w:eastAsia="Arial" w:hAnsi="Arial"/>
          <w:sz w:val="18"/>
          <w:szCs w:val="18"/>
          <w:color w:val="auto"/>
        </w:rPr>
        <w:t>, are as follows:</w:t>
      </w:r>
    </w:p>
    <w:p>
      <w:pPr>
        <w:spacing w:after="0" w:line="152" w:lineRule="exact"/>
        <w:rPr>
          <w:sz w:val="20"/>
          <w:szCs w:val="20"/>
          <w:color w:val="auto"/>
        </w:rPr>
      </w:pPr>
    </w:p>
    <w:p>
      <w:pPr>
        <w:ind w:left="1520" w:right="219" w:hanging="841"/>
        <w:spacing w:after="0" w:line="258" w:lineRule="auto"/>
        <w:tabs>
          <w:tab w:leader="none" w:pos="150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8"/>
          <w:szCs w:val="18"/>
          <w:color w:val="auto"/>
        </w:rPr>
        <w:t>Quoted prices are available in active markets for identical assets or liabilities that the reporting entity has the ability to access at the measurement date.</w:t>
      </w:r>
    </w:p>
    <w:p>
      <w:pPr>
        <w:spacing w:after="0" w:line="1" w:lineRule="exact"/>
        <w:rPr>
          <w:sz w:val="20"/>
          <w:szCs w:val="20"/>
          <w:color w:val="auto"/>
        </w:rPr>
      </w:pPr>
    </w:p>
    <w:p>
      <w:pPr>
        <w:ind w:left="1540" w:right="379" w:hanging="841"/>
        <w:spacing w:after="0" w:line="281" w:lineRule="auto"/>
        <w:tabs>
          <w:tab w:leader="none" w:pos="152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6"/>
          <w:szCs w:val="16"/>
          <w:color w:val="auto"/>
        </w:rPr>
        <w:t>Significant observable inputs other than quoted prices in active markets for which inputs to the valuation methodology include: (1) Quoted prices for similar assets or liabilities in active markets;</w:t>
      </w:r>
    </w:p>
    <w:p>
      <w:pPr>
        <w:spacing w:after="0" w:line="1" w:lineRule="exact"/>
        <w:rPr>
          <w:sz w:val="20"/>
          <w:szCs w:val="20"/>
          <w:color w:val="auto"/>
        </w:rPr>
      </w:pPr>
    </w:p>
    <w:p>
      <w:pPr>
        <w:ind w:left="1540" w:right="199" w:firstLine="1"/>
        <w:spacing w:after="0" w:line="250" w:lineRule="auto"/>
        <w:tabs>
          <w:tab w:leader="none" w:pos="1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 (3) Inputs other than quoted prices that are observable;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spacing w:after="0" w:line="2" w:lineRule="exact"/>
        <w:rPr>
          <w:sz w:val="20"/>
          <w:szCs w:val="20"/>
          <w:color w:val="auto"/>
        </w:rPr>
      </w:pPr>
    </w:p>
    <w:p>
      <w:pPr>
        <w:ind w:left="1540" w:right="539" w:hanging="841"/>
        <w:spacing w:after="0" w:line="260" w:lineRule="auto"/>
        <w:tabs>
          <w:tab w:leader="none" w:pos="1520" w:val="left"/>
        </w:tabs>
        <w:rPr>
          <w:sz w:val="20"/>
          <w:szCs w:val="20"/>
          <w:color w:val="auto"/>
        </w:rPr>
      </w:pPr>
      <w:r>
        <w:rPr>
          <w:rFonts w:ascii="Arial" w:cs="Arial" w:eastAsia="Arial" w:hAnsi="Arial"/>
          <w:sz w:val="18"/>
          <w:szCs w:val="18"/>
          <w:color w:val="auto"/>
        </w:rPr>
        <w:t>Level III</w:t>
        <w:tab/>
        <w:t>Significant unobservable inputs that reflect an entity’s own assumptions that market participants would use in pricing the assets or liabilities.</w:t>
      </w:r>
    </w:p>
    <w:p>
      <w:pPr>
        <w:spacing w:after="0" w:line="158"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asset or liability fair value measurement level within the fair value hierarchy is based on the lowest level of any input that is significant to the fair value measurement.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2021 AND 2020 (dollars in thousands)</w:t>
      </w:r>
    </w:p>
    <w:p>
      <w:pPr>
        <w:spacing w:after="0" w:line="200" w:lineRule="exact"/>
        <w:rPr>
          <w:sz w:val="20"/>
          <w:szCs w:val="20"/>
          <w:color w:val="auto"/>
        </w:rPr>
      </w:pPr>
    </w:p>
    <w:p>
      <w:pPr>
        <w:spacing w:after="0" w:line="271"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The Company has used derivatives to manage risks related to interest rate movements. The Company does not enter into derivative contracts for speculative purposes. Interest rate swap contracts are recognized as assets or liabilities on the balance sheets and are measured at fair value. The fair value was calculated and provided by the lender, a Level II valuation technique. Management reviewed the fair values for the instruments as provided by the lender and determined the related asset and liability to be an accurate estimate of future gains and losses to the Company. The fair value of the interest rate swap was an asset valued at $7 at March 31, 2020.</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02"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Company’s financial instruments consist primarily of cash and cash equivalents, accounts receivable, consumer loans, MHP Notes, other notes, accounts payable, lines of credit, notes payable, and dealer portion of consumer loans.</w:t>
      </w:r>
    </w:p>
    <w:p>
      <w:pPr>
        <w:spacing w:after="0" w:line="143"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6"/>
          <w:szCs w:val="16"/>
          <w:color w:val="auto"/>
        </w:rPr>
        <w:t>The carrying amounts of cash and cash equivalents, accounts receivable, and accounts payable approximate their respective fair values because of the short-term maturities or expected settlement dates of these instruments. This is considered a Level I valuation technique. The lines of credit, notes payable, part of the MHP Notes and part of the other notes have variable interest rates that reflect market rates and their fair value approximates their carrying value. This is considered a Level II valuation technique. The Company also assessed the fair value of the consumer loans receivable, the fixed rate MHP Notes and the portion of other notes with fixed rates based on the discounted value of the remaining principal and interest cash flows. The Company determined that the fair value of the consumer loan portfolio was approximately $115,000 compared to the book value of $113,680 as of March 31, 2021, and a fair value of approximately $115,000 compared to the book value of $111,742 as of December 31, 2020. The Company determined that the fair value of the fixed rate MHP Notes was approximately $114,000 compared to the book value of $116,161 as of March 31, 2021, and a fair value of approximately $108,000 compared to the book value of $109,806 as of December 31, 2020. The Company determined that the fair value of the other notes was approximately $15,500 compared to the book value of $15,797 as of March 31, 2021, and a fair value of approximately $15,000 compared to the book value of $15,104 as of December 31, 2020. This is a Level III valuation technique.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MONTHS ENDED MARCH 31, 2021 AND 2020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EARNINGS PER SHARE</w:t>
      </w:r>
    </w:p>
    <w:p>
      <w:pPr>
        <w:spacing w:after="0" w:line="18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Basic earnings per common share (“EPS”) is computed based on the weighted-average number of common shares outstanding during each reporting period.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spacing w:after="0" w:line="166"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Three months ended</w:t>
      </w:r>
    </w:p>
    <w:p>
      <w:pPr>
        <w:ind w:left="67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880" w:type="dxa"/>
        <w:tblCellMar>
          <w:top w:w="0" w:type="dxa"/>
          <w:left w:w="0" w:type="dxa"/>
          <w:bottom w:w="0" w:type="dxa"/>
          <w:right w:w="0" w:type="dxa"/>
        </w:tblCellMar>
      </w:tblPr>
      <w:tr>
        <w:trPr>
          <w:trHeight w:val="142"/>
        </w:trPr>
        <w:tc>
          <w:tcPr>
            <w:tcW w:w="50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income (in 000's)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9,025</w:t>
            </w: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080" w:type="dxa"/>
            <w:vAlign w:val="bottom"/>
          </w:tcPr>
          <w:p>
            <w:pPr>
              <w:ind w:left="100"/>
              <w:spacing w:after="0"/>
              <w:rPr>
                <w:sz w:val="20"/>
                <w:szCs w:val="20"/>
                <w:color w:val="auto"/>
              </w:rPr>
            </w:pPr>
            <w:r>
              <w:rPr>
                <w:rFonts w:ascii="Arial" w:cs="Arial" w:eastAsia="Arial" w:hAnsi="Arial"/>
                <w:sz w:val="18"/>
                <w:szCs w:val="18"/>
                <w:color w:val="auto"/>
              </w:rPr>
              <w:t>Basic weighted-average common shares outstanding</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24,199,107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24,319,328</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080" w:type="dxa"/>
            <w:vAlign w:val="bottom"/>
          </w:tcPr>
          <w:p>
            <w:pPr>
              <w:ind w:left="100"/>
              <w:spacing w:after="0"/>
              <w:rPr>
                <w:sz w:val="20"/>
                <w:szCs w:val="20"/>
                <w:color w:val="auto"/>
              </w:rPr>
            </w:pPr>
            <w:r>
              <w:rPr>
                <w:rFonts w:ascii="Arial" w:cs="Arial" w:eastAsia="Arial" w:hAnsi="Arial"/>
                <w:sz w:val="18"/>
                <w:szCs w:val="18"/>
                <w:color w:val="auto"/>
              </w:rPr>
              <w:t>Restricted stock grants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7,749</w:t>
            </w:r>
          </w:p>
        </w:tc>
      </w:tr>
      <w:tr>
        <w:trPr>
          <w:trHeight w:val="21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options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34,006</w:t>
            </w:r>
          </w:p>
        </w:tc>
      </w:tr>
      <w:tr>
        <w:trPr>
          <w:trHeight w:val="209"/>
        </w:trPr>
        <w:tc>
          <w:tcPr>
            <w:tcW w:w="5080" w:type="dxa"/>
            <w:vAlign w:val="bottom"/>
          </w:tcPr>
          <w:p>
            <w:pPr>
              <w:ind w:left="100"/>
              <w:spacing w:after="0"/>
              <w:rPr>
                <w:sz w:val="20"/>
                <w:szCs w:val="20"/>
                <w:color w:val="auto"/>
              </w:rPr>
            </w:pPr>
            <w:r>
              <w:rPr>
                <w:rFonts w:ascii="Arial" w:cs="Arial" w:eastAsia="Arial" w:hAnsi="Arial"/>
                <w:sz w:val="18"/>
                <w:szCs w:val="18"/>
                <w:color w:val="auto"/>
              </w:rPr>
              <w:t>Diluted weighted-average common shares outstanding</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24,211,182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24,361,083</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attributable to Legacy Housing Corporation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080" w:type="dxa"/>
            <w:vAlign w:val="bottom"/>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1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r>
    </w:tbl>
    <w:p>
      <w:pPr>
        <w:spacing w:after="0" w:line="202"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diluted earnings per share calculation excludes 144,082 potential shares for the three months ended March 31, 2020, because the effect of including theses potential shares would be antidilutive.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RELATED PARTY TRANSACTIONS</w:t>
      </w:r>
    </w:p>
    <w:p>
      <w:pPr>
        <w:spacing w:after="0" w:line="18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Bell Mobile Homes, a retailer owned by one of the Company’s significant owners, purchases manufactured homes from the Company. Accounts receivable balances due from Bell Mobile Homes were $298 and $1 as of March 31, 2021 and December 31, 2020, respectively. Accounts payable balances due to Bell Mobile Homes for maintenance and related services were $86 and $61 as of March 31, 2021 and December 31, 2020, respectively. Home sales to Bell Mobile Homes were $699 and $883 for the three months ended March 31, 2021 and 2020, respectively.</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SUBSEQUENT EVENTS</w:t>
      </w:r>
    </w:p>
    <w:p>
      <w:pPr>
        <w:spacing w:after="0" w:line="202"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In connection with the preparation of these financial statements, an evaluation of subsequent events was performed through the date of filing and there were no other events that have occurred that would require adjustments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left="60" w:right="179" w:firstLine="713"/>
        <w:spacing w:after="0" w:line="293" w:lineRule="auto"/>
        <w:rPr>
          <w:sz w:val="20"/>
          <w:szCs w:val="20"/>
          <w:color w:val="auto"/>
        </w:rPr>
      </w:pPr>
      <w:r>
        <w:rPr>
          <w:rFonts w:ascii="Arial" w:cs="Arial" w:eastAsia="Arial" w:hAnsi="Arial"/>
          <w:sz w:val="16"/>
          <w:szCs w:val="16"/>
          <w:i w:val="1"/>
          <w:iCs w:val="1"/>
          <w:color w:val="auto"/>
        </w:rPr>
        <w:t>The following discussion should be read in conjunction with the financial statements and accompanying notes and the information contained in other sections of this Form 10-Q. It contains forward-looking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forward-looking statements as a result of various factors, including those discussed in this Form 10-Q and in our Registration Statement on Form S-1, particularly under the heading “Risk Factors.”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60" w:right="79" w:firstLine="648"/>
        <w:spacing w:after="0" w:line="278" w:lineRule="auto"/>
        <w:rPr>
          <w:sz w:val="20"/>
          <w:szCs w:val="20"/>
          <w:color w:val="auto"/>
        </w:rPr>
      </w:pPr>
      <w:r>
        <w:rPr>
          <w:rFonts w:ascii="Arial" w:cs="Arial" w:eastAsia="Arial" w:hAnsi="Arial"/>
          <w:sz w:val="16"/>
          <w:szCs w:val="16"/>
          <w:color w:val="auto"/>
        </w:rPr>
        <w:t>Legacy Housing Corporation builds, sells and finances manufactured homes and “tiny houses” that are distributed through a network of independent retailers and company-owned stores and are sold directly to manufactured housing communities. We are the fifth largest producer of manufactured homes in the United States as ranked by number of homes manufactured based on information available from the Manufactured Housing Institute and IBTS for the fourth quarter of 2020. With current operations focused primarily in the southern United States, we offer our customers an array of quality homes ranging in size from approximately 390 to 2,667 square feet consisting of 1 to 5 bedrooms, with 1 to 3</w:t>
      </w:r>
      <w:r>
        <w:rPr>
          <w:rFonts w:ascii="Arial" w:cs="Arial" w:eastAsia="Arial" w:hAnsi="Arial"/>
          <w:sz w:val="8"/>
          <w:szCs w:val="8"/>
          <w:color w:val="auto"/>
        </w:rPr>
        <w:t>1</w:t>
      </w:r>
      <w:r>
        <w:rPr>
          <w:rFonts w:ascii="Arial" w:cs="Arial" w:eastAsia="Arial" w:hAnsi="Arial"/>
          <w:sz w:val="16"/>
          <w:szCs w:val="16"/>
          <w:color w:val="auto"/>
        </w:rPr>
        <w:t>/</w:t>
      </w:r>
      <w:r>
        <w:rPr>
          <w:rFonts w:ascii="Arial" w:cs="Arial" w:eastAsia="Arial" w:hAnsi="Arial"/>
          <w:sz w:val="21"/>
          <w:szCs w:val="21"/>
          <w:color w:val="auto"/>
          <w:vertAlign w:val="subscript"/>
        </w:rPr>
        <w:t>2</w:t>
      </w:r>
      <w:r>
        <w:rPr>
          <w:rFonts w:ascii="Arial" w:cs="Arial" w:eastAsia="Arial" w:hAnsi="Arial"/>
          <w:sz w:val="16"/>
          <w:szCs w:val="16"/>
          <w:color w:val="auto"/>
        </w:rPr>
        <w:t xml:space="preserve"> bathrooms. Our homes range in price, at retail, from approximately $22,000 to $140,000. For the three months ended March 31, 2021, we sold 720 home sections (which are entire homes or single floors that are combined to create complete homes) and for the three months ended March 31, 2020, we sold 849 home sections.</w:t>
      </w:r>
    </w:p>
    <w:p>
      <w:pPr>
        <w:spacing w:after="0" w:line="13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Company has one reportable segment. All of our activities are interrelated, and each activity is dependent and assessed based on how each of the activities of Company supports the others. For example, the sale of manufactured homes includes providing transportation and consignment arrangements with dealers. We also provide financing options to the customers to facilitate such sale of homes. In addition, the sale of homes is directly related to financing provided by us. Accordingly, all significant operating and strategic decisions by the chief operating decision-maker, the Executive Chairman of the Board, are based upon analyses of our company as one segment or unit.</w:t>
      </w:r>
    </w:p>
    <w:p>
      <w:pPr>
        <w:spacing w:after="0" w:line="137" w:lineRule="exact"/>
        <w:rPr>
          <w:sz w:val="20"/>
          <w:szCs w:val="20"/>
          <w:color w:val="auto"/>
        </w:rPr>
      </w:pPr>
    </w:p>
    <w:p>
      <w:pPr>
        <w:ind w:left="60" w:right="119" w:firstLine="713"/>
        <w:spacing w:after="0" w:line="288" w:lineRule="auto"/>
        <w:rPr>
          <w:sz w:val="20"/>
          <w:szCs w:val="20"/>
          <w:color w:val="auto"/>
        </w:rPr>
      </w:pPr>
      <w:r>
        <w:rPr>
          <w:rFonts w:ascii="Arial" w:cs="Arial" w:eastAsia="Arial" w:hAnsi="Arial"/>
          <w:sz w:val="16"/>
          <w:szCs w:val="16"/>
          <w:color w:val="auto"/>
        </w:rPr>
        <w:t>We believe our company is one of the most vertically integrated in the manufactured housing industry, allowing us to offer a complete solution to our customers, from manufacturing custom-made homes using quality materials and distributing those homes through our expansive network of independent retailers and company-owned distribution locations, to providing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high-volume production techniques that allow us to produce, on average, approximately 75 home sections, or 62 fully-completed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state-of-the-art kitchens.</w:t>
      </w:r>
    </w:p>
    <w:p>
      <w:pPr>
        <w:spacing w:after="0" w:line="182"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Our homes are marketed under our premier “Legacy” brand name and currently are sold primarily across 15 states through a network of 106 independent retail locations, 13 company-owned retail locations and through direct sales to owners of manufactured home communities. Our 13 company-owned retail locations, including 11 Heritage Housing stores and two Tiny House Outlet stores exclusively sell our homes. For the three months ended March 31, 2021, approximately 49% of our manufactured homes were sold in Texas, followed by 11% in Georgia, 8% in Alabama, 6% in Louisiana and 5% in Kansas. For the three months ended March 31, 2020, approximately 47% of our manufactured homes were sold in Texas, followed by 10% in Kentucky, 9% in North Carolina, 8% in Georgia, and 5% in Kansas. We plan to deepen our distribution channel by using cash from operations and borrowings from our lines of credit to expand our company-owned retail locations in new and existing markets.</w:t>
      </w:r>
    </w:p>
    <w:p>
      <w:pPr>
        <w:spacing w:after="0" w:line="154"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We offer three types of financing solutions to our customers. We provide floor plan financing for our independent retailers, which takes the form of a consignment arrangement between the retailer and us. We also provide consumer financing for our products which are sold to end-users through both independent and company-owned retail locations, and we provide financing solutions to manufactured housing community owners that buy our products for use in their manufactured housing communities. Our ability to offer competitive financing options at our retail locations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provides us with several competitive advantages and allows us to capture sales which may not have otherwise occurred without our ability to offer consumer financing.</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Conversion</w:t>
      </w:r>
    </w:p>
    <w:p>
      <w:pPr>
        <w:spacing w:after="0" w:line="189" w:lineRule="exact"/>
        <w:rPr>
          <w:sz w:val="20"/>
          <w:szCs w:val="20"/>
          <w:color w:val="auto"/>
        </w:rPr>
      </w:pPr>
    </w:p>
    <w:p>
      <w:pPr>
        <w:ind w:left="60" w:right="279" w:firstLine="648"/>
        <w:spacing w:after="0" w:line="255" w:lineRule="auto"/>
        <w:rPr>
          <w:sz w:val="20"/>
          <w:szCs w:val="20"/>
          <w:color w:val="auto"/>
        </w:rPr>
      </w:pPr>
      <w:r>
        <w:rPr>
          <w:rFonts w:ascii="Arial" w:cs="Arial" w:eastAsia="Arial" w:hAnsi="Arial"/>
          <w:sz w:val="18"/>
          <w:szCs w:val="18"/>
          <w:color w:val="auto"/>
        </w:rPr>
        <w:t>Prior to January 1, 2018, we were a Texas limited partnership named Legacy Housing, Ltd. Effective January 1, 2018, we converted into a Delaware corporation pursuant to a statutory conversion, or the Corporate Conversion, and changed our name to Legacy Housing Corporation. All of our outstanding partnership interests were converted on a proportional basis into shares of common stock of Legacy Housing Corporation. Effective December 31, 2019, the Company reincorporated from a Delaware corporation to a Texas corporation. For more information, see “Corporate Conversion” in Note 1.</w:t>
      </w:r>
    </w:p>
    <w:p>
      <w:pPr>
        <w:spacing w:after="0" w:line="16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Following the Corporate Conversion, Legacy Housing Corporation continues to hold all of the property and assets of Legacy Housing, Ltd. and all of the debts and obligations of Legacy Housing, Ltd. continue as the debts and obligations of Legacy Housing Corporation. The purpose of the Corporate Conversion was to reorganize our corporate structure so that the top-tier entity in our corporate structure is a corporation rather than a limited partnership and so that our existing owners own shares of our common stock rather than partnership interests in a limited partnership. Except as otherwise noted, the financial statements included in this Form 10-Q are those of Legacy Housing Corporation.</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Factors Affecting Our Performance</w:t>
      </w:r>
    </w:p>
    <w:p>
      <w:pPr>
        <w:spacing w:after="0" w:line="189"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We believe that the growth of our business and our future success depend on various opportunities, challenges, trends and other factors, including the following:</w:t>
      </w:r>
    </w:p>
    <w:p>
      <w:pPr>
        <w:spacing w:after="0" w:line="143" w:lineRule="exact"/>
        <w:rPr>
          <w:sz w:val="20"/>
          <w:szCs w:val="20"/>
          <w:color w:val="auto"/>
        </w:rPr>
      </w:pPr>
    </w:p>
    <w:p>
      <w:pPr>
        <w:ind w:left="1040" w:right="79" w:hanging="315"/>
        <w:spacing w:after="0" w:line="25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Consistent with our long-term strategy of conservatively deploying our capital to achieve above average rates of return, we intend to expand our retail presence in the geographic markets we now serve, particularly in the southern United States. Each retail center requires between $500,000 and $1,500,000 to acquire the location, situate an office, provide inventory, and provide the initial working capital. We initially anticipated opening 2 to 4 additional retail centers by the end of 2020, but we delayed those plans due to the COVID-19 pandemic’s impact on the retail business.We expect to open 1 to 2 additional retail centers by the end of 2021.</w:t>
      </w:r>
    </w:p>
    <w:p>
      <w:pPr>
        <w:spacing w:after="0" w:line="154" w:lineRule="exact"/>
        <w:rPr>
          <w:rFonts w:ascii="Arial" w:cs="Arial" w:eastAsia="Arial" w:hAnsi="Arial"/>
          <w:sz w:val="18"/>
          <w:szCs w:val="18"/>
          <w:color w:val="auto"/>
        </w:rPr>
      </w:pPr>
    </w:p>
    <w:p>
      <w:pPr>
        <w:ind w:left="1040" w:right="79" w:hanging="315"/>
        <w:spacing w:after="0" w:line="26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purchased several properties in our market area for the purpose of developing manufactured housing communities and subdivisions. As of March 31, 2021, these properties include the following (dollars in 000’s):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20" w:type="dxa"/>
            <w:vAlign w:val="bottom"/>
            <w:gridSpan w:val="2"/>
          </w:tcPr>
          <w:p>
            <w:pPr>
              <w:ind w:left="1260"/>
              <w:spacing w:after="0"/>
              <w:rPr>
                <w:sz w:val="20"/>
                <w:szCs w:val="20"/>
                <w:color w:val="auto"/>
              </w:rPr>
            </w:pPr>
            <w:r>
              <w:rPr>
                <w:rFonts w:ascii="Arial" w:cs="Arial" w:eastAsia="Arial" w:hAnsi="Arial"/>
                <w:sz w:val="18"/>
                <w:szCs w:val="18"/>
                <w:color w:val="auto"/>
              </w:rPr>
              <w:t>Location</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Description</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w w:val="97"/>
              </w:rPr>
              <w:t>Date of Acquisition</w:t>
            </w:r>
          </w:p>
        </w:tc>
        <w:tc>
          <w:tcPr>
            <w:tcW w:w="14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w w:val="99"/>
              </w:rPr>
              <w:t>Improvements</w:t>
            </w:r>
          </w:p>
        </w:tc>
        <w:tc>
          <w:tcPr>
            <w:tcW w:w="16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Total</w:t>
            </w:r>
          </w:p>
        </w:tc>
      </w:tr>
      <w:tr>
        <w:trPr>
          <w:trHeight w:val="209"/>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Bastrop County, Texas</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400 Acres</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2018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r>
      <w:tr>
        <w:trPr>
          <w:trHeight w:val="216"/>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Bexar County, Texas</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100 Acres</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November 2018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1,414</w:t>
            </w: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Horseshoe Bay, Texas</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133 Acres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Various 2018-2019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r>
      <w:tr>
        <w:trPr>
          <w:trHeight w:val="216"/>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Johnson County, Texas</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91.5 Acres</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July 2019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Venus, Texas</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50 Acres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2019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16"/>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Wise County, Texas</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81.5 Acres</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September 2020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Bexar County, Texas</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233 Acres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2021</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r>
      <w:tr>
        <w:trPr>
          <w:trHeight w:val="224"/>
        </w:trPr>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11,437</w:t>
            </w:r>
          </w:p>
        </w:tc>
        <w:tc>
          <w:tcPr>
            <w:tcW w:w="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12,988</w:t>
            </w:r>
          </w:p>
        </w:tc>
      </w:tr>
    </w:tbl>
    <w:p>
      <w:pPr>
        <w:spacing w:after="0" w:line="187" w:lineRule="exact"/>
        <w:rPr>
          <w:sz w:val="20"/>
          <w:szCs w:val="20"/>
          <w:color w:val="auto"/>
        </w:rPr>
      </w:pPr>
    </w:p>
    <w:p>
      <w:pPr>
        <w:ind w:left="1040" w:right="399" w:hanging="315"/>
        <w:spacing w:after="0" w:line="296"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also expect to provide financing solutions to a select group of our manufactured housing community-owner customers in a manner that includes developing new sites for products in or near urban locations where there is a shortage of sites to place our products. These solutions will be structured to give us an attractive return on investment when coupled with the gross margin we expect to make on products specifically targeted for sale to these new manufactured housing communities.</w:t>
      </w:r>
    </w:p>
    <w:p>
      <w:pPr>
        <w:spacing w:after="0" w:line="134" w:lineRule="exact"/>
        <w:rPr>
          <w:rFonts w:ascii="Arial" w:cs="Arial" w:eastAsia="Arial" w:hAnsi="Arial"/>
          <w:sz w:val="16"/>
          <w:szCs w:val="16"/>
          <w:color w:val="auto"/>
        </w:rPr>
      </w:pPr>
    </w:p>
    <w:p>
      <w:pPr>
        <w:ind w:left="1040" w:right="539" w:hanging="315"/>
        <w:spacing w:after="0" w:line="34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Finally, our financial performance will be impacted by our ability to fulfill current orders for our manufactured homes from dealers and customers. Currently, our two Texas manufacturing facilities are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40" w:right="99"/>
        <w:spacing w:after="0" w:line="290" w:lineRule="auto"/>
        <w:rPr>
          <w:sz w:val="20"/>
          <w:szCs w:val="20"/>
          <w:color w:val="auto"/>
        </w:rPr>
      </w:pPr>
      <w:r>
        <w:rPr>
          <w:rFonts w:ascii="Arial" w:cs="Arial" w:eastAsia="Arial" w:hAnsi="Arial"/>
          <w:sz w:val="16"/>
          <w:szCs w:val="16"/>
          <w:color w:val="auto"/>
        </w:rPr>
        <w:t>operating at near peak capacity, with limited ability to increase the volume of homes produced at those plants. Our Georgia manufacturing facility has unutilized square footage available and with additional investment can add capacity to increase the number of homes that can be manufactured. We intend to increase production at the Georgia facility over time, particularly in response to orders increasingly being generated from new markets in Florida and the Carolinas. In order to maintain our growth, we will need to be able to continue to properly estimate anticipated future volumes when making commitments regarding the level of business that we will seek and accept, the mix of products that we intend to manufacture, the timing of production schedules and the levels and utilization of inventory, equipment and personnel.</w:t>
      </w:r>
    </w:p>
    <w:p>
      <w:pPr>
        <w:spacing w:after="0" w:line="125" w:lineRule="exact"/>
        <w:rPr>
          <w:sz w:val="20"/>
          <w:szCs w:val="20"/>
          <w:color w:val="auto"/>
        </w:rPr>
      </w:pPr>
    </w:p>
    <w:p>
      <w:pPr>
        <w:ind w:left="1040" w:right="439" w:hanging="315"/>
        <w:spacing w:after="0" w:line="26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coronavirus pandemic is an evolving threat to the economy and all businesses. At this time both the duration of the pandemic and the magnitude of the economic consequences are unknown. Risks to the Company include but are not limited to:</w:t>
      </w:r>
    </w:p>
    <w:p>
      <w:pPr>
        <w:spacing w:after="0" w:line="184" w:lineRule="exact"/>
        <w:rPr>
          <w:sz w:val="20"/>
          <w:szCs w:val="20"/>
          <w:color w:val="auto"/>
        </w:rPr>
      </w:pPr>
    </w:p>
    <w:p>
      <w:pPr>
        <w:ind w:left="1700" w:right="359" w:hanging="327"/>
        <w:spacing w:after="0" w:line="289" w:lineRule="auto"/>
        <w:tabs>
          <w:tab w:leader="none" w:pos="1700" w:val="left"/>
        </w:tabs>
        <w:numPr>
          <w:ilvl w:val="0"/>
          <w:numId w:val="9"/>
        </w:numPr>
        <w:rPr>
          <w:rFonts w:ascii="Courier New" w:cs="Courier New" w:eastAsia="Courier New" w:hAnsi="Courier New"/>
          <w:sz w:val="17"/>
          <w:szCs w:val="17"/>
          <w:color w:val="auto"/>
        </w:rPr>
      </w:pPr>
      <w:r>
        <w:rPr>
          <w:rFonts w:ascii="Arial" w:cs="Arial" w:eastAsia="Arial" w:hAnsi="Arial"/>
          <w:sz w:val="17"/>
          <w:szCs w:val="17"/>
          <w:color w:val="auto"/>
        </w:rPr>
        <w:t>increased loan losses or deferred loan payments as loan obligors suffer cash flow issues resulting from reduced employment, reduced rental income or unit sales, or other factors;</w:t>
      </w:r>
    </w:p>
    <w:p>
      <w:pPr>
        <w:spacing w:after="0" w:line="159" w:lineRule="exact"/>
        <w:rPr>
          <w:rFonts w:ascii="Courier New" w:cs="Courier New" w:eastAsia="Courier New" w:hAnsi="Courier New"/>
          <w:sz w:val="17"/>
          <w:szCs w:val="17"/>
          <w:color w:val="auto"/>
        </w:rPr>
      </w:pPr>
    </w:p>
    <w:p>
      <w:pPr>
        <w:jc w:val="both"/>
        <w:ind w:left="1700" w:right="119" w:hanging="327"/>
        <w:spacing w:after="0" w:line="254" w:lineRule="auto"/>
        <w:tabs>
          <w:tab w:leader="none" w:pos="17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reduced sales volume as potential customers are unable to shop for new homes or cannot qualify for a home purchase, retail dealers or company stores reduce or stop operations, or MHP owners reduce their future home purchases;</w:t>
      </w:r>
    </w:p>
    <w:p>
      <w:pPr>
        <w:spacing w:after="0" w:line="189" w:lineRule="exact"/>
        <w:rPr>
          <w:rFonts w:ascii="Courier New" w:cs="Courier New" w:eastAsia="Courier New" w:hAnsi="Courier New"/>
          <w:sz w:val="18"/>
          <w:szCs w:val="18"/>
          <w:color w:val="auto"/>
        </w:rPr>
      </w:pPr>
    </w:p>
    <w:p>
      <w:pPr>
        <w:ind w:left="1700" w:right="159" w:hanging="327"/>
        <w:spacing w:after="0" w:line="272" w:lineRule="auto"/>
        <w:tabs>
          <w:tab w:leader="none" w:pos="1700" w:val="left"/>
        </w:tabs>
        <w:numPr>
          <w:ilvl w:val="0"/>
          <w:numId w:val="9"/>
        </w:numPr>
        <w:rPr>
          <w:rFonts w:ascii="Courier New" w:cs="Courier New" w:eastAsia="Courier New" w:hAnsi="Courier New"/>
          <w:sz w:val="17"/>
          <w:szCs w:val="17"/>
          <w:color w:val="auto"/>
        </w:rPr>
      </w:pPr>
      <w:r>
        <w:rPr>
          <w:rFonts w:ascii="Arial" w:cs="Arial" w:eastAsia="Arial" w:hAnsi="Arial"/>
          <w:sz w:val="17"/>
          <w:szCs w:val="17"/>
          <w:color w:val="auto"/>
        </w:rPr>
        <w:t>reduced production resulting from factors such as the spread of the illness through the Company’s workforce or the impact of government interventions on labor force participation, reduced product demand, or government-mandated closures of our factories, company-owned stores, or retail lots of independent dealers who carry our products;</w:t>
      </w:r>
    </w:p>
    <w:p>
      <w:pPr>
        <w:spacing w:after="0" w:line="176" w:lineRule="exact"/>
        <w:rPr>
          <w:rFonts w:ascii="Courier New" w:cs="Courier New" w:eastAsia="Courier New" w:hAnsi="Courier New"/>
          <w:sz w:val="17"/>
          <w:szCs w:val="17"/>
          <w:color w:val="auto"/>
        </w:rPr>
      </w:pPr>
    </w:p>
    <w:p>
      <w:pPr>
        <w:ind w:left="1700" w:right="559" w:hanging="327"/>
        <w:spacing w:after="0" w:line="323" w:lineRule="auto"/>
        <w:tabs>
          <w:tab w:leader="none" w:pos="1700" w:val="left"/>
        </w:tabs>
        <w:numPr>
          <w:ilvl w:val="0"/>
          <w:numId w:val="9"/>
        </w:numPr>
        <w:rPr>
          <w:rFonts w:ascii="Courier New" w:cs="Courier New" w:eastAsia="Courier New" w:hAnsi="Courier New"/>
          <w:sz w:val="16"/>
          <w:szCs w:val="16"/>
          <w:color w:val="auto"/>
        </w:rPr>
      </w:pPr>
      <w:r>
        <w:rPr>
          <w:rFonts w:ascii="Arial" w:cs="Arial" w:eastAsia="Arial" w:hAnsi="Arial"/>
          <w:sz w:val="16"/>
          <w:szCs w:val="16"/>
          <w:color w:val="auto"/>
        </w:rPr>
        <w:t>delays in development projects as zoning, regulatory, and permitting decisions are likely to be postponed and the expected negative impact of the pandemic on the construction industry;</w:t>
      </w:r>
    </w:p>
    <w:p>
      <w:pPr>
        <w:spacing w:after="0" w:line="133" w:lineRule="exact"/>
        <w:rPr>
          <w:rFonts w:ascii="Courier New" w:cs="Courier New" w:eastAsia="Courier New" w:hAnsi="Courier New"/>
          <w:sz w:val="16"/>
          <w:szCs w:val="16"/>
          <w:color w:val="auto"/>
        </w:rPr>
      </w:pPr>
    </w:p>
    <w:p>
      <w:pPr>
        <w:ind w:left="1700" w:right="559" w:hanging="327"/>
        <w:spacing w:after="0" w:line="259" w:lineRule="auto"/>
        <w:tabs>
          <w:tab w:leader="none" w:pos="17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reduced raw material availability related to global supply chain disruption from the pandemic, including possible border closures;</w:t>
      </w:r>
    </w:p>
    <w:p>
      <w:pPr>
        <w:spacing w:after="0" w:line="184" w:lineRule="exact"/>
        <w:rPr>
          <w:rFonts w:ascii="Courier New" w:cs="Courier New" w:eastAsia="Courier New" w:hAnsi="Courier New"/>
          <w:sz w:val="18"/>
          <w:szCs w:val="18"/>
          <w:color w:val="auto"/>
        </w:rPr>
      </w:pPr>
    </w:p>
    <w:p>
      <w:pPr>
        <w:ind w:left="1700" w:hanging="327"/>
        <w:spacing w:after="0"/>
        <w:tabs>
          <w:tab w:leader="none" w:pos="17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decreased cash flow from operations which could negatively affect our liquidity;</w:t>
      </w:r>
    </w:p>
    <w:p>
      <w:pPr>
        <w:spacing w:after="0" w:line="209" w:lineRule="exact"/>
        <w:rPr>
          <w:rFonts w:ascii="Courier New" w:cs="Courier New" w:eastAsia="Courier New" w:hAnsi="Courier New"/>
          <w:sz w:val="18"/>
          <w:szCs w:val="18"/>
          <w:color w:val="auto"/>
        </w:rPr>
      </w:pPr>
    </w:p>
    <w:p>
      <w:pPr>
        <w:jc w:val="both"/>
        <w:ind w:left="1700" w:right="519" w:hanging="327"/>
        <w:spacing w:after="0" w:line="254" w:lineRule="auto"/>
        <w:tabs>
          <w:tab w:leader="none" w:pos="17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an outbreak of illness among our management and accounting staff could negatively affect our ability to maintain operations, operate our financial systems, delay our statutory reporting, and reduce our internal control of financial reporting.</w:t>
      </w:r>
    </w:p>
    <w:p>
      <w:pPr>
        <w:spacing w:after="0" w:line="190" w:lineRule="exact"/>
        <w:rPr>
          <w:sz w:val="20"/>
          <w:szCs w:val="20"/>
          <w:color w:val="auto"/>
        </w:rPr>
      </w:pPr>
    </w:p>
    <w:p>
      <w:pPr>
        <w:jc w:val="both"/>
        <w:ind w:left="1020" w:right="159"/>
        <w:spacing w:after="0" w:line="263" w:lineRule="auto"/>
        <w:rPr>
          <w:sz w:val="20"/>
          <w:szCs w:val="20"/>
          <w:color w:val="auto"/>
        </w:rPr>
      </w:pPr>
      <w:r>
        <w:rPr>
          <w:rFonts w:ascii="Arial" w:cs="Arial" w:eastAsia="Arial" w:hAnsi="Arial"/>
          <w:sz w:val="18"/>
          <w:szCs w:val="18"/>
          <w:color w:val="auto"/>
        </w:rPr>
        <w:t>We continue to monitor government responses to support the economy and evaluate how those actions might mitigate the risks noted above. At this time, we believe that the pandemic will have a negative effect on our financial results that could range from minor to material.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the information set forth in the financial statements and the accompanying notes appearing elsewhere in this Form 10-Q.</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Comparison of Three Months ended March 31, 2021 and 2020 (in thousands)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 change</w:t>
            </w:r>
          </w:p>
        </w:tc>
        <w:tc>
          <w:tcPr>
            <w:tcW w:w="102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32,274</w:t>
            </w:r>
          </w:p>
        </w:tc>
        <w:tc>
          <w:tcPr>
            <w:tcW w:w="18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31,195</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1,079</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and MHP loans interest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374</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57.2 %</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39,940</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Selling, general administrative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4,793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Dealer incentive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138.7 %</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10,660</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10,609</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436.8 %</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Gain on settlement, net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(1,075)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220"/>
              <w:spacing w:after="0"/>
              <w:rPr>
                <w:sz w:val="20"/>
                <w:szCs w:val="20"/>
                <w:color w:val="auto"/>
              </w:rPr>
            </w:pPr>
            <w:r>
              <w:rPr>
                <w:rFonts w:ascii="Arial" w:cs="Arial" w:eastAsia="Arial" w:hAnsi="Arial"/>
                <w:sz w:val="18"/>
                <w:szCs w:val="18"/>
                <w:color w:val="auto"/>
              </w:rPr>
              <w:t>Total other</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(786)</w:t>
            </w:r>
          </w:p>
        </w:tc>
        <w:tc>
          <w:tcPr>
            <w:tcW w:w="180" w:type="dxa"/>
            <w:vAlign w:val="bottom"/>
            <w:vMerge w:val="continue"/>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Income before income tax expense</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8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(1,862)</w:t>
            </w:r>
          </w:p>
        </w:tc>
        <w:tc>
          <w:tcPr>
            <w:tcW w:w="2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(2,596)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Product sales primarily consist of direct sales, commercial sales, consignment sales and retail store sales. Product sales increased $1.1 million, or 3.5%, during the three months ended March 31, 2021 as compared to the same period in 2020. This increase, though broad based, was muted by the week-long closure of our Texas-based factories due to a February weather event. The disruption from the weather event contributed to an increase in ending finished goods inventory as our transportation schedule was disrupted, similar to our Texas-based factories.</w:t>
      </w:r>
    </w:p>
    <w:p>
      <w:pPr>
        <w:spacing w:after="0" w:line="136"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Net revenue attributable to our factory-built housing consisted of the following during the three months of 2021 and 2020:</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left="360"/>
              <w:spacing w:after="0" w:line="149" w:lineRule="exact"/>
              <w:rPr>
                <w:sz w:val="20"/>
                <w:szCs w:val="20"/>
                <w:color w:val="auto"/>
              </w:rPr>
            </w:pPr>
            <w:r>
              <w:rPr>
                <w:rFonts w:ascii="Arial" w:cs="Arial" w:eastAsia="Arial" w:hAnsi="Arial"/>
                <w:sz w:val="14"/>
                <w:szCs w:val="14"/>
                <w:b w:val="1"/>
                <w:bCs w:val="1"/>
                <w:color w:val="auto"/>
                <w:w w:val="95"/>
              </w:rPr>
              <w:t>March 31,</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Products sold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32,274</w:t>
            </w:r>
          </w:p>
        </w:tc>
        <w:tc>
          <w:tcPr>
            <w:tcW w:w="18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31,195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1,079</w:t>
            </w: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products sold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Net revenue per product sold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For the three months ended March 31, 2021, our net revenue per product sold increased because of price increases in the first quarter of 2021 due to rising material and labor costs. We had increases in consignment sales, direct sales and company-owned retail store sales partially offset by a decline in sales to manufactured home communities.</w:t>
      </w:r>
    </w:p>
    <w:p>
      <w:pPr>
        <w:spacing w:after="0" w:line="108"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MHP loans interest income grew $0.2 million, or 9.7%, during the three months ended March 31, 2021 as compared to the same period in 2020 and is related to our increase in outstanding MHP Note portfolio. Between March 31, 2021 and March 31, 2020 our MHP Note portfolio increased by $35.0 million. Consumer loan interest was $4.1 million for the three months ended March 31, 2021 and 2020.</w:t>
      </w:r>
    </w:p>
    <w:p>
      <w:pPr>
        <w:spacing w:after="0" w:line="146" w:lineRule="exact"/>
        <w:rPr>
          <w:sz w:val="20"/>
          <w:szCs w:val="20"/>
          <w:color w:val="auto"/>
        </w:rPr>
      </w:pPr>
    </w:p>
    <w:p>
      <w:pPr>
        <w:jc w:val="both"/>
        <w:ind w:left="60" w:right="319" w:firstLine="648"/>
        <w:spacing w:after="0" w:line="263" w:lineRule="auto"/>
        <w:rPr>
          <w:sz w:val="20"/>
          <w:szCs w:val="20"/>
          <w:color w:val="auto"/>
        </w:rPr>
      </w:pPr>
      <w:r>
        <w:rPr>
          <w:rFonts w:ascii="Arial" w:cs="Arial" w:eastAsia="Arial" w:hAnsi="Arial"/>
          <w:sz w:val="18"/>
          <w:szCs w:val="18"/>
          <w:color w:val="auto"/>
        </w:rPr>
        <w:t>Other revenue primarily consists of consignment fees, commercial lease rents, and service fees. Other revenue increased $0.4 million or 57.2% during the three months ended March 31, 2021 as compared to the same period in 2020 and is primarily due to continued growth in our commercial lease revenue.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The cost of product sales increased $2.2 million, or 9.9%, during the three months ended March 31, 2021 as compared to the same period in 2020. The increase in costs is primarily related to increases in the cost of materials and labor in 2021 and was materially passed along to our end-customer.</w:t>
      </w:r>
    </w:p>
    <w:p>
      <w:pPr>
        <w:spacing w:after="0" w:line="143" w:lineRule="exact"/>
        <w:rPr>
          <w:sz w:val="20"/>
          <w:szCs w:val="20"/>
          <w:color w:val="auto"/>
        </w:rPr>
      </w:pPr>
    </w:p>
    <w:p>
      <w:pPr>
        <w:ind w:left="60" w:right="139" w:firstLine="713"/>
        <w:spacing w:after="0" w:line="293" w:lineRule="auto"/>
        <w:rPr>
          <w:sz w:val="20"/>
          <w:szCs w:val="20"/>
          <w:color w:val="auto"/>
        </w:rPr>
      </w:pPr>
      <w:r>
        <w:rPr>
          <w:rFonts w:ascii="Arial" w:cs="Arial" w:eastAsia="Arial" w:hAnsi="Arial"/>
          <w:sz w:val="16"/>
          <w:szCs w:val="16"/>
          <w:color w:val="auto"/>
        </w:rPr>
        <w:t>Selling, general and administrative expenses decreased $0.8 million, or 14.6%, during the three months ended March 31, 2021 as compared to the same period in 2020. This decrease was primarily due to a $0.8 million decrease in warranty costs, a $0.4 decrease in loan losses, a $0.2 million decrease in legal expense and a $0.2 million decrease in advertising and promotions. These decreases were partially offset by a $0.3 million increase in consulting and professional fees, a $0.3 million increase in salaries and incentive costs and a net $0.2 million increase in other miscellaneous costs. In addition, dealer incentive expense increased $0.3 million in 2021 as compared to 2020.</w:t>
      </w:r>
    </w:p>
    <w:p>
      <w:pPr>
        <w:spacing w:after="0" w:line="124" w:lineRule="exact"/>
        <w:rPr>
          <w:sz w:val="20"/>
          <w:szCs w:val="20"/>
          <w:color w:val="auto"/>
        </w:rPr>
      </w:pPr>
    </w:p>
    <w:p>
      <w:pPr>
        <w:jc w:val="both"/>
        <w:ind w:left="60" w:right="79" w:firstLine="713"/>
        <w:spacing w:after="0" w:line="259" w:lineRule="auto"/>
        <w:rPr>
          <w:sz w:val="20"/>
          <w:szCs w:val="20"/>
          <w:color w:val="auto"/>
        </w:rPr>
      </w:pPr>
      <w:r>
        <w:rPr>
          <w:rFonts w:ascii="Arial" w:cs="Arial" w:eastAsia="Arial" w:hAnsi="Arial"/>
          <w:sz w:val="18"/>
          <w:szCs w:val="18"/>
          <w:color w:val="auto"/>
        </w:rPr>
        <w:t>Other income (expense), net decreased $0.8 million during the three months ended March 31, 2021 as compared to the same period in 2020. This decrease was primarily due to a $1.1 million gain associated with the 2020 settlement of a lawsuit with a previous vendor for the Company, partially offset by an increase of $0.2 million in miscellaneous, net and a $0.1 million decrease in interest expense.</w:t>
      </w:r>
    </w:p>
    <w:p>
      <w:pPr>
        <w:spacing w:after="0" w:line="160"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Income tax expense during the three months ended March 31, 2021 was $1.9 million compared to $2.6 million for the same period in 2020. The effective tax rate for the three months ended March 31, 2021 was 17.1% and differs from the federal statutory rate of 21% primarily due to a federal tax credit for energy efficient construction partially offset by state income taxes. The effective tax rate for the three months ended March 31, 2020 was 22.3% and differs from the federal statutory rate of 21% primarily due to state income taxes.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We consider all cash and highly liquid investments with an original maturity of three months or less to be cash equivalents. We maintain cash balances in bank accounts that may, at times, exceed federally insured limits. We have not incurred any losses from such accounts and management considers the risk of loss to be minimal. We believe that cash flow from operations, cash and cash equivalents at March 31, 2021, and availability on our lines of credit will be sufficient to fund our operations and provide for growth for the next 12 to 18 months and into the foreseeable future. As of March 31, 2021, we had approximately $2.4 million in cash and cash equivalents, compared to $0.8 million as of December 31,</w:t>
      </w:r>
    </w:p>
    <w:p>
      <w:pPr>
        <w:spacing w:after="0" w:line="4" w:lineRule="exact"/>
        <w:rPr>
          <w:sz w:val="20"/>
          <w:szCs w:val="20"/>
          <w:color w:val="auto"/>
        </w:rPr>
      </w:pPr>
    </w:p>
    <w:p>
      <w:pPr>
        <w:ind w:left="60" w:right="99"/>
        <w:spacing w:after="0" w:line="260" w:lineRule="auto"/>
        <w:rPr>
          <w:sz w:val="20"/>
          <w:szCs w:val="20"/>
          <w:color w:val="auto"/>
        </w:rPr>
      </w:pPr>
      <w:r>
        <w:rPr>
          <w:rFonts w:ascii="Arial" w:cs="Arial" w:eastAsia="Arial" w:hAnsi="Arial"/>
          <w:sz w:val="18"/>
          <w:szCs w:val="18"/>
          <w:color w:val="auto"/>
        </w:rPr>
        <w:t>2020. In the first quarter of 2020, we negotiated a new credit agreement with our primary bank that expanded and extended our credit facility. The new credit agreement closed on March 30, 2020.</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49"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Three Months Ended</w:t>
      </w:r>
    </w:p>
    <w:p>
      <w:pPr>
        <w:ind w:left="7220"/>
        <w:spacing w:after="0" w:line="226" w:lineRule="auto"/>
        <w:rPr>
          <w:sz w:val="20"/>
          <w:szCs w:val="20"/>
          <w:color w:val="auto"/>
        </w:rPr>
      </w:pPr>
      <w:r>
        <w:rPr>
          <w:rFonts w:ascii="Arial" w:cs="Arial" w:eastAsia="Arial" w:hAnsi="Arial"/>
          <w:sz w:val="14"/>
          <w:szCs w:val="14"/>
          <w:b w:val="1"/>
          <w:bCs w:val="1"/>
          <w:color w:val="auto"/>
        </w:rPr>
        <w:t>March 31,</w:t>
      </w:r>
    </w:p>
    <w:p>
      <w:pPr>
        <w:ind w:left="7120"/>
        <w:spacing w:after="0" w:line="232" w:lineRule="auto"/>
        <w:rPr>
          <w:sz w:val="20"/>
          <w:szCs w:val="20"/>
          <w:color w:val="auto"/>
        </w:rPr>
      </w:pPr>
      <w:r>
        <w:rPr>
          <w:rFonts w:ascii="Arial" w:cs="Arial" w:eastAsia="Arial" w:hAnsi="Arial"/>
          <w:sz w:val="14"/>
          <w:szCs w:val="14"/>
          <w:b w:val="1"/>
          <w:bCs w:val="1"/>
          <w:color w:val="auto"/>
        </w:rPr>
        <w:t>(in thousands)</w:t>
      </w:r>
    </w:p>
    <w:tbl>
      <w:tblPr>
        <w:tblLayout w:type="fixed"/>
        <w:tblInd w:w="40" w:type="dxa"/>
        <w:tblCellMar>
          <w:top w:w="0" w:type="dxa"/>
          <w:left w:w="0" w:type="dxa"/>
          <w:bottom w:w="0" w:type="dxa"/>
          <w:right w:w="0" w:type="dxa"/>
        </w:tblCellMar>
      </w:tblPr>
      <w:tr>
        <w:trPr>
          <w:trHeight w:val="142"/>
        </w:trPr>
        <w:tc>
          <w:tcPr>
            <w:tcW w:w="61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(6,127)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9,459</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1,640</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Cash Flow Activities from March 31, 2021 to March 31, 2020</w:t>
      </w:r>
    </w:p>
    <w:p>
      <w:pPr>
        <w:spacing w:after="0" w:line="202"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Net cash used in operating activities decreased $2.8 million during the three months ended March 31, 2021, compared to the comparable period in 2020, primarily as a result of decreased volume of loan originations supporting sales to MHPs net of principal collections and lower growth in net working capital. The decrease in cash used in operating activities was partially offset by increased growth in consumer loan originations net of principal collections.</w:t>
      </w:r>
    </w:p>
    <w:p>
      <w:pPr>
        <w:spacing w:after="0" w:line="131"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Net cash used in investing activities of $6.1 million in 2021 was primarily attributable to $1.7 million used for the acquisition of property plant and equipment and $5.7 million used for loans to third parties for the development of manufactured housing parks. These were offset by collections of $0.1 million of loans we made to third parties for the development of manufactured housing parks and collections of $1.2 million from our purchased consumer loans.</w:t>
      </w:r>
    </w:p>
    <w:p>
      <w:pPr>
        <w:spacing w:after="0" w:line="131" w:lineRule="exact"/>
        <w:rPr>
          <w:sz w:val="20"/>
          <w:szCs w:val="20"/>
          <w:color w:val="auto"/>
        </w:rPr>
      </w:pPr>
    </w:p>
    <w:p>
      <w:pPr>
        <w:ind w:left="60" w:right="59" w:firstLine="648"/>
        <w:spacing w:after="0" w:line="308" w:lineRule="auto"/>
        <w:rPr>
          <w:sz w:val="20"/>
          <w:szCs w:val="20"/>
          <w:color w:val="auto"/>
        </w:rPr>
      </w:pPr>
      <w:r>
        <w:rPr>
          <w:rFonts w:ascii="Arial" w:cs="Arial" w:eastAsia="Arial" w:hAnsi="Arial"/>
          <w:sz w:val="17"/>
          <w:szCs w:val="17"/>
          <w:color w:val="auto"/>
        </w:rPr>
        <w:t>Net cash provided by financing activities of $9.5 million in 2021 was primarily attributable to net proceeds of $9.2 million on our lines of credit and $0.3 million increase in escrow deposits received by the company.</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Indebtedness</w:t>
      </w:r>
    </w:p>
    <w:p>
      <w:pPr>
        <w:spacing w:after="0" w:line="181"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b w:val="1"/>
          <w:bCs w:val="1"/>
          <w:color w:val="auto"/>
        </w:rPr>
        <w:t xml:space="preserve">Capital One Revolver. </w:t>
      </w:r>
      <w:r>
        <w:rPr>
          <w:rFonts w:ascii="Arial" w:cs="Arial" w:eastAsia="Arial" w:hAnsi="Arial"/>
          <w:sz w:val="17"/>
          <w:szCs w:val="17"/>
          <w:color w:val="auto"/>
        </w:rPr>
        <w:t>At December 31, 2019, we had a revolving line of credit (“Revolver 1”) with Capital One,</w:t>
      </w:r>
      <w:r>
        <w:rPr>
          <w:rFonts w:ascii="Arial" w:cs="Arial" w:eastAsia="Arial" w:hAnsi="Arial"/>
          <w:sz w:val="17"/>
          <w:szCs w:val="17"/>
          <w:b w:val="1"/>
          <w:bCs w:val="1"/>
          <w:color w:val="auto"/>
        </w:rPr>
        <w:t xml:space="preserve"> </w:t>
      </w:r>
      <w:r>
        <w:rPr>
          <w:rFonts w:ascii="Arial" w:cs="Arial" w:eastAsia="Arial" w:hAnsi="Arial"/>
          <w:sz w:val="17"/>
          <w:szCs w:val="17"/>
          <w:color w:val="auto"/>
        </w:rPr>
        <w:t>N.A. with a maximum credit limit of $45,000,000 and a maturity date of May 11, 2020. On March 30, 2020, we entered into an agreement with Capital One, N.A. to replace Revolver 1 with a new revolving line of credit (“New Revolver”). The New Revolver has a maximum credit limit of $70,000,000 and a maturity date of March 30, 2024. For the period January 1, 2020 through March 30, 2020, Revolver 1 accrued interest at one-month LIBOR plus 2.40%. Amounts available under Revolver 1 were subject to a formula based on eligible consumer loans and MHP Notes and were secured by all accounts receivable and the consumer loans receivable and MHP Notes.</w:t>
      </w:r>
    </w:p>
    <w:p>
      <w:pPr>
        <w:spacing w:after="0" w:line="135" w:lineRule="exact"/>
        <w:rPr>
          <w:sz w:val="20"/>
          <w:szCs w:val="20"/>
          <w:color w:val="auto"/>
        </w:rPr>
      </w:pPr>
    </w:p>
    <w:p>
      <w:pPr>
        <w:ind w:left="60" w:right="239" w:firstLine="648"/>
        <w:spacing w:after="0" w:line="311" w:lineRule="auto"/>
        <w:rPr>
          <w:sz w:val="20"/>
          <w:szCs w:val="20"/>
          <w:color w:val="auto"/>
        </w:rPr>
      </w:pPr>
      <w:r>
        <w:rPr>
          <w:rFonts w:ascii="Arial" w:cs="Arial" w:eastAsia="Arial" w:hAnsi="Arial"/>
          <w:sz w:val="16"/>
          <w:szCs w:val="16"/>
          <w:color w:val="auto"/>
        </w:rPr>
        <w:t>The New Revolver accrues interest at one-month LIBOR plus 2.00%. The interest rate in effect as of March 31, 2021 was 2.11%. As with Revolver 1, amounts available under the New Revolver are subject to a formula based on eligible consumer loans and MHP Notes and are secured by all accounts receivable and the consumer loans receivable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and MHP Notes. The amount of available credit under the New Revolver was $24,653,000 as of March 31, 2021. In connection with the New Revolver, we paid certain arrangement fees and other fees of approximately $0.3 million, which were capitalized as unamortized debt issuance costs and will be amortized to interest expense over the life of the New Revolver.</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the three months ended March 31, 2021 and 2020, interest expense under the Capital One Revolvers was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$226,000 and $320,000, respectively. The outstanding balance as of March 31, 2021 and December 31, 2020 was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$45,347,000 and $36,174,000, respectively. We were in compliance with all financial covenants as of March 31, 2021,</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including that we maintain a tangible net worth of at least $120,000,000 and that we maintain a ratio of debt to EBITDA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4-to-1, or less.</w:t>
      </w:r>
    </w:p>
    <w:p>
      <w:pPr>
        <w:spacing w:after="0" w:line="166"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b w:val="1"/>
          <w:bCs w:val="1"/>
          <w:color w:val="auto"/>
        </w:rPr>
        <w:t xml:space="preserve">Veritex Community Bank Revolver. </w:t>
      </w:r>
      <w:r>
        <w:rPr>
          <w:rFonts w:ascii="Arial" w:cs="Arial" w:eastAsia="Arial" w:hAnsi="Arial"/>
          <w:sz w:val="16"/>
          <w:szCs w:val="16"/>
          <w:color w:val="auto"/>
        </w:rPr>
        <w:t>In April 2016, we entered into an agreement with Veritex Community Bank</w:t>
      </w:r>
      <w:r>
        <w:rPr>
          <w:rFonts w:ascii="Arial" w:cs="Arial" w:eastAsia="Arial" w:hAnsi="Arial"/>
          <w:sz w:val="16"/>
          <w:szCs w:val="16"/>
          <w:b w:val="1"/>
          <w:bCs w:val="1"/>
          <w:color w:val="auto"/>
        </w:rPr>
        <w:t xml:space="preserve"> </w:t>
      </w:r>
      <w:r>
        <w:rPr>
          <w:rFonts w:ascii="Arial" w:cs="Arial" w:eastAsia="Arial" w:hAnsi="Arial"/>
          <w:sz w:val="16"/>
          <w:szCs w:val="16"/>
          <w:color w:val="auto"/>
        </w:rPr>
        <w:t>to secure an additional revolving line of credit of $15,000,000 (“Revolver 2”). Revolver 2 accrues interest at one month LIBOR plus 2.50% and all unpaid principal and interest is due at maturity on April 4, 2021. Revolver 2 is secured by all finished goods inventory excluding repossessed homes. Amounts available under Revolver 2 are subject to a formula based on eligible inventory. The interest rates in effect as of March 31, 2020 was 4.17%. On May 12, 2017, we entered into an agreement to increase the maximum borrowing availability under Revolver 2 to $20,000,000. On October 15, 2018, Revolver 2 was amended to extend the maturity date from April 4, 2019 to April 4, 2021. The amount of available credit under Revolver 2 was $12,028,000 at March 31, 2020. For the three months ended March 31, 2021 interest expense was $21,000. The outstanding balance as of March 31, 2020 was $2,001,000. We were in compliance with all required covenants as of March 31, 2020. In April 2020, this note was paid in full and the facility was terminated.</w:t>
      </w:r>
    </w:p>
    <w:p>
      <w:pPr>
        <w:spacing w:after="0" w:line="134" w:lineRule="exact"/>
        <w:rPr>
          <w:sz w:val="20"/>
          <w:szCs w:val="20"/>
          <w:color w:val="auto"/>
        </w:rPr>
      </w:pPr>
    </w:p>
    <w:p>
      <w:pPr>
        <w:ind w:left="60" w:right="79" w:firstLine="638"/>
        <w:spacing w:after="0" w:line="294" w:lineRule="auto"/>
        <w:tabs>
          <w:tab w:leader="none" w:pos="1083"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Loan. </w:t>
      </w:r>
      <w:r>
        <w:rPr>
          <w:rFonts w:ascii="Arial" w:cs="Arial" w:eastAsia="Arial" w:hAnsi="Arial"/>
          <w:sz w:val="16"/>
          <w:szCs w:val="16"/>
          <w:color w:val="auto"/>
        </w:rPr>
        <w:t>On April 10, 2020, we Company entered into a loan with Peoples Bank as the lender in an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amount of $6,545,700 (the “Loan”) pursuant to the Paycheck Protection Program under the Coronavirus Aid, Relief, and Economic Security Act. The Loan was evidenced by a promissory note (the “Note”) dated April 10, 2020 and had a maturity date of April 10, 2022. The Note had an interest rate of 1.000% per annum, with the first six months of interest deferred. Principal and interest were payable monthly commencing on November 10, 2020 and could be prepaid by us at any time prior to maturity with no prepayment penalties. On May 1, 2020, this loan was paid in full.</w:t>
      </w:r>
    </w:p>
    <w:p>
      <w:pPr>
        <w:spacing w:after="0" w:line="119"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b w:val="1"/>
          <w:bCs w:val="1"/>
          <w:color w:val="auto"/>
        </w:rPr>
        <w:t xml:space="preserve">PILOT Agreement. </w:t>
      </w:r>
      <w:r>
        <w:rPr>
          <w:rFonts w:ascii="Arial" w:cs="Arial" w:eastAsia="Arial" w:hAnsi="Arial"/>
          <w:sz w:val="17"/>
          <w:szCs w:val="17"/>
          <w:color w:val="auto"/>
        </w:rPr>
        <w:t>In December 2016, we entered into a Payment in Lieu of Taxes (“PILOT”)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commonly offered in Georgia by local community development programs to encourage industry development. The net effect of the PILOT agreement is to provide us with incentives through the abatement of local, city and county property taxes and to provide financing for improvements to our Georgia plant (the “Project”). In connection with the PILOT agreement, the Putman County Development Authority provides a credit facility for up to $10,000,000, which can be drawn upon to fund Project improvements and capital expenditures as defined in the agreement. If funds are drawn, we would pay transactions costs and debt service payments. The PILOT agreement requires interest payments of 6.00% per annum on outstanding balances, which are due each December 1 through maturity on December 1, 2021, at which time all unpaid principal and interest are due. The PILOT agreement is collateralized by the assets of the Project. As of March 31, 2021, we had not drawn down on this credit facility.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is a summary of contractual cash obligations as of March 31, 2021:</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700" w:type="dxa"/>
            <w:vAlign w:val="bottom"/>
            <w:tcBorders>
              <w:bottom w:val="single" w:sz="8" w:color="auto"/>
            </w:tcBorders>
          </w:tcPr>
          <w:p>
            <w:pPr>
              <w:spacing w:after="0"/>
              <w:rPr>
                <w:sz w:val="14"/>
                <w:szCs w:val="14"/>
                <w:color w:val="auto"/>
              </w:rPr>
            </w:pPr>
          </w:p>
        </w:tc>
      </w:tr>
      <w:tr>
        <w:trPr>
          <w:trHeight w:val="291"/>
        </w:trPr>
        <w:tc>
          <w:tcPr>
            <w:tcW w:w="452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Pr>
          <w:p>
            <w:pPr>
              <w:spacing w:after="0"/>
              <w:rPr>
                <w:sz w:val="24"/>
                <w:szCs w:val="2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2022 - 2023  2024 - 2025</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7"/>
              </w:rPr>
              <w:t>After 2025</w:t>
            </w:r>
          </w:p>
        </w:tc>
      </w:tr>
      <w:tr>
        <w:trPr>
          <w:trHeight w:val="209"/>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Lines of credit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45,347</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45,347</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Operating lease obligations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2,369,000</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391,000</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856,000</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592,000</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530,000</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Arrangements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did not have any off-balance sheet arrangements that are reasonably likely to have a current or future effect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our financial condition, net sales, results of operations, liquidity or capital expenditures. However, we do have a</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repurchase agreement with a financial institution providing inventory financing for independent retailers of our products.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Under this agreement, we have agreed to repurchase homes at declining prices over the term of the agreement (24 months).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obligation under this repurchase agreement ceases upon the purchase of the home by the retail customer.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maximum amount of our contingent obligations under such repurchase agreements was approximately $3,073,000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$2,967,000 as of March 31, 2021 and December 31, 2020, respectively, without reduction for the resale value of the homes.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may be required to honor contingent repurchase obligations in the future and may incur additional expense as a</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consequence of these repurchase agreements. We consider our obligations on current contracts to be immaterial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accordingly we have not recorded any reserve for repurchase commitment as of March 31,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Critical accounting estimates are those that we believe are both significant and that require us to make difficult, subjective or complex judgments, often because we need to estimate the effect of inherently uncertain matters. We base our estimates and judgments on historical experiences and various other factors that we believe to be appropriate under the circumstances. Actual results may differ from these estimates, and we might obtain different estimates if we used different assumptions or conditions. Our critical accounting estimates are identified and described in our Annual Report on Form 10-K for the year ended December 31, 2020. Subsequent to the filing of our Annual Report, there have been no material changes to our critical accounting estimates.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For information regarding recent accounting pronouncements, see Note 1 – Nature of Operations, Recent Accounting Pronouncements to our March 31, 2021 Condensed Financial Statements, included in Part I, Item 1, Financial Statements (Unaudited), of this Quarterly Report.</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202"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We are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these exemptions until we are no longer an emerging growth company or until we affirmatively and irrevocably opt out of this exemption.</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 for smaller reporting companies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are subject to the periodic reporting requirements of the Exchange Act that requires designing disclosure controls and procedures to provide reasonable assurance that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137"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the Company’s management conducted an evaluation, under the supervision and with the participation of the Chief Executive Officer and the Chief Financial Officer, of the effectiveness of the design and operation of the Company’s disclosure controls and procedures (as defined in Rule 13a-15(e) of the Exchange Act). Based on this evaluation, the Chief Executive Officer and the Chief Financial Officer each concluded, as of the end of the period, our disclosure controls and procedures were not effective as of March 31, 2021 due to material weaknesses in internal control over financial reporting that were disclosed in our Annual Report on Form 10-K for the fiscal year ended December 31, 2020, and as described below.</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202"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As previously disclosed in our Annual report on Form 10-K filed with the SEC on March 17, 2021, we identified material weaknesses in our internal control over financial reporting during the preparation of our financial statements for the year ended December 31, 2020.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material weaknesses in financial reporting as of March 31, 2021 are summarized as follows:</w:t>
      </w:r>
    </w:p>
    <w:p>
      <w:pPr>
        <w:spacing w:after="0" w:line="185" w:lineRule="exact"/>
        <w:rPr>
          <w:sz w:val="20"/>
          <w:szCs w:val="20"/>
          <w:color w:val="auto"/>
        </w:rPr>
      </w:pPr>
    </w:p>
    <w:p>
      <w:pPr>
        <w:ind w:left="1040" w:right="159" w:hanging="315"/>
        <w:spacing w:after="0" w:line="263"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determined that we did not have sufficient accounting processes and procedures in place, particularly in the areas of allowance for loan loss; inventory costing; revenue recognition; income taxes; and processing of accounts payable and treasury transactions.</w:t>
      </w:r>
    </w:p>
    <w:p>
      <w:pPr>
        <w:spacing w:after="0" w:line="156" w:lineRule="exact"/>
        <w:rPr>
          <w:rFonts w:ascii="Arial" w:cs="Arial" w:eastAsia="Arial" w:hAnsi="Arial"/>
          <w:sz w:val="18"/>
          <w:szCs w:val="18"/>
          <w:color w:val="auto"/>
        </w:rPr>
      </w:pPr>
    </w:p>
    <w:p>
      <w:pPr>
        <w:ind w:left="1040" w:right="33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determined that we did not have sufficient personnel to support preparation of financial statements for compliance with U.S. GAAP and SEC.</w:t>
      </w:r>
    </w:p>
    <w:p>
      <w:pPr>
        <w:spacing w:after="0" w:line="129" w:lineRule="exact"/>
        <w:rPr>
          <w:rFonts w:ascii="Arial" w:cs="Arial" w:eastAsia="Arial" w:hAnsi="Arial"/>
          <w:sz w:val="18"/>
          <w:szCs w:val="18"/>
          <w:color w:val="auto"/>
        </w:rPr>
      </w:pPr>
    </w:p>
    <w:p>
      <w:pPr>
        <w:ind w:left="1040" w:right="239" w:hanging="315"/>
        <w:spacing w:after="0" w:line="263"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determined that we did not have sufficient policies and procedures to ensure the appropriate review and approval of user access rights to our accounting system; and lack of approval of journal entries and segregation of duties in our financial reporting process.</w:t>
      </w:r>
    </w:p>
    <w:p>
      <w:pPr>
        <w:spacing w:after="0" w:line="143"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determined that our information technology infrastructure does not provide sufficient safeguards required by the COBIT framework.</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Remediation Efforts to Address Previously-Identified Material Weaknesses</w:t>
      </w:r>
    </w:p>
    <w:p>
      <w:pPr>
        <w:spacing w:after="0" w:line="189"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As previously described in Item 9A of our Annual Report on Form 10-K for the year ended December 31, 2020, we began implementing remediation plans to address the material weaknesses. The weaknesses will not be considered remediated until the applicable controls operate for a sufficient period of time and management has concluded, through testing, that these controls are operating effectively. We expect that the remediation of these material weaknesses will be completed by the end of fiscal 2021.</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left="60" w:right="499" w:firstLine="648"/>
        <w:spacing w:after="0" w:line="286"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first quarter of fiscal 2021 that materially affected, or are reasonably likely to materially affect, our internal control over financial reporting.</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See Note 12 - Commitments and Contingencies in our March 31, 2021 Condensed Financial Statements, included in Part I, Item 1, Financial Statements (Unaudited), of this Quarterly Report.</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660" w:type="dxa"/>
            <w:vAlign w:val="bottom"/>
            <w:gridSpan w:val="2"/>
          </w:tcPr>
          <w:p>
            <w:pPr>
              <w:ind w:left="640"/>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91"/>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5"/>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5680" w:type="dxa"/>
            <w:vAlign w:val="bottom"/>
            <w:gridSpan w:val="4"/>
          </w:tcPr>
          <w:p>
            <w:pPr>
              <w:spacing w:after="0"/>
              <w:rPr>
                <w:sz w:val="24"/>
                <w:szCs w:val="24"/>
                <w:color w:val="auto"/>
              </w:rPr>
            </w:pPr>
          </w:p>
        </w:tc>
      </w:tr>
      <w:tr>
        <w:trPr>
          <w:trHeight w:val="412"/>
        </w:trPr>
        <w:tc>
          <w:tcPr>
            <w:tcW w:w="1660" w:type="dxa"/>
            <w:vAlign w:val="bottom"/>
            <w:gridSpan w:val="2"/>
          </w:tcPr>
          <w:p>
            <w:pPr>
              <w:spacing w:after="0"/>
              <w:rPr>
                <w:sz w:val="20"/>
                <w:szCs w:val="20"/>
                <w:color w:val="auto"/>
              </w:rPr>
            </w:pPr>
            <w:r>
              <w:rPr>
                <w:rFonts w:ascii="Arial" w:cs="Arial" w:eastAsia="Arial" w:hAnsi="Arial"/>
                <w:sz w:val="18"/>
                <w:szCs w:val="18"/>
                <w:color w:val="auto"/>
              </w:rPr>
              <w:t>EXHIBIT 31.1 *</w:t>
            </w:r>
          </w:p>
        </w:tc>
        <w:tc>
          <w:tcPr>
            <w:tcW w:w="6660" w:type="dxa"/>
            <w:vAlign w:val="bottom"/>
            <w:gridSpan w:val="6"/>
          </w:tcPr>
          <w:p>
            <w:pPr>
              <w:ind w:left="60"/>
              <w:spacing w:after="0"/>
              <w:rPr>
                <w:rFonts w:ascii="Arial" w:cs="Arial" w:eastAsia="Arial" w:hAnsi="Arial"/>
                <w:sz w:val="18"/>
                <w:szCs w:val="18"/>
                <w:color w:val="auto"/>
              </w:rPr>
            </w:pPr>
            <w:r>
              <w:rPr>
                <w:rFonts w:ascii="Arial" w:cs="Arial" w:eastAsia="Arial" w:hAnsi="Arial"/>
                <w:sz w:val="18"/>
                <w:szCs w:val="18"/>
                <w:color w:val="auto"/>
              </w:rPr>
              <w:t>-</w:t>
            </w:r>
            <w:hyperlink w:anchor="page35">
              <w:r>
                <w:rPr>
                  <w:rFonts w:ascii="Arial" w:cs="Arial" w:eastAsia="Arial" w:hAnsi="Arial"/>
                  <w:sz w:val="18"/>
                  <w:szCs w:val="18"/>
                  <w:color w:val="0000EE"/>
                </w:rPr>
                <w:t>Rule 13a—14(a) / 15d—14(a) Certifications — Chief Executive Officer.</w:t>
              </w:r>
            </w:hyperlink>
          </w:p>
        </w:tc>
      </w:tr>
      <w:tr>
        <w:trPr>
          <w:trHeight w:val="20"/>
        </w:trPr>
        <w:tc>
          <w:tcPr>
            <w:tcW w:w="1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660" w:type="dxa"/>
            <w:vAlign w:val="bottom"/>
            <w:gridSpan w:val="2"/>
          </w:tcPr>
          <w:p>
            <w:pPr>
              <w:spacing w:after="0"/>
              <w:rPr>
                <w:sz w:val="20"/>
                <w:szCs w:val="20"/>
                <w:color w:val="auto"/>
              </w:rPr>
            </w:pPr>
            <w:r>
              <w:rPr>
                <w:rFonts w:ascii="Arial" w:cs="Arial" w:eastAsia="Arial" w:hAnsi="Arial"/>
                <w:sz w:val="18"/>
                <w:szCs w:val="18"/>
                <w:color w:val="auto"/>
              </w:rPr>
              <w:t>EXHIBIT 31.2 *</w:t>
            </w:r>
          </w:p>
        </w:tc>
        <w:tc>
          <w:tcPr>
            <w:tcW w:w="6660" w:type="dxa"/>
            <w:vAlign w:val="bottom"/>
            <w:gridSpan w:val="6"/>
          </w:tcPr>
          <w:p>
            <w:pPr>
              <w:ind w:left="60"/>
              <w:spacing w:after="0"/>
              <w:rPr>
                <w:rFonts w:ascii="Arial" w:cs="Arial" w:eastAsia="Arial" w:hAnsi="Arial"/>
                <w:sz w:val="18"/>
                <w:szCs w:val="18"/>
                <w:color w:val="auto"/>
              </w:rPr>
            </w:pPr>
            <w:r>
              <w:rPr>
                <w:rFonts w:ascii="Arial" w:cs="Arial" w:eastAsia="Arial" w:hAnsi="Arial"/>
                <w:sz w:val="18"/>
                <w:szCs w:val="18"/>
                <w:color w:val="auto"/>
              </w:rPr>
              <w:t>-</w:t>
            </w:r>
            <w:hyperlink w:anchor="page36">
              <w:r>
                <w:rPr>
                  <w:rFonts w:ascii="Arial" w:cs="Arial" w:eastAsia="Arial" w:hAnsi="Arial"/>
                  <w:sz w:val="18"/>
                  <w:szCs w:val="18"/>
                  <w:color w:val="0000EE"/>
                </w:rPr>
                <w:t>Rule 13a—14(a) / 15d—14(a) Certifications — Chief Accounting Officer.</w:t>
              </w:r>
            </w:hyperlink>
          </w:p>
        </w:tc>
      </w:tr>
      <w:tr>
        <w:trPr>
          <w:trHeight w:val="20"/>
        </w:trPr>
        <w:tc>
          <w:tcPr>
            <w:tcW w:w="1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660" w:type="dxa"/>
            <w:vAlign w:val="bottom"/>
            <w:gridSpan w:val="2"/>
          </w:tcPr>
          <w:p>
            <w:pPr>
              <w:spacing w:after="0"/>
              <w:rPr>
                <w:sz w:val="20"/>
                <w:szCs w:val="20"/>
                <w:color w:val="auto"/>
              </w:rPr>
            </w:pPr>
            <w:r>
              <w:rPr>
                <w:rFonts w:ascii="Arial" w:cs="Arial" w:eastAsia="Arial" w:hAnsi="Arial"/>
                <w:sz w:val="18"/>
                <w:szCs w:val="18"/>
                <w:color w:val="auto"/>
              </w:rPr>
              <w:t>EXHIBIT 32.1 *</w:t>
            </w:r>
          </w:p>
        </w:tc>
        <w:tc>
          <w:tcPr>
            <w:tcW w:w="6660" w:type="dxa"/>
            <w:vAlign w:val="bottom"/>
            <w:gridSpan w:val="6"/>
          </w:tcPr>
          <w:p>
            <w:pPr>
              <w:ind w:left="60"/>
              <w:spacing w:after="0"/>
              <w:rPr>
                <w:rFonts w:ascii="Arial" w:cs="Arial" w:eastAsia="Arial" w:hAnsi="Arial"/>
                <w:sz w:val="18"/>
                <w:szCs w:val="18"/>
                <w:color w:val="auto"/>
              </w:rPr>
            </w:pPr>
            <w:r>
              <w:rPr>
                <w:rFonts w:ascii="Arial" w:cs="Arial" w:eastAsia="Arial" w:hAnsi="Arial"/>
                <w:sz w:val="18"/>
                <w:szCs w:val="18"/>
                <w:color w:val="auto"/>
              </w:rPr>
              <w:t>-</w:t>
            </w:r>
            <w:hyperlink w:anchor="page37">
              <w:r>
                <w:rPr>
                  <w:rFonts w:ascii="Arial" w:cs="Arial" w:eastAsia="Arial" w:hAnsi="Arial"/>
                  <w:sz w:val="18"/>
                  <w:szCs w:val="18"/>
                  <w:color w:val="0000EE"/>
                </w:rPr>
                <w:t>Section 1350 Certification.</w:t>
              </w:r>
            </w:hyperlink>
          </w:p>
        </w:tc>
      </w:tr>
      <w:tr>
        <w:trPr>
          <w:trHeight w:val="20"/>
        </w:trPr>
        <w:tc>
          <w:tcPr>
            <w:tcW w:w="1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r>
      <w:tr>
        <w:trPr>
          <w:trHeight w:val="412"/>
        </w:trPr>
        <w:tc>
          <w:tcPr>
            <w:tcW w:w="1660" w:type="dxa"/>
            <w:vAlign w:val="bottom"/>
            <w:gridSpan w:val="2"/>
          </w:tcPr>
          <w:p>
            <w:pPr>
              <w:spacing w:after="0"/>
              <w:rPr>
                <w:sz w:val="20"/>
                <w:szCs w:val="20"/>
                <w:color w:val="auto"/>
              </w:rPr>
            </w:pPr>
            <w:r>
              <w:rPr>
                <w:rFonts w:ascii="Arial" w:cs="Arial" w:eastAsia="Arial" w:hAnsi="Arial"/>
                <w:sz w:val="18"/>
                <w:szCs w:val="18"/>
                <w:color w:val="auto"/>
              </w:rPr>
              <w:t>EXHIBIT 32.2 *</w:t>
            </w:r>
          </w:p>
        </w:tc>
        <w:tc>
          <w:tcPr>
            <w:tcW w:w="6660" w:type="dxa"/>
            <w:vAlign w:val="bottom"/>
            <w:gridSpan w:val="6"/>
          </w:tcPr>
          <w:p>
            <w:pPr>
              <w:ind w:left="60"/>
              <w:spacing w:after="0"/>
              <w:rPr>
                <w:rFonts w:ascii="Arial" w:cs="Arial" w:eastAsia="Arial" w:hAnsi="Arial"/>
                <w:sz w:val="18"/>
                <w:szCs w:val="18"/>
                <w:color w:val="auto"/>
              </w:rPr>
            </w:pPr>
            <w:r>
              <w:rPr>
                <w:rFonts w:ascii="Arial" w:cs="Arial" w:eastAsia="Arial" w:hAnsi="Arial"/>
                <w:sz w:val="18"/>
                <w:szCs w:val="18"/>
                <w:color w:val="auto"/>
              </w:rPr>
              <w:t>-</w:t>
            </w:r>
            <w:hyperlink w:anchor="page38">
              <w:r>
                <w:rPr>
                  <w:rFonts w:ascii="Arial" w:cs="Arial" w:eastAsia="Arial" w:hAnsi="Arial"/>
                  <w:sz w:val="18"/>
                  <w:szCs w:val="18"/>
                  <w:color w:val="0000EE"/>
                </w:rPr>
                <w:t>Section 1350 Certification.</w:t>
              </w:r>
            </w:hyperlink>
          </w:p>
        </w:tc>
      </w:tr>
      <w:tr>
        <w:trPr>
          <w:trHeight w:val="20"/>
        </w:trPr>
        <w:tc>
          <w:tcPr>
            <w:tcW w:w="1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r>
      <w:tr>
        <w:trPr>
          <w:trHeight w:val="453"/>
        </w:trPr>
        <w:tc>
          <w:tcPr>
            <w:tcW w:w="1660" w:type="dxa"/>
            <w:vAlign w:val="bottom"/>
            <w:gridSpan w:val="2"/>
          </w:tcPr>
          <w:p>
            <w:pPr>
              <w:spacing w:after="0"/>
              <w:rPr>
                <w:sz w:val="20"/>
                <w:szCs w:val="20"/>
                <w:color w:val="auto"/>
              </w:rPr>
            </w:pPr>
            <w:r>
              <w:rPr>
                <w:rFonts w:ascii="Arial" w:cs="Arial" w:eastAsia="Arial" w:hAnsi="Arial"/>
                <w:sz w:val="18"/>
                <w:szCs w:val="18"/>
                <w:color w:val="auto"/>
              </w:rPr>
              <w:t>EXHIBIT 101.INS *</w:t>
            </w:r>
          </w:p>
        </w:tc>
        <w:tc>
          <w:tcPr>
            <w:tcW w:w="6660" w:type="dxa"/>
            <w:vAlign w:val="bottom"/>
            <w:gridSpan w:val="6"/>
          </w:tcPr>
          <w:p>
            <w:pPr>
              <w:ind w:left="60"/>
              <w:spacing w:after="0"/>
              <w:rPr>
                <w:sz w:val="20"/>
                <w:szCs w:val="20"/>
                <w:color w:val="auto"/>
              </w:rPr>
            </w:pPr>
            <w:r>
              <w:rPr>
                <w:rFonts w:ascii="Arial" w:cs="Arial" w:eastAsia="Arial" w:hAnsi="Arial"/>
                <w:sz w:val="18"/>
                <w:szCs w:val="18"/>
                <w:color w:val="auto"/>
              </w:rPr>
              <w:t>-XBRL Instance Document.</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EXHIBIT 101.SCH *</w:t>
            </w:r>
          </w:p>
        </w:tc>
        <w:tc>
          <w:tcPr>
            <w:tcW w:w="6660" w:type="dxa"/>
            <w:vAlign w:val="bottom"/>
            <w:gridSpan w:val="6"/>
          </w:tcPr>
          <w:p>
            <w:pPr>
              <w:ind w:left="6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EXHIBIT 101.CAL *</w:t>
            </w:r>
          </w:p>
        </w:tc>
        <w:tc>
          <w:tcPr>
            <w:tcW w:w="6660" w:type="dxa"/>
            <w:vAlign w:val="bottom"/>
            <w:gridSpan w:val="6"/>
          </w:tcPr>
          <w:p>
            <w:pPr>
              <w:ind w:left="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EXHIBIT 101.DEF *</w:t>
            </w:r>
          </w:p>
        </w:tc>
        <w:tc>
          <w:tcPr>
            <w:tcW w:w="6660" w:type="dxa"/>
            <w:vAlign w:val="bottom"/>
            <w:gridSpan w:val="6"/>
          </w:tcPr>
          <w:p>
            <w:pPr>
              <w:ind w:left="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EXHIBIT 101.LAB *</w:t>
            </w:r>
          </w:p>
        </w:tc>
        <w:tc>
          <w:tcPr>
            <w:tcW w:w="6660" w:type="dxa"/>
            <w:vAlign w:val="bottom"/>
            <w:gridSpan w:val="6"/>
          </w:tcPr>
          <w:p>
            <w:pPr>
              <w:ind w:left="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EXHIBIT 101.PRE *</w:t>
            </w:r>
          </w:p>
        </w:tc>
        <w:tc>
          <w:tcPr>
            <w:tcW w:w="6660" w:type="dxa"/>
            <w:vAlign w:val="bottom"/>
            <w:gridSpan w:val="6"/>
          </w:tcPr>
          <w:p>
            <w:pPr>
              <w:ind w:left="6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20" w:type="dxa"/>
            <w:vAlign w:val="bottom"/>
            <w:gridSpan w:val="5"/>
          </w:tcPr>
          <w:p>
            <w:pPr>
              <w:spacing w:after="0"/>
              <w:rPr>
                <w:sz w:val="20"/>
                <w:szCs w:val="20"/>
                <w:color w:val="auto"/>
              </w:rPr>
            </w:pPr>
            <w:r>
              <w:rPr>
                <w:rFonts w:ascii="Arial" w:cs="Arial" w:eastAsia="Arial" w:hAnsi="Arial"/>
                <w:sz w:val="18"/>
                <w:szCs w:val="18"/>
                <w:color w:val="auto"/>
                <w:w w:val="91"/>
              </w:rPr>
              <w:t>Cover Page Interactive Data File (formatted as Inline XBRL and contained in Exhibit 101)</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8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5940" w:type="dxa"/>
            <w:vAlign w:val="bottom"/>
            <w:gridSpan w:val="3"/>
          </w:tcPr>
          <w:p>
            <w:pPr>
              <w:ind w:left="1500"/>
              <w:spacing w:after="0"/>
              <w:rPr>
                <w:sz w:val="20"/>
                <w:szCs w:val="20"/>
                <w:color w:val="auto"/>
              </w:rPr>
            </w:pPr>
            <w:r>
              <w:rPr>
                <w:rFonts w:ascii="Arial" w:cs="Arial" w:eastAsia="Arial" w:hAnsi="Arial"/>
                <w:sz w:val="18"/>
                <w:szCs w:val="18"/>
                <w:b w:val="1"/>
                <w:bCs w:val="1"/>
                <w:color w:val="auto"/>
              </w:rPr>
              <w:t>LEGACY HOUSING CORPORATION</w:t>
            </w:r>
          </w:p>
        </w:tc>
      </w:tr>
      <w:tr>
        <w:trPr>
          <w:trHeight w:val="432"/>
        </w:trPr>
        <w:tc>
          <w:tcPr>
            <w:tcW w:w="2980" w:type="dxa"/>
            <w:vAlign w:val="bottom"/>
          </w:tcPr>
          <w:p>
            <w:pPr>
              <w:ind w:left="20"/>
              <w:spacing w:after="0"/>
              <w:rPr>
                <w:sz w:val="20"/>
                <w:szCs w:val="20"/>
                <w:color w:val="auto"/>
              </w:rPr>
            </w:pPr>
            <w:r>
              <w:rPr>
                <w:rFonts w:ascii="Arial" w:cs="Arial" w:eastAsia="Arial" w:hAnsi="Arial"/>
                <w:sz w:val="18"/>
                <w:szCs w:val="18"/>
                <w:color w:val="auto"/>
              </w:rPr>
              <w:t>Dated: May 10, 2021</w:t>
            </w:r>
          </w:p>
        </w:tc>
        <w:tc>
          <w:tcPr>
            <w:tcW w:w="5940" w:type="dxa"/>
            <w:vAlign w:val="bottom"/>
            <w:gridSpan w:val="3"/>
          </w:tcPr>
          <w:p>
            <w:pPr>
              <w:ind w:left="1500"/>
              <w:spacing w:after="0"/>
              <w:rPr>
                <w:sz w:val="20"/>
                <w:szCs w:val="20"/>
                <w:color w:val="auto"/>
              </w:rPr>
            </w:pPr>
            <w:r>
              <w:rPr>
                <w:rFonts w:ascii="Arial" w:cs="Arial" w:eastAsia="Arial" w:hAnsi="Arial"/>
                <w:sz w:val="18"/>
                <w:szCs w:val="18"/>
                <w:color w:val="auto"/>
              </w:rPr>
              <w:t>By:  /s/ Thomas Kerkaert</w:t>
            </w:r>
          </w:p>
        </w:tc>
      </w:tr>
      <w:tr>
        <w:trPr>
          <w:trHeight w:val="195"/>
        </w:trPr>
        <w:tc>
          <w:tcPr>
            <w:tcW w:w="29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Thomas Kerkaert</w:t>
            </w:r>
          </w:p>
        </w:tc>
        <w:tc>
          <w:tcPr>
            <w:tcW w:w="20" w:type="dxa"/>
            <w:vAlign w:val="bottom"/>
          </w:tcPr>
          <w:p>
            <w:pPr>
              <w:spacing w:after="0"/>
              <w:rPr>
                <w:sz w:val="16"/>
                <w:szCs w:val="16"/>
                <w:color w:val="auto"/>
              </w:rPr>
            </w:pP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Title: Chief Financial Officer</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(On behalf of Registrant and as Principal Financial</w:t>
            </w:r>
          </w:p>
        </w:tc>
      </w:tr>
      <w:tr>
        <w:trPr>
          <w:trHeight w:val="230"/>
        </w:trPr>
        <w:tc>
          <w:tcPr>
            <w:tcW w:w="29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Officer)</w:t>
            </w:r>
          </w:p>
        </w:tc>
      </w:tr>
      <w:tr>
        <w:trPr>
          <w:trHeight w:val="891"/>
        </w:trPr>
        <w:tc>
          <w:tcPr>
            <w:tcW w:w="2980" w:type="dxa"/>
            <w:vAlign w:val="bottom"/>
          </w:tcPr>
          <w:p>
            <w:pPr>
              <w:spacing w:after="0"/>
              <w:rPr>
                <w:sz w:val="24"/>
                <w:szCs w:val="24"/>
                <w:color w:val="auto"/>
              </w:rPr>
            </w:pPr>
          </w:p>
        </w:tc>
        <w:tc>
          <w:tcPr>
            <w:tcW w:w="1900" w:type="dxa"/>
            <w:vAlign w:val="bottom"/>
          </w:tcPr>
          <w:p>
            <w:pPr>
              <w:jc w:val="right"/>
              <w:ind w:right="230"/>
              <w:spacing w:after="0"/>
              <w:rPr>
                <w:sz w:val="20"/>
                <w:szCs w:val="20"/>
                <w:color w:val="auto"/>
              </w:rPr>
            </w:pPr>
            <w:r>
              <w:rPr>
                <w:rFonts w:ascii="Arial" w:cs="Arial" w:eastAsia="Arial" w:hAnsi="Arial"/>
                <w:sz w:val="18"/>
                <w:szCs w:val="18"/>
                <w:color w:val="auto"/>
              </w:rPr>
              <w:t>33</w:t>
            </w: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9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Kenneth E. Shipley, certify that:</w:t>
      </w:r>
    </w:p>
    <w:p>
      <w:pPr>
        <w:spacing w:after="0" w:line="225" w:lineRule="exact"/>
        <w:rPr>
          <w:sz w:val="20"/>
          <w:szCs w:val="20"/>
          <w:color w:val="auto"/>
        </w:rPr>
      </w:pPr>
    </w:p>
    <w:p>
      <w:pPr>
        <w:ind w:left="840" w:hanging="184"/>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Legacy Housing Corporation;</w:t>
      </w:r>
    </w:p>
    <w:p>
      <w:pPr>
        <w:spacing w:after="0" w:line="225" w:lineRule="exact"/>
        <w:rPr>
          <w:rFonts w:ascii="Arial" w:cs="Arial" w:eastAsia="Arial" w:hAnsi="Arial"/>
          <w:sz w:val="18"/>
          <w:szCs w:val="18"/>
          <w:color w:val="auto"/>
        </w:rPr>
      </w:pPr>
    </w:p>
    <w:p>
      <w:pPr>
        <w:ind w:right="240" w:firstLine="656"/>
        <w:spacing w:after="0" w:line="263"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00" w:firstLine="656"/>
        <w:spacing w:after="0" w:line="263"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656"/>
        <w:spacing w:after="0" w:line="263"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60" w:right="240" w:firstLine="655"/>
        <w:spacing w:after="0" w:line="311" w:lineRule="auto"/>
        <w:tabs>
          <w:tab w:leader="none" w:pos="1198"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60" w:right="60" w:firstLine="655"/>
        <w:spacing w:after="0" w:line="286" w:lineRule="auto"/>
        <w:tabs>
          <w:tab w:leader="none" w:pos="120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60" w:right="80" w:firstLine="655"/>
        <w:spacing w:after="0" w:line="263" w:lineRule="auto"/>
        <w:tabs>
          <w:tab w:leader="none" w:pos="11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60" w:right="20" w:firstLine="655"/>
        <w:spacing w:after="0" w:line="286" w:lineRule="auto"/>
        <w:tabs>
          <w:tab w:leader="none" w:pos="120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656"/>
        <w:spacing w:after="0" w:line="263"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60" w:right="320" w:firstLine="655"/>
        <w:spacing w:after="0" w:line="263" w:lineRule="auto"/>
        <w:tabs>
          <w:tab w:leader="none" w:pos="11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60" w:right="360" w:firstLine="655"/>
        <w:spacing w:after="0" w:line="277" w:lineRule="auto"/>
        <w:tabs>
          <w:tab w:leader="none" w:pos="12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10,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E. Shipley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Kenneth E. Shipley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Thomas Kerkaert, certify that:</w:t>
      </w:r>
    </w:p>
    <w:p>
      <w:pPr>
        <w:spacing w:after="0" w:line="225" w:lineRule="exact"/>
        <w:rPr>
          <w:sz w:val="20"/>
          <w:szCs w:val="20"/>
          <w:color w:val="auto"/>
        </w:rPr>
      </w:pPr>
    </w:p>
    <w:p>
      <w:pPr>
        <w:ind w:left="840" w:hanging="184"/>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Legacy Housing Corporation;</w:t>
      </w:r>
    </w:p>
    <w:p>
      <w:pPr>
        <w:spacing w:after="0" w:line="225" w:lineRule="exact"/>
        <w:rPr>
          <w:rFonts w:ascii="Arial" w:cs="Arial" w:eastAsia="Arial" w:hAnsi="Arial"/>
          <w:sz w:val="18"/>
          <w:szCs w:val="18"/>
          <w:color w:val="auto"/>
        </w:rPr>
      </w:pPr>
    </w:p>
    <w:p>
      <w:pPr>
        <w:ind w:right="240" w:firstLine="656"/>
        <w:spacing w:after="0" w:line="263"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00" w:firstLine="656"/>
        <w:spacing w:after="0" w:line="263"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656"/>
        <w:spacing w:after="0" w:line="263"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60" w:right="240" w:firstLine="655"/>
        <w:spacing w:after="0" w:line="311" w:lineRule="auto"/>
        <w:tabs>
          <w:tab w:leader="none" w:pos="1198"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60" w:right="60" w:firstLine="655"/>
        <w:spacing w:after="0" w:line="286" w:lineRule="auto"/>
        <w:tabs>
          <w:tab w:leader="none" w:pos="120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60" w:right="80" w:firstLine="655"/>
        <w:spacing w:after="0" w:line="263" w:lineRule="auto"/>
        <w:tabs>
          <w:tab w:leader="none" w:pos="11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60" w:right="20" w:firstLine="655"/>
        <w:spacing w:after="0" w:line="286" w:lineRule="auto"/>
        <w:tabs>
          <w:tab w:leader="none" w:pos="120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656"/>
        <w:spacing w:after="0" w:line="263"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60" w:right="320" w:firstLine="655"/>
        <w:spacing w:after="0" w:line="263" w:lineRule="auto"/>
        <w:tabs>
          <w:tab w:leader="none" w:pos="11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60" w:right="360" w:firstLine="655"/>
        <w:spacing w:after="0" w:line="277" w:lineRule="auto"/>
        <w:tabs>
          <w:tab w:leader="none" w:pos="12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10,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Kerkaert</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Thomas Kerkaert</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connection with the quarterly report of Legacy Housing Corporation (the “Company”) on Form 10-Q for the quarter ended March 31, 2021, as filed with the Securities and Exchange Commission on the date hereof (the “Report”), I, Kenneth E. Shipley, President and Chief Executive Officer of the Company, certify, pursuant to 18 U.S.C. §1350, as adopted pursuant to Section 906 of the Sarbanes-Oxley Act of 2002, that:</w:t>
      </w:r>
    </w:p>
    <w:p>
      <w:pPr>
        <w:spacing w:after="0" w:line="187" w:lineRule="exact"/>
        <w:rPr>
          <w:sz w:val="20"/>
          <w:szCs w:val="20"/>
          <w:color w:val="auto"/>
        </w:rPr>
      </w:pPr>
    </w:p>
    <w:p>
      <w:pPr>
        <w:ind w:left="1300" w:right="260" w:hanging="644"/>
        <w:spacing w:after="0" w:line="277" w:lineRule="auto"/>
        <w:tabs>
          <w:tab w:leader="none" w:pos="12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2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10,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E. Shipley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Kenneth E. Shipley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quarterly report of Legacy Housing Corporation (the “Company”) on Form 10-Q for the quarter ended March 31, 2021, as filed with the Securities and Exchange Commission on the date hereof (the “Report”), I, Thomas Kerkaert, Chief Financial Officer of the Company, certify, pursuant to 18 U.S.C. §1350, as adopted pursuant to Section 906 of the Sarbanes-Oxley Act of 2002, that:</w:t>
      </w:r>
    </w:p>
    <w:p>
      <w:pPr>
        <w:spacing w:after="0" w:line="187" w:lineRule="exact"/>
        <w:rPr>
          <w:sz w:val="20"/>
          <w:szCs w:val="20"/>
          <w:color w:val="auto"/>
        </w:rPr>
      </w:pPr>
    </w:p>
    <w:p>
      <w:pPr>
        <w:ind w:left="1300" w:right="260" w:hanging="644"/>
        <w:spacing w:after="0" w:line="277" w:lineRule="auto"/>
        <w:tabs>
          <w:tab w:leader="none" w:pos="12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2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10,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Kerkaert</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Thomas Kerkaert</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3"/>
    </w:lvl>
  </w:abstractNum>
  <w:abstractNum w:abstractNumId="4">
    <w:nsid w:val="4DB127F8"/>
    <w:multiLevelType w:val="hybridMultilevel"/>
    <w:lvl w:ilvl="0">
      <w:lvlJc w:val="left"/>
      <w:lvlText w:val="(%1)"/>
      <w:numFmt w:val="decimal"/>
      <w:start w:val="2"/>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o"/>
      <w:numFmt w:val="bullet"/>
      <w:start w:val="1"/>
    </w:lvl>
  </w:abstractNum>
  <w:abstractNum w:abstractNumId="9">
    <w:nsid w:val="140E0F76"/>
    <w:multiLevelType w:val="hybridMultilevel"/>
    <w:lvl w:ilvl="0">
      <w:lvlJc w:val="left"/>
      <w:lvlText w:val="%1"/>
      <w:numFmt w:val="upperLetter"/>
      <w:start w:val="68"/>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2021-05-10T17:07:10Z</dcterms:created>
  <dcterms:modified xsi:type="dcterms:W3CDTF">2021-05-10T17:07:10Z</dcterms:modified>
</cp:coreProperties>
</file>