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004-3_4seq1.xml.htm"/>
      <w:bookmarkStart w:id="1" w:name="kstm2624004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Ferguson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LEGACY HOUSING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AIRPORT FREEWAY,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Legacy Housing Corp</w:t>
              </w:r>
            </w:hyperlink>
            <w:r>
              <w:rPr/>
              <w:t xml:space="preserve"> [ </w:t>
            </w:r>
            <w:r>
              <w:rPr>
                <w:rFonts w:ascii="Times;serif" w:hAnsi="Times;serif"/>
                <w:color w:val="0000FF"/>
                <w:sz w:val="24"/>
                <w:shd w:fill="FFFFFF" w:val="clear"/>
              </w:rPr>
              <w:t>LEGH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12/18/2025</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Represents an award of 479 shares of restricted stock granted under the Issuer's 2018 Incentive Compensation Plan as compensation for service as a director, at no cost to the Reporting Person. The number of shares awarded is equal to $10,000.00 divided by the $20.86 closing trading price per share of the Issuer's common stock on the date of grant. The shares vest in full on December 18, 2026, subject to the Reporting Person's continuous service through that date, and vest immediately upon a change in control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Ferguson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8186" TargetMode="External"/><Relationship Id="rId5" Type="http://schemas.openxmlformats.org/officeDocument/2006/relationships/hyperlink" Target="http://www.sec.gov/cgi-bin/browse-edgar?action=getcompany&amp;CIK=00014362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3504</Characters>
  <CharactersWithSpaces>4088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