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126365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77" w:lineRule="exact"/>
        <w:rPr>
          <w:sz w:val="24"/>
          <w:szCs w:val="24"/>
          <w:color w:val="auto"/>
        </w:rPr>
      </w:pPr>
    </w:p>
    <w:p>
      <w:pPr>
        <w:jc w:val="center"/>
        <w:ind w:right="11"/>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ind w:right="11"/>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11"/>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77470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1" w:lineRule="exact"/>
        <w:rPr>
          <w:sz w:val="24"/>
          <w:szCs w:val="24"/>
          <w:color w:val="auto"/>
        </w:rPr>
      </w:pPr>
    </w:p>
    <w:p>
      <w:pPr>
        <w:jc w:val="center"/>
        <w:ind w:right="11"/>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88265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31" w:lineRule="exact"/>
        <w:rPr>
          <w:sz w:val="24"/>
          <w:szCs w:val="24"/>
          <w:color w:val="auto"/>
        </w:rPr>
      </w:pPr>
    </w:p>
    <w:p>
      <w:pPr>
        <w:ind w:left="449" w:right="180" w:hanging="449"/>
        <w:spacing w:after="0" w:line="267" w:lineRule="auto"/>
        <w:tabs>
          <w:tab w:leader="none" w:pos="616"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0" w:lineRule="exact"/>
        <w:rPr>
          <w:sz w:val="24"/>
          <w:szCs w:val="24"/>
          <w:color w:val="auto"/>
        </w:rPr>
      </w:pPr>
    </w:p>
    <w:p>
      <w:pPr>
        <w:jc w:val="center"/>
        <w:ind w:right="11"/>
        <w:spacing w:after="0"/>
        <w:rPr>
          <w:sz w:val="20"/>
          <w:szCs w:val="20"/>
          <w:color w:val="auto"/>
        </w:rPr>
      </w:pPr>
      <w:r>
        <w:rPr>
          <w:rFonts w:ascii="Arial" w:cs="Arial" w:eastAsia="Arial" w:hAnsi="Arial"/>
          <w:sz w:val="16"/>
          <w:szCs w:val="16"/>
          <w:b w:val="1"/>
          <w:bCs w:val="1"/>
          <w:color w:val="auto"/>
        </w:rPr>
        <w:t>For the quarterly period ended June 30, 2019</w:t>
      </w:r>
    </w:p>
    <w:p>
      <w:pPr>
        <w:spacing w:after="0" w:line="73" w:lineRule="exact"/>
        <w:rPr>
          <w:sz w:val="24"/>
          <w:szCs w:val="24"/>
          <w:color w:val="auto"/>
        </w:rPr>
      </w:pPr>
    </w:p>
    <w:p>
      <w:pPr>
        <w:jc w:val="center"/>
        <w:ind w:right="11"/>
        <w:spacing w:after="0"/>
        <w:rPr>
          <w:sz w:val="20"/>
          <w:szCs w:val="20"/>
          <w:color w:val="auto"/>
        </w:rPr>
      </w:pPr>
      <w:r>
        <w:rPr>
          <w:rFonts w:ascii="Arial" w:cs="Arial" w:eastAsia="Arial" w:hAnsi="Arial"/>
          <w:sz w:val="16"/>
          <w:szCs w:val="16"/>
          <w:b w:val="1"/>
          <w:bCs w:val="1"/>
          <w:color w:val="auto"/>
        </w:rPr>
        <w:t>OR</w:t>
      </w:r>
    </w:p>
    <w:p>
      <w:pPr>
        <w:spacing w:after="0" w:line="77" w:lineRule="exact"/>
        <w:rPr>
          <w:sz w:val="24"/>
          <w:szCs w:val="24"/>
          <w:color w:val="auto"/>
        </w:rPr>
      </w:pPr>
    </w:p>
    <w:p>
      <w:pPr>
        <w:ind w:left="449" w:right="160" w:hanging="449"/>
        <w:spacing w:after="0" w:line="267" w:lineRule="auto"/>
        <w:tabs>
          <w:tab w:leader="none" w:pos="616"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0" w:lineRule="exact"/>
        <w:rPr>
          <w:sz w:val="24"/>
          <w:szCs w:val="24"/>
          <w:color w:val="auto"/>
        </w:rPr>
      </w:pPr>
    </w:p>
    <w:p>
      <w:pPr>
        <w:ind w:left="3869"/>
        <w:spacing w:after="0"/>
        <w:tabs>
          <w:tab w:leader="none" w:pos="6388"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3" w:lineRule="exact"/>
        <w:rPr>
          <w:sz w:val="24"/>
          <w:szCs w:val="24"/>
          <w:color w:val="auto"/>
        </w:rPr>
      </w:pPr>
    </w:p>
    <w:p>
      <w:pPr>
        <w:jc w:val="center"/>
        <w:ind w:right="11"/>
        <w:spacing w:after="0" w:line="184" w:lineRule="exact"/>
        <w:rPr>
          <w:sz w:val="20"/>
          <w:szCs w:val="20"/>
          <w:color w:val="auto"/>
        </w:rPr>
      </w:pPr>
      <w:r>
        <w:rPr>
          <w:rFonts w:ascii="Arial" w:cs="Arial" w:eastAsia="Arial" w:hAnsi="Arial"/>
          <w:sz w:val="16"/>
          <w:szCs w:val="16"/>
          <w:b w:val="1"/>
          <w:bCs w:val="1"/>
          <w:color w:val="auto"/>
        </w:rPr>
        <w:t>Commission file number 001</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38761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88900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27" w:lineRule="exact"/>
        <w:rPr>
          <w:sz w:val="24"/>
          <w:szCs w:val="24"/>
          <w:color w:val="auto"/>
        </w:rPr>
      </w:pPr>
    </w:p>
    <w:p>
      <w:pPr>
        <w:jc w:val="center"/>
        <w:ind w:right="11"/>
        <w:spacing w:after="0"/>
        <w:rPr>
          <w:sz w:val="20"/>
          <w:szCs w:val="20"/>
          <w:color w:val="auto"/>
        </w:rPr>
      </w:pPr>
      <w:r>
        <w:rPr>
          <w:rFonts w:ascii="Arial" w:cs="Arial" w:eastAsia="Arial" w:hAnsi="Arial"/>
          <w:sz w:val="31"/>
          <w:szCs w:val="31"/>
          <w:b w:val="1"/>
          <w:bCs w:val="1"/>
          <w:color w:val="auto"/>
        </w:rPr>
        <w:t>Legacy Housing Corporation</w:t>
      </w:r>
    </w:p>
    <w:p>
      <w:pPr>
        <w:spacing w:after="0" w:line="35" w:lineRule="exact"/>
        <w:rPr>
          <w:sz w:val="24"/>
          <w:szCs w:val="24"/>
          <w:color w:val="auto"/>
        </w:rPr>
      </w:pPr>
    </w:p>
    <w:p>
      <w:pPr>
        <w:jc w:val="center"/>
        <w:ind w:right="11"/>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77470</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ectPr>
          <w:pgSz w:w="11900" w:h="16838" w:orient="portrait"/>
          <w:cols w:equalWidth="0" w:num="1">
            <w:col w:w="10409"/>
          </w:cols>
          <w:pgMar w:left="751" w:top="233" w:right="739" w:bottom="1440" w:gutter="0" w:footer="0" w:header="0"/>
        </w:sectPr>
      </w:pPr>
    </w:p>
    <w:p>
      <w:pPr>
        <w:spacing w:after="0" w:line="365" w:lineRule="exact"/>
        <w:rPr>
          <w:sz w:val="24"/>
          <w:szCs w:val="24"/>
          <w:color w:val="auto"/>
        </w:rPr>
      </w:pPr>
    </w:p>
    <w:p>
      <w:pPr>
        <w:ind w:left="2309"/>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689"/>
        <w:spacing w:after="0"/>
        <w:rPr>
          <w:sz w:val="20"/>
          <w:szCs w:val="20"/>
          <w:color w:val="auto"/>
        </w:rPr>
      </w:pPr>
      <w:r>
        <w:rPr>
          <w:rFonts w:ascii="Arial" w:cs="Arial" w:eastAsia="Arial" w:hAnsi="Arial"/>
          <w:sz w:val="15"/>
          <w:szCs w:val="15"/>
          <w:color w:val="auto"/>
        </w:rPr>
        <w:t>(State or other jurisdiction of</w:t>
      </w:r>
    </w:p>
    <w:p>
      <w:pPr>
        <w:spacing w:after="0" w:line="30" w:lineRule="exact"/>
        <w:rPr>
          <w:sz w:val="24"/>
          <w:szCs w:val="24"/>
          <w:color w:val="auto"/>
        </w:rPr>
      </w:pPr>
    </w:p>
    <w:p>
      <w:pPr>
        <w:ind w:left="1669"/>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jc w:val="center"/>
        <w:ind w:right="1960"/>
        <w:spacing w:after="0" w:line="184" w:lineRule="exact"/>
        <w:rPr>
          <w:sz w:val="20"/>
          <w:szCs w:val="20"/>
          <w:color w:val="auto"/>
        </w:rPr>
      </w:pPr>
      <w:r>
        <w:rPr>
          <w:rFonts w:ascii="Arial" w:cs="Arial" w:eastAsia="Arial" w:hAnsi="Arial"/>
          <w:sz w:val="16"/>
          <w:szCs w:val="16"/>
          <w:b w:val="1"/>
          <w:bCs w:val="1"/>
          <w:color w:val="auto"/>
        </w:rPr>
        <w:t>20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2897516</w:t>
      </w:r>
    </w:p>
    <w:p>
      <w:pPr>
        <w:spacing w:after="0" w:line="26"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1960"/>
        <w:spacing w:after="0"/>
        <w:rPr>
          <w:sz w:val="20"/>
          <w:szCs w:val="20"/>
          <w:color w:val="auto"/>
        </w:rPr>
      </w:pPr>
      <w:r>
        <w:rPr>
          <w:rFonts w:ascii="Arial" w:cs="Arial" w:eastAsia="Arial" w:hAnsi="Arial"/>
          <w:sz w:val="15"/>
          <w:szCs w:val="15"/>
          <w:color w:val="auto"/>
        </w:rPr>
        <w:t>Identification No.)</w:t>
      </w:r>
    </w:p>
    <w:p>
      <w:pPr>
        <w:spacing w:after="0" w:line="144" w:lineRule="exact"/>
        <w:rPr>
          <w:sz w:val="24"/>
          <w:szCs w:val="24"/>
          <w:color w:val="auto"/>
        </w:rPr>
      </w:pPr>
    </w:p>
    <w:p>
      <w:pPr>
        <w:sectPr>
          <w:pgSz w:w="11900" w:h="16838" w:orient="portrait"/>
          <w:cols w:equalWidth="0" w:num="2">
            <w:col w:w="6509" w:space="720"/>
            <w:col w:w="3180"/>
          </w:cols>
          <w:pgMar w:left="751" w:top="233" w:right="739" w:bottom="1440" w:gutter="0" w:footer="0" w:header="0"/>
          <w:type w:val="continuous"/>
        </w:sectPr>
      </w:pPr>
    </w:p>
    <w:p>
      <w:pPr>
        <w:jc w:val="center"/>
        <w:ind w:right="-8"/>
        <w:spacing w:after="0"/>
        <w:rPr>
          <w:sz w:val="20"/>
          <w:szCs w:val="20"/>
          <w:color w:val="auto"/>
        </w:rPr>
      </w:pPr>
      <w:r>
        <w:rPr>
          <w:rFonts w:ascii="Arial" w:cs="Arial" w:eastAsia="Arial" w:hAnsi="Arial"/>
          <w:sz w:val="16"/>
          <w:szCs w:val="16"/>
          <w:b w:val="1"/>
          <w:bCs w:val="1"/>
          <w:color w:val="auto"/>
        </w:rPr>
        <w:t>1600 Airport Freeway, #100</w:t>
      </w:r>
    </w:p>
    <w:p>
      <w:pPr>
        <w:spacing w:after="0" w:line="26" w:lineRule="exact"/>
        <w:rPr>
          <w:sz w:val="24"/>
          <w:szCs w:val="24"/>
          <w:color w:val="auto"/>
        </w:rPr>
      </w:pPr>
    </w:p>
    <w:p>
      <w:pPr>
        <w:jc w:val="center"/>
        <w:ind w:right="11"/>
        <w:spacing w:after="0"/>
        <w:rPr>
          <w:sz w:val="20"/>
          <w:szCs w:val="20"/>
          <w:color w:val="auto"/>
        </w:rPr>
      </w:pPr>
      <w:r>
        <w:rPr>
          <w:rFonts w:ascii="Arial" w:cs="Arial" w:eastAsia="Arial" w:hAnsi="Arial"/>
          <w:sz w:val="16"/>
          <w:szCs w:val="16"/>
          <w:b w:val="1"/>
          <w:bCs w:val="1"/>
          <w:color w:val="auto"/>
        </w:rPr>
        <w:t>Bedford, Texas 76022</w:t>
      </w:r>
    </w:p>
    <w:p>
      <w:pPr>
        <w:spacing w:after="0" w:line="19" w:lineRule="exact"/>
        <w:rPr>
          <w:sz w:val="24"/>
          <w:szCs w:val="24"/>
          <w:color w:val="auto"/>
        </w:rPr>
      </w:pPr>
    </w:p>
    <w:p>
      <w:pPr>
        <w:jc w:val="center"/>
        <w:ind w:right="11"/>
        <w:spacing w:after="0"/>
        <w:rPr>
          <w:sz w:val="20"/>
          <w:szCs w:val="20"/>
          <w:color w:val="auto"/>
        </w:rPr>
      </w:pPr>
      <w:r>
        <w:rPr>
          <w:rFonts w:ascii="Arial" w:cs="Arial" w:eastAsia="Arial" w:hAnsi="Arial"/>
          <w:sz w:val="16"/>
          <w:szCs w:val="16"/>
          <w:color w:val="auto"/>
        </w:rPr>
        <w:t>(Address of principal executive offices)</w:t>
      </w:r>
    </w:p>
    <w:p>
      <w:pPr>
        <w:spacing w:after="0" w:line="19" w:lineRule="exact"/>
        <w:rPr>
          <w:sz w:val="24"/>
          <w:szCs w:val="24"/>
          <w:color w:val="auto"/>
        </w:rPr>
      </w:pPr>
    </w:p>
    <w:p>
      <w:pPr>
        <w:jc w:val="center"/>
        <w:ind w:right="11"/>
        <w:spacing w:after="0"/>
        <w:rPr>
          <w:sz w:val="20"/>
          <w:szCs w:val="20"/>
          <w:color w:val="auto"/>
        </w:rPr>
      </w:pPr>
      <w:r>
        <w:rPr>
          <w:rFonts w:ascii="Arial" w:cs="Arial" w:eastAsia="Arial" w:hAnsi="Arial"/>
          <w:sz w:val="16"/>
          <w:szCs w:val="16"/>
          <w:color w:val="auto"/>
        </w:rPr>
        <w:t>(Zip Code)</w:t>
      </w:r>
    </w:p>
    <w:p>
      <w:pPr>
        <w:spacing w:after="0" w:line="119" w:lineRule="exact"/>
        <w:rPr>
          <w:sz w:val="24"/>
          <w:szCs w:val="24"/>
          <w:color w:val="auto"/>
        </w:rPr>
      </w:pPr>
    </w:p>
    <w:p>
      <w:pPr>
        <w:jc w:val="center"/>
        <w:ind w:right="11"/>
        <w:spacing w:after="0" w:line="184" w:lineRule="exact"/>
        <w:rPr>
          <w:sz w:val="20"/>
          <w:szCs w:val="20"/>
          <w:color w:val="auto"/>
        </w:rPr>
      </w:pPr>
      <w:r>
        <w:rPr>
          <w:rFonts w:ascii="Arial" w:cs="Arial" w:eastAsia="Arial" w:hAnsi="Arial"/>
          <w:sz w:val="16"/>
          <w:szCs w:val="16"/>
          <w:b w:val="1"/>
          <w:bCs w:val="1"/>
          <w:color w:val="auto"/>
        </w:rPr>
        <w:t>(817)</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799</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4900</w:t>
      </w:r>
    </w:p>
    <w:p>
      <w:pPr>
        <w:spacing w:after="0" w:line="26" w:lineRule="exact"/>
        <w:rPr>
          <w:sz w:val="24"/>
          <w:szCs w:val="24"/>
          <w:color w:val="auto"/>
        </w:rPr>
      </w:pPr>
    </w:p>
    <w:p>
      <w:pPr>
        <w:jc w:val="center"/>
        <w:ind w:right="-8"/>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99060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ectPr>
          <w:pgSz w:w="11900" w:h="16838" w:orient="portrait"/>
          <w:cols w:equalWidth="0" w:num="1">
            <w:col w:w="10409"/>
          </w:cols>
          <w:pgMar w:left="751" w:top="233" w:right="739" w:bottom="1440" w:gutter="0" w:footer="0" w:header="0"/>
          <w:type w:val="continuous"/>
        </w:sectPr>
      </w:pPr>
    </w:p>
    <w:p>
      <w:pPr>
        <w:spacing w:after="0" w:line="267" w:lineRule="exact"/>
        <w:rPr>
          <w:sz w:val="24"/>
          <w:szCs w:val="24"/>
          <w:color w:val="auto"/>
        </w:rPr>
      </w:pPr>
    </w:p>
    <w:p>
      <w:pPr>
        <w:jc w:val="both"/>
        <w:ind w:left="9" w:right="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left="9" w:right="62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left="9" w:right="40"/>
        <w:spacing w:after="0" w:line="204" w:lineRule="exact"/>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6"/>
          <w:szCs w:val="16"/>
          <w:color w:val="auto"/>
        </w:rPr>
        <w:t>‑</w:t>
      </w:r>
      <w:r>
        <w:rPr>
          <w:rFonts w:ascii="Arial" w:cs="Arial" w:eastAsia="Arial" w:hAnsi="Arial"/>
          <w:sz w:val="16"/>
          <w:szCs w:val="16"/>
          <w:color w:val="auto"/>
        </w:rPr>
        <w:t>2 of the Exchange Act.</w:t>
      </w:r>
    </w:p>
    <w:p>
      <w:pPr>
        <w:sectPr>
          <w:pgSz w:w="11900" w:h="16838" w:orient="portrait"/>
          <w:cols w:equalWidth="0" w:num="1">
            <w:col w:w="10409"/>
          </w:cols>
          <w:pgMar w:left="751" w:top="233" w:right="739" w:bottom="1440" w:gutter="0" w:footer="0" w:header="0"/>
          <w:type w:val="continuous"/>
        </w:sectPr>
      </w:pPr>
    </w:p>
    <w:p>
      <w:pPr>
        <w:spacing w:after="0" w:line="22" w:lineRule="exact"/>
        <w:rPr>
          <w:sz w:val="24"/>
          <w:szCs w:val="24"/>
          <w:color w:val="auto"/>
        </w:rPr>
      </w:pPr>
    </w:p>
    <w:p>
      <w:pPr>
        <w:ind w:left="1729"/>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689" w:space="720"/>
            <w:col w:w="3000"/>
          </w:cols>
          <w:pgMar w:left="751" w:top="233" w:right="739" w:bottom="1440" w:gutter="0" w:footer="0" w:header="0"/>
          <w:type w:val="continuous"/>
        </w:sectPr>
      </w:pPr>
    </w:p>
    <w:p>
      <w:pPr>
        <w:spacing w:after="0" w:line="44" w:lineRule="exact"/>
        <w:rPr>
          <w:sz w:val="24"/>
          <w:szCs w:val="24"/>
          <w:color w:val="auto"/>
        </w:rPr>
      </w:pPr>
    </w:p>
    <w:p>
      <w:pPr>
        <w:ind w:left="1769"/>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86"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329" w:space="720"/>
            <w:col w:w="3360"/>
          </w:cols>
          <w:pgMar w:left="751" w:top="233" w:right="739" w:bottom="1440" w:gutter="0" w:footer="0" w:header="0"/>
          <w:type w:val="continuous"/>
        </w:sectPr>
      </w:pPr>
    </w:p>
    <w:p>
      <w:pPr>
        <w:spacing w:after="0" w:line="3" w:lineRule="exact"/>
        <w:rPr>
          <w:sz w:val="24"/>
          <w:szCs w:val="24"/>
          <w:color w:val="auto"/>
        </w:rPr>
      </w:pPr>
    </w:p>
    <w:p>
      <w:pPr>
        <w:ind w:left="9" w:right="2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9"/>
        <w:spacing w:after="0" w:line="184" w:lineRule="exact"/>
        <w:rPr>
          <w:sz w:val="20"/>
          <w:szCs w:val="20"/>
          <w:color w:val="auto"/>
        </w:rPr>
      </w:pPr>
      <w:r>
        <w:rPr>
          <w:rFonts w:ascii="Arial" w:cs="Arial" w:eastAsia="Arial" w:hAnsi="Arial"/>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Arial" w:cs="Arial" w:eastAsia="Arial" w:hAnsi="Arial"/>
          <w:sz w:val="16"/>
          <w:szCs w:val="16"/>
          <w:color w:val="auto"/>
        </w:rPr>
        <w:t xml:space="preserve">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03" w:lineRule="exact"/>
        <w:rPr>
          <w:sz w:val="24"/>
          <w:szCs w:val="24"/>
          <w:color w:val="auto"/>
        </w:rPr>
      </w:pPr>
    </w:p>
    <w:p>
      <w:pPr>
        <w:ind w:left="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1" w:lineRule="exact"/>
        <w:rPr>
          <w:sz w:val="24"/>
          <w:szCs w:val="24"/>
          <w:color w:val="auto"/>
        </w:rPr>
      </w:pPr>
    </w:p>
    <w:tbl>
      <w:tblPr>
        <w:tblLayout w:type="fixed"/>
        <w:tblInd w:w="9" w:type="dxa"/>
        <w:tblCellMar>
          <w:top w:w="0" w:type="dxa"/>
          <w:left w:w="0" w:type="dxa"/>
          <w:bottom w:w="0" w:type="dxa"/>
          <w:right w:w="0" w:type="dxa"/>
        </w:tblCellMar>
      </w:tblPr>
      <w:tr>
        <w:trPr>
          <w:trHeight w:val="171"/>
        </w:trPr>
        <w:tc>
          <w:tcPr>
            <w:tcW w:w="3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Title of each class:</w:t>
            </w:r>
          </w:p>
        </w:tc>
        <w:tc>
          <w:tcPr>
            <w:tcW w:w="3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Trading Symbol</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Common Stock ($0.001 par value)</w:t>
            </w:r>
          </w:p>
        </w:tc>
        <w:tc>
          <w:tcPr>
            <w:tcW w:w="200" w:type="dxa"/>
            <w:vAlign w:val="bottom"/>
          </w:tcPr>
          <w:p>
            <w:pPr>
              <w:spacing w:after="0"/>
              <w:rPr>
                <w:sz w:val="15"/>
                <w:szCs w:val="15"/>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LEGH</w:t>
            </w:r>
          </w:p>
        </w:tc>
        <w:tc>
          <w:tcPr>
            <w:tcW w:w="180" w:type="dxa"/>
            <w:vAlign w:val="bottom"/>
          </w:tcPr>
          <w:p>
            <w:pPr>
              <w:spacing w:after="0"/>
              <w:rPr>
                <w:sz w:val="15"/>
                <w:szCs w:val="15"/>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78" w:lineRule="exact"/>
        <w:rPr>
          <w:sz w:val="24"/>
          <w:szCs w:val="24"/>
          <w:color w:val="auto"/>
        </w:rPr>
      </w:pPr>
    </w:p>
    <w:p>
      <w:pPr>
        <w:ind w:left="649"/>
        <w:spacing w:after="0"/>
        <w:rPr>
          <w:sz w:val="20"/>
          <w:szCs w:val="20"/>
          <w:color w:val="auto"/>
        </w:rPr>
      </w:pPr>
      <w:r>
        <w:rPr>
          <w:rFonts w:ascii="Arial" w:cs="Arial" w:eastAsia="Arial" w:hAnsi="Arial"/>
          <w:sz w:val="16"/>
          <w:szCs w:val="16"/>
          <w:color w:val="auto"/>
        </w:rPr>
        <w:t>There were 24,722,936 shares of Common Stock ($0.001 par value) outstanding as of August 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95250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112395</wp:posOffset>
            </wp:positionV>
            <wp:extent cx="66122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687070</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233" w:right="7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78"/>
              </w:rPr>
              <w:t>Page</w:t>
            </w:r>
          </w:p>
        </w:tc>
      </w:tr>
      <w:tr>
        <w:trPr>
          <w:trHeight w:val="20"/>
        </w:trPr>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640" w:type="dxa"/>
            <w:vAlign w:val="bottom"/>
            <w:gridSpan w:val="1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24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84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8400" w:type="dxa"/>
            <w:vAlign w:val="bottom"/>
            <w:gridSpan w:val="1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 of Operations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8400" w:type="dxa"/>
            <w:vAlign w:val="bottom"/>
            <w:gridSpan w:val="1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3.   Quantitative and Qualitative Disclosures About Market Risk</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320" w:type="dxa"/>
            <w:vAlign w:val="bottom"/>
            <w:tcBorders>
              <w:left w:val="single" w:sz="8" w:color="0000EE"/>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8400" w:type="dxa"/>
            <w:vAlign w:val="bottom"/>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   Controls and Procedures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264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PART II - OTHER INFORMATION</w:t>
              </w:r>
            </w:hyperlink>
          </w:p>
        </w:tc>
        <w:tc>
          <w:tcPr>
            <w:tcW w:w="6000" w:type="dxa"/>
            <w:vAlign w:val="bottom"/>
            <w:gridSpan w:val="7"/>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2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Item 1.</w:t>
              </w:r>
            </w:hyperlink>
          </w:p>
        </w:tc>
        <w:tc>
          <w:tcPr>
            <w:tcW w:w="240" w:type="dxa"/>
            <w:vAlign w:val="bottom"/>
          </w:tcPr>
          <w:p>
            <w:pPr>
              <w:spacing w:after="0"/>
              <w:rPr>
                <w:sz w:val="24"/>
                <w:szCs w:val="24"/>
                <w:color w:val="auto"/>
              </w:rPr>
            </w:pPr>
          </w:p>
        </w:tc>
        <w:tc>
          <w:tcPr>
            <w:tcW w:w="7660" w:type="dxa"/>
            <w:vAlign w:val="bottom"/>
            <w:gridSpan w:val="1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8400" w:type="dxa"/>
            <w:vAlign w:val="bottom"/>
            <w:gridSpan w:val="1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2.   Unregistered Sales of Equity Securities and Use of Proceeds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2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8400" w:type="dxa"/>
            <w:vAlign w:val="bottom"/>
            <w:gridSpan w:val="1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3.   Defaults Upon Senior Securities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240" w:type="dxa"/>
            <w:vAlign w:val="bottom"/>
          </w:tcPr>
          <w:p>
            <w:pPr>
              <w:spacing w:after="0"/>
              <w:rPr>
                <w:sz w:val="24"/>
                <w:szCs w:val="24"/>
                <w:color w:val="auto"/>
              </w:rPr>
            </w:pPr>
          </w:p>
        </w:tc>
        <w:tc>
          <w:tcPr>
            <w:tcW w:w="500" w:type="dxa"/>
            <w:vAlign w:val="bottom"/>
            <w:tcBorders>
              <w:top w:val="single" w:sz="8" w:color="0000EE"/>
            </w:tcBorders>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Item 4.</w:t>
              </w:r>
            </w:hyperlink>
          </w:p>
        </w:tc>
        <w:tc>
          <w:tcPr>
            <w:tcW w:w="240" w:type="dxa"/>
            <w:vAlign w:val="bottom"/>
          </w:tcPr>
          <w:p>
            <w:pPr>
              <w:spacing w:after="0"/>
              <w:rPr>
                <w:sz w:val="24"/>
                <w:szCs w:val="24"/>
                <w:color w:val="auto"/>
              </w:rPr>
            </w:pPr>
          </w:p>
        </w:tc>
        <w:tc>
          <w:tcPr>
            <w:tcW w:w="2320" w:type="dxa"/>
            <w:vAlign w:val="bottom"/>
            <w:tcBorders>
              <w:top w:val="single" w:sz="8" w:color="0000EE"/>
            </w:tcBorders>
            <w:gridSpan w:val="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5340" w:type="dxa"/>
            <w:vAlign w:val="bottom"/>
            <w:gridSpan w:val="4"/>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240" w:type="dxa"/>
            <w:vAlign w:val="bottom"/>
          </w:tcPr>
          <w:p>
            <w:pPr>
              <w:spacing w:after="0"/>
              <w:rPr>
                <w:sz w:val="24"/>
                <w:szCs w:val="24"/>
                <w:color w:val="auto"/>
              </w:rPr>
            </w:pPr>
          </w:p>
        </w:tc>
        <w:tc>
          <w:tcPr>
            <w:tcW w:w="500" w:type="dxa"/>
            <w:vAlign w:val="bottom"/>
            <w:tcBorders>
              <w:top w:val="single" w:sz="8" w:color="0000EE"/>
            </w:tcBorders>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Item 5.</w:t>
              </w:r>
            </w:hyperlink>
          </w:p>
        </w:tc>
        <w:tc>
          <w:tcPr>
            <w:tcW w:w="240" w:type="dxa"/>
            <w:vAlign w:val="bottom"/>
          </w:tcPr>
          <w:p>
            <w:pPr>
              <w:spacing w:after="0"/>
              <w:rPr>
                <w:sz w:val="24"/>
                <w:szCs w:val="24"/>
                <w:color w:val="auto"/>
              </w:rPr>
            </w:pP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5900" w:type="dxa"/>
            <w:vAlign w:val="bottom"/>
            <w:gridSpan w:val="6"/>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240" w:type="dxa"/>
            <w:vAlign w:val="bottom"/>
          </w:tcPr>
          <w:p>
            <w:pPr>
              <w:spacing w:after="0"/>
              <w:rPr>
                <w:sz w:val="24"/>
                <w:szCs w:val="24"/>
                <w:color w:val="auto"/>
              </w:rPr>
            </w:pPr>
          </w:p>
        </w:tc>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Item 6.</w:t>
              </w:r>
            </w:hyperlink>
          </w:p>
        </w:tc>
        <w:tc>
          <w:tcPr>
            <w:tcW w:w="240" w:type="dxa"/>
            <w:vAlign w:val="bottom"/>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Exhibits</w:t>
              </w:r>
            </w:hyperlink>
          </w:p>
        </w:tc>
        <w:tc>
          <w:tcPr>
            <w:tcW w:w="720" w:type="dxa"/>
            <w:vAlign w:val="bottom"/>
            <w:tcBorders>
              <w:top w:val="single" w:sz="8" w:color="0000EE"/>
            </w:tcBorders>
          </w:tcPr>
          <w:p>
            <w:pPr>
              <w:spacing w:after="0"/>
              <w:rPr>
                <w:sz w:val="24"/>
                <w:szCs w:val="24"/>
                <w:color w:val="auto"/>
              </w:rPr>
            </w:pPr>
          </w:p>
        </w:tc>
        <w:tc>
          <w:tcPr>
            <w:tcW w:w="6340" w:type="dxa"/>
            <w:vAlign w:val="bottom"/>
            <w:gridSpan w:val="8"/>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8640" w:type="dxa"/>
            <w:vAlign w:val="bottom"/>
            <w:gridSpan w:val="1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1878"/>
        </w:trPr>
        <w:tc>
          <w:tcPr>
            <w:tcW w:w="24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(in thousands, except share and per share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June 30,</w:t>
            </w:r>
          </w:p>
        </w:tc>
        <w:tc>
          <w:tcPr>
            <w:tcW w:w="100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6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r>
      <w:tr>
        <w:trPr>
          <w:trHeight w:val="196"/>
        </w:trPr>
        <w:tc>
          <w:tcPr>
            <w:tcW w:w="6660" w:type="dxa"/>
            <w:vAlign w:val="bottom"/>
            <w:shd w:val="clear" w:color="auto" w:fill="CCEEFF"/>
          </w:tcPr>
          <w:p>
            <w:pPr>
              <w:ind w:left="3080"/>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2,599</w:t>
            </w:r>
          </w:p>
        </w:tc>
      </w:tr>
      <w:tr>
        <w:trPr>
          <w:trHeight w:val="203"/>
        </w:trPr>
        <w:tc>
          <w:tcPr>
            <w:tcW w:w="6660" w:type="dxa"/>
            <w:vAlign w:val="bottom"/>
          </w:tcPr>
          <w:p>
            <w:pPr>
              <w:ind w:left="120"/>
              <w:spacing w:after="0"/>
              <w:rPr>
                <w:sz w:val="20"/>
                <w:szCs w:val="20"/>
                <w:color w:val="auto"/>
              </w:rPr>
            </w:pPr>
            <w:r>
              <w:rPr>
                <w:rFonts w:ascii="Arial" w:cs="Arial" w:eastAsia="Arial" w:hAnsi="Arial"/>
                <w:sz w:val="17"/>
                <w:szCs w:val="17"/>
                <w:color w:val="auto"/>
              </w:rPr>
              <w:t>Accounts receivable, net of allowance for doubtful accounts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3,488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2,953</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Current portion of consumer loans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4,945</w:t>
            </w:r>
          </w:p>
        </w:tc>
      </w:tr>
      <w:tr>
        <w:trPr>
          <w:trHeight w:val="203"/>
        </w:trPr>
        <w:tc>
          <w:tcPr>
            <w:tcW w:w="6660" w:type="dxa"/>
            <w:vAlign w:val="bottom"/>
          </w:tcPr>
          <w:p>
            <w:pPr>
              <w:ind w:left="120"/>
              <w:spacing w:after="0"/>
              <w:rPr>
                <w:sz w:val="20"/>
                <w:szCs w:val="20"/>
                <w:color w:val="auto"/>
              </w:rPr>
            </w:pPr>
            <w:r>
              <w:rPr>
                <w:rFonts w:ascii="Arial" w:cs="Arial" w:eastAsia="Arial" w:hAnsi="Arial"/>
                <w:sz w:val="17"/>
                <w:szCs w:val="17"/>
                <w:color w:val="auto"/>
              </w:rPr>
              <w:t>Current portion of notes receivable from mobile home parks (“MHP”)</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9,168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7,297</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Current portion of other notes receivable</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r>
      <w:tr>
        <w:trPr>
          <w:trHeight w:val="203"/>
        </w:trPr>
        <w:tc>
          <w:tcPr>
            <w:tcW w:w="6660" w:type="dxa"/>
            <w:vAlign w:val="bottom"/>
          </w:tcPr>
          <w:p>
            <w:pPr>
              <w:ind w:left="120"/>
              <w:spacing w:after="0"/>
              <w:rPr>
                <w:sz w:val="20"/>
                <w:szCs w:val="20"/>
                <w:color w:val="auto"/>
              </w:rPr>
            </w:pPr>
            <w:r>
              <w:rPr>
                <w:rFonts w:ascii="Arial" w:cs="Arial" w:eastAsia="Arial" w:hAnsi="Arial"/>
                <w:sz w:val="17"/>
                <w:szCs w:val="17"/>
                <w:color w:val="auto"/>
              </w:rPr>
              <w:t>Inventories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33,584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42,033</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2,593</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2,938</w:t>
            </w:r>
          </w:p>
        </w:tc>
      </w:tr>
      <w:tr>
        <w:trPr>
          <w:trHeight w:val="196"/>
        </w:trPr>
        <w:tc>
          <w:tcPr>
            <w:tcW w:w="6660" w:type="dxa"/>
            <w:vAlign w:val="bottom"/>
          </w:tcPr>
          <w:p>
            <w:pPr>
              <w:ind w:left="320"/>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56,729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63,144</w:t>
            </w: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18,041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17,128</w:t>
            </w:r>
          </w:p>
        </w:tc>
      </w:tr>
      <w:tr>
        <w:trPr>
          <w:trHeight w:val="203"/>
        </w:trPr>
        <w:tc>
          <w:tcPr>
            <w:tcW w:w="6660" w:type="dxa"/>
            <w:vAlign w:val="bottom"/>
          </w:tcPr>
          <w:p>
            <w:pPr>
              <w:spacing w:after="0"/>
              <w:rPr>
                <w:sz w:val="20"/>
                <w:szCs w:val="20"/>
                <w:color w:val="auto"/>
              </w:rPr>
            </w:pPr>
            <w:r>
              <w:rPr>
                <w:rFonts w:ascii="Arial" w:cs="Arial" w:eastAsia="Arial" w:hAnsi="Arial"/>
                <w:sz w:val="17"/>
                <w:szCs w:val="17"/>
                <w:color w:val="auto"/>
              </w:rPr>
              <w:t>Consumer loans, net of deferred financing fees and allowance for loan losses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95,772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92,230</w:t>
            </w: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Notes receivable from mobile home parks (“MHP”)</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62,830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50,638</w:t>
            </w:r>
          </w:p>
        </w:tc>
      </w:tr>
      <w:tr>
        <w:trPr>
          <w:trHeight w:val="203"/>
        </w:trPr>
        <w:tc>
          <w:tcPr>
            <w:tcW w:w="6660" w:type="dxa"/>
            <w:vAlign w:val="bottom"/>
          </w:tcPr>
          <w:p>
            <w:pPr>
              <w:spacing w:after="0"/>
              <w:rPr>
                <w:sz w:val="20"/>
                <w:szCs w:val="20"/>
                <w:color w:val="auto"/>
              </w:rPr>
            </w:pPr>
            <w:r>
              <w:rPr>
                <w:rFonts w:ascii="Arial" w:cs="Arial" w:eastAsia="Arial" w:hAnsi="Arial"/>
                <w:sz w:val="17"/>
                <w:szCs w:val="17"/>
                <w:color w:val="auto"/>
              </w:rPr>
              <w:t>Other notes receivable, net of allowance for loan losses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3,179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1,912</w:t>
            </w: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2,587</w:t>
            </w:r>
          </w:p>
        </w:tc>
      </w:tr>
      <w:tr>
        <w:trPr>
          <w:trHeight w:val="203"/>
        </w:trPr>
        <w:tc>
          <w:tcPr>
            <w:tcW w:w="6660" w:type="dxa"/>
            <w:vAlign w:val="bottom"/>
            <w:tcBorders>
              <w:bottom w:val="single" w:sz="8" w:color="CCEEFF"/>
            </w:tcBorders>
          </w:tcPr>
          <w:p>
            <w:pPr>
              <w:spacing w:after="0" w:line="196" w:lineRule="exact"/>
              <w:rPr>
                <w:sz w:val="20"/>
                <w:szCs w:val="20"/>
                <w:color w:val="auto"/>
              </w:rPr>
            </w:pPr>
            <w:r>
              <w:rPr>
                <w:rFonts w:ascii="Arial" w:cs="Arial" w:eastAsia="Arial" w:hAnsi="Arial"/>
                <w:sz w:val="17"/>
                <w:szCs w:val="17"/>
                <w:color w:val="auto"/>
              </w:rPr>
              <w:t>Inventory non</w:t>
            </w:r>
            <w:r>
              <w:rPr>
                <w:rFonts w:ascii="MS PGothic" w:cs="MS PGothic" w:eastAsia="MS PGothic" w:hAnsi="MS PGothic"/>
                <w:sz w:val="17"/>
                <w:szCs w:val="17"/>
                <w:color w:val="auto"/>
              </w:rPr>
              <w:t>‑</w:t>
            </w:r>
            <w:r>
              <w:rPr>
                <w:rFonts w:ascii="Arial" w:cs="Arial" w:eastAsia="Arial" w:hAnsi="Arial"/>
                <w:sz w:val="17"/>
                <w:szCs w:val="17"/>
                <w:color w:val="auto"/>
              </w:rPr>
              <w:t>current</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11,429</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7,399</w:t>
            </w:r>
          </w:p>
        </w:tc>
      </w:tr>
      <w:tr>
        <w:trPr>
          <w:trHeight w:val="216"/>
        </w:trPr>
        <w:tc>
          <w:tcPr>
            <w:tcW w:w="6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251,816</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235,038</w:t>
            </w:r>
          </w:p>
        </w:tc>
      </w:tr>
      <w:tr>
        <w:trPr>
          <w:trHeight w:val="190"/>
        </w:trPr>
        <w:tc>
          <w:tcPr>
            <w:tcW w:w="6660" w:type="dxa"/>
            <w:vAlign w:val="bottom"/>
          </w:tcPr>
          <w:p>
            <w:pPr>
              <w:ind w:left="1980"/>
              <w:spacing w:after="0" w:line="189" w:lineRule="exact"/>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3"/>
        </w:trPr>
        <w:tc>
          <w:tcPr>
            <w:tcW w:w="666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7"/>
                <w:szCs w:val="17"/>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3,760</w:t>
            </w:r>
          </w:p>
        </w:tc>
        <w:tc>
          <w:tcPr>
            <w:tcW w:w="220" w:type="dxa"/>
            <w:vAlign w:val="bottom"/>
          </w:tcPr>
          <w:p>
            <w:pPr>
              <w:spacing w:after="0"/>
              <w:rPr>
                <w:sz w:val="17"/>
                <w:szCs w:val="17"/>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2,828</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Accrued liabilities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9,156</w:t>
            </w:r>
          </w:p>
        </w:tc>
      </w:tr>
      <w:tr>
        <w:trPr>
          <w:trHeight w:val="203"/>
        </w:trPr>
        <w:tc>
          <w:tcPr>
            <w:tcW w:w="6660" w:type="dxa"/>
            <w:vAlign w:val="bottom"/>
          </w:tcPr>
          <w:p>
            <w:pPr>
              <w:ind w:left="120"/>
              <w:spacing w:after="0"/>
              <w:rPr>
                <w:sz w:val="20"/>
                <w:szCs w:val="20"/>
                <w:color w:val="auto"/>
              </w:rPr>
            </w:pPr>
            <w:r>
              <w:rPr>
                <w:rFonts w:ascii="Arial" w:cs="Arial" w:eastAsia="Arial" w:hAnsi="Arial"/>
                <w:sz w:val="17"/>
                <w:szCs w:val="17"/>
                <w:color w:val="auto"/>
              </w:rPr>
              <w:t>Customer deposits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1,597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2,222</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Escrow liability</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5,951</w:t>
            </w:r>
          </w:p>
        </w:tc>
      </w:tr>
      <w:tr>
        <w:trPr>
          <w:trHeight w:val="203"/>
        </w:trPr>
        <w:tc>
          <w:tcPr>
            <w:tcW w:w="6660" w:type="dxa"/>
            <w:vAlign w:val="bottom"/>
          </w:tcPr>
          <w:p>
            <w:pPr>
              <w:ind w:left="120"/>
              <w:spacing w:after="0"/>
              <w:rPr>
                <w:sz w:val="20"/>
                <w:szCs w:val="20"/>
                <w:color w:val="auto"/>
              </w:rPr>
            </w:pPr>
            <w:r>
              <w:rPr>
                <w:rFonts w:ascii="Arial" w:cs="Arial" w:eastAsia="Arial" w:hAnsi="Arial"/>
                <w:sz w:val="17"/>
                <w:szCs w:val="17"/>
                <w:color w:val="auto"/>
              </w:rPr>
              <w:t>Line of credit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7,124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Current portion of notes payable</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w:t>
            </w:r>
          </w:p>
        </w:tc>
      </w:tr>
      <w:tr>
        <w:trPr>
          <w:trHeight w:val="196"/>
        </w:trPr>
        <w:tc>
          <w:tcPr>
            <w:tcW w:w="6660" w:type="dxa"/>
            <w:vAlign w:val="bottom"/>
          </w:tcPr>
          <w:p>
            <w:pPr>
              <w:ind w:left="320"/>
              <w:spacing w:after="0"/>
              <w:rPr>
                <w:sz w:val="20"/>
                <w:szCs w:val="20"/>
                <w:color w:val="auto"/>
              </w:rPr>
            </w:pPr>
            <w:r>
              <w:rPr>
                <w:rFonts w:ascii="Arial" w:cs="Arial" w:eastAsia="Arial" w:hAnsi="Arial"/>
                <w:sz w:val="17"/>
                <w:szCs w:val="17"/>
                <w:color w:val="auto"/>
              </w:rPr>
              <w:t>Total current liabilities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29,330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20,385</w:t>
            </w:r>
          </w:p>
        </w:tc>
      </w:tr>
      <w:tr>
        <w:trPr>
          <w:trHeight w:val="203"/>
        </w:trPr>
        <w:tc>
          <w:tcPr>
            <w:tcW w:w="6660" w:type="dxa"/>
            <w:vAlign w:val="bottom"/>
            <w:shd w:val="clear" w:color="auto" w:fill="CCEEFF"/>
          </w:tcPr>
          <w:p>
            <w:pPr>
              <w:spacing w:after="0" w:line="196" w:lineRule="exact"/>
              <w:rPr>
                <w:sz w:val="20"/>
                <w:szCs w:val="20"/>
                <w:color w:val="auto"/>
              </w:rPr>
            </w:pPr>
            <w:r>
              <w:rPr>
                <w:rFonts w:ascii="Arial" w:cs="Arial" w:eastAsia="Arial" w:hAnsi="Arial"/>
                <w:sz w:val="17"/>
                <w:szCs w:val="17"/>
                <w:color w:val="auto"/>
              </w:rPr>
              <w:t>Long</w:t>
            </w:r>
            <w:r>
              <w:rPr>
                <w:rFonts w:ascii="MS PGothic" w:cs="MS PGothic" w:eastAsia="MS PGothic" w:hAnsi="MS PGothic"/>
                <w:sz w:val="17"/>
                <w:szCs w:val="17"/>
                <w:color w:val="auto"/>
              </w:rPr>
              <w:t>‑</w:t>
            </w:r>
            <w:r>
              <w:rPr>
                <w:rFonts w:ascii="Arial" w:cs="Arial" w:eastAsia="Arial" w:hAnsi="Arial"/>
                <w:sz w:val="17"/>
                <w:szCs w:val="17"/>
                <w:color w:val="auto"/>
              </w:rPr>
              <w:t>term liabilities: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7"/>
                <w:szCs w:val="17"/>
                <w:color w:val="auto"/>
              </w:rPr>
              <w:t>Lines of credit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2,001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13,679</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Deferred income taxes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1,842</w:t>
            </w:r>
          </w:p>
        </w:tc>
      </w:tr>
      <w:tr>
        <w:trPr>
          <w:trHeight w:val="203"/>
        </w:trPr>
        <w:tc>
          <w:tcPr>
            <w:tcW w:w="6660" w:type="dxa"/>
            <w:vAlign w:val="bottom"/>
          </w:tcPr>
          <w:p>
            <w:pPr>
              <w:ind w:left="120"/>
              <w:spacing w:after="0"/>
              <w:rPr>
                <w:sz w:val="20"/>
                <w:szCs w:val="20"/>
                <w:color w:val="auto"/>
              </w:rPr>
            </w:pPr>
            <w:r>
              <w:rPr>
                <w:rFonts w:ascii="Arial" w:cs="Arial" w:eastAsia="Arial" w:hAnsi="Arial"/>
                <w:sz w:val="17"/>
                <w:szCs w:val="17"/>
                <w:color w:val="auto"/>
              </w:rPr>
              <w:t>Note payable, net of current portion</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3,274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3,737</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Dealer incentive liability</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6,187</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6,115</w:t>
            </w:r>
          </w:p>
        </w:tc>
      </w:tr>
      <w:tr>
        <w:trPr>
          <w:trHeight w:val="196"/>
        </w:trPr>
        <w:tc>
          <w:tcPr>
            <w:tcW w:w="6660" w:type="dxa"/>
            <w:vAlign w:val="bottom"/>
          </w:tcPr>
          <w:p>
            <w:pPr>
              <w:ind w:left="320"/>
              <w:spacing w:after="0"/>
              <w:rPr>
                <w:sz w:val="20"/>
                <w:szCs w:val="20"/>
                <w:color w:val="auto"/>
              </w:rPr>
            </w:pPr>
            <w:r>
              <w:rPr>
                <w:rFonts w:ascii="Arial" w:cs="Arial" w:eastAsia="Arial" w:hAnsi="Arial"/>
                <w:sz w:val="17"/>
                <w:szCs w:val="17"/>
                <w:color w:val="auto"/>
              </w:rPr>
              <w:t>Total liabilities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42,634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45,758</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Commitments and contingencies (Note 12)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7"/>
                <w:szCs w:val="17"/>
                <w:color w:val="auto"/>
              </w:rPr>
              <w:t>Stockholders' equity:</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Preferred stock, $.001 par value, 10,000,000 shares authorized: issued -0-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6660" w:type="dxa"/>
            <w:vAlign w:val="bottom"/>
          </w:tcPr>
          <w:p>
            <w:pPr>
              <w:ind w:left="120"/>
              <w:spacing w:after="0"/>
              <w:rPr>
                <w:sz w:val="20"/>
                <w:szCs w:val="20"/>
                <w:color w:val="auto"/>
              </w:rPr>
            </w:pPr>
            <w:r>
              <w:rPr>
                <w:rFonts w:ascii="Arial" w:cs="Arial" w:eastAsia="Arial" w:hAnsi="Arial"/>
                <w:sz w:val="17"/>
                <w:szCs w:val="17"/>
                <w:color w:val="auto"/>
              </w:rPr>
              <w:t>Common stock, $.001 par value, 90,000,000 shares authorized; 24,617,143 and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24,000,000 issued at June 30, 2019 and December 31, 2018, respectively</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03"/>
        </w:trPr>
        <w:tc>
          <w:tcPr>
            <w:tcW w:w="6660" w:type="dxa"/>
            <w:vAlign w:val="bottom"/>
          </w:tcPr>
          <w:p>
            <w:pPr>
              <w:ind w:left="120"/>
              <w:spacing w:after="0"/>
              <w:rPr>
                <w:sz w:val="20"/>
                <w:szCs w:val="20"/>
                <w:color w:val="auto"/>
              </w:rPr>
            </w:pPr>
            <w:r>
              <w:rPr>
                <w:rFonts w:ascii="Arial" w:cs="Arial" w:eastAsia="Arial" w:hAnsi="Arial"/>
                <w:sz w:val="17"/>
                <w:szCs w:val="17"/>
                <w:color w:val="auto"/>
                <w:w w:val="91"/>
              </w:rPr>
              <w:t>Treasury stock, 300,000 and -0- shares at June 30, 2019 and December 31, 2018, respectively</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7"/>
                <w:szCs w:val="17"/>
                <w:color w:val="auto"/>
              </w:rPr>
              <w:t>(3,060)</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Additional paid-in-capital</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174,858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167,743</w:t>
            </w:r>
          </w:p>
        </w:tc>
      </w:tr>
      <w:tr>
        <w:trPr>
          <w:trHeight w:val="203"/>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Retained earnings</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37,359</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21,513</w:t>
            </w:r>
          </w:p>
        </w:tc>
      </w:tr>
      <w:tr>
        <w:trPr>
          <w:trHeight w:val="196"/>
        </w:trPr>
        <w:tc>
          <w:tcPr>
            <w:tcW w:w="6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stockholders' equity</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209,182</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189,280</w:t>
            </w:r>
          </w:p>
        </w:tc>
      </w:tr>
      <w:tr>
        <w:trPr>
          <w:trHeight w:val="203"/>
        </w:trPr>
        <w:tc>
          <w:tcPr>
            <w:tcW w:w="6660" w:type="dxa"/>
            <w:vAlign w:val="bottom"/>
          </w:tcPr>
          <w:p>
            <w:pPr>
              <w:ind w:left="320"/>
              <w:spacing w:after="0"/>
              <w:rPr>
                <w:sz w:val="20"/>
                <w:szCs w:val="20"/>
                <w:color w:val="auto"/>
              </w:rPr>
            </w:pPr>
            <w:r>
              <w:rPr>
                <w:rFonts w:ascii="Arial" w:cs="Arial" w:eastAsia="Arial" w:hAnsi="Arial"/>
                <w:sz w:val="17"/>
                <w:szCs w:val="17"/>
                <w:color w:val="auto"/>
              </w:rPr>
              <w:t>Total liabilities and stockholders' equity</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251,816</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235,038</w:t>
            </w: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2"/>
              </w:rPr>
              <w:t>Three Months Ended June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7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39,766</w:t>
            </w: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38,188</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71,316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75,602</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and MHP loans interest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40" w:type="dxa"/>
            <w:vAlign w:val="bottom"/>
            <w:shd w:val="clear" w:color="auto" w:fill="CCEEFF"/>
          </w:tcPr>
          <w:p>
            <w:pPr>
              <w:spacing w:after="0"/>
              <w:rPr>
                <w:sz w:val="18"/>
                <w:szCs w:val="18"/>
                <w:color w:val="auto"/>
              </w:rPr>
            </w:pPr>
          </w:p>
        </w:tc>
      </w:tr>
      <w:tr>
        <w:trPr>
          <w:trHeight w:val="216"/>
        </w:trPr>
        <w:tc>
          <w:tcPr>
            <w:tcW w:w="3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40" w:type="dxa"/>
            <w:vAlign w:val="bottom"/>
            <w:tcBorders>
              <w:bottom w:val="single" w:sz="8" w:color="CCEEFF"/>
            </w:tcBorders>
          </w:tcPr>
          <w:p>
            <w:pPr>
              <w:spacing w:after="0"/>
              <w:rPr>
                <w:sz w:val="18"/>
                <w:szCs w:val="18"/>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83,715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86,690</w:t>
            </w:r>
          </w:p>
        </w:tc>
        <w:tc>
          <w:tcPr>
            <w:tcW w:w="40" w:type="dxa"/>
            <w:vAlign w:val="bottom"/>
            <w:shd w:val="clear" w:color="auto" w:fill="CCEEFF"/>
          </w:tcPr>
          <w:p>
            <w:pPr>
              <w:spacing w:after="0"/>
              <w:rPr>
                <w:sz w:val="18"/>
                <w:szCs w:val="18"/>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sales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56,981</w:t>
            </w:r>
          </w:p>
        </w:tc>
        <w:tc>
          <w:tcPr>
            <w:tcW w:w="40" w:type="dxa"/>
            <w:vAlign w:val="bottom"/>
            <w:shd w:val="clear" w:color="auto" w:fill="CCEEFF"/>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Selling, general administrative expenses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6,144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9,974</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Dealer incentive</w:t>
            </w:r>
          </w:p>
        </w:tc>
        <w:tc>
          <w:tcPr>
            <w:tcW w:w="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40" w:type="dxa"/>
            <w:vAlign w:val="bottom"/>
            <w:shd w:val="clear" w:color="auto" w:fill="CCEEFF"/>
          </w:tcPr>
          <w:p>
            <w:pPr>
              <w:spacing w:after="0"/>
              <w:rPr>
                <w:sz w:val="18"/>
                <w:szCs w:val="18"/>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9,494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19,398</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760" w:type="dxa"/>
            <w:vAlign w:val="bottom"/>
          </w:tcPr>
          <w:p>
            <w:pPr>
              <w:ind w:left="1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Miscellaneous, net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0" w:type="dxa"/>
            <w:vAlign w:val="bottom"/>
            <w:shd w:val="clear" w:color="auto" w:fill="CCEEFF"/>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(669)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(1,308)</w:t>
            </w:r>
          </w:p>
        </w:tc>
      </w:tr>
      <w:tr>
        <w:trPr>
          <w:trHeight w:val="210"/>
        </w:trPr>
        <w:tc>
          <w:tcPr>
            <w:tcW w:w="37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3760" w:type="dxa"/>
            <w:vAlign w:val="bottom"/>
          </w:tcPr>
          <w:p>
            <w:pPr>
              <w:ind w:left="220"/>
              <w:spacing w:after="0"/>
              <w:rPr>
                <w:sz w:val="20"/>
                <w:szCs w:val="20"/>
                <w:color w:val="auto"/>
              </w:rPr>
            </w:pPr>
            <w:r>
              <w:rPr>
                <w:rFonts w:ascii="Arial" w:cs="Arial" w:eastAsia="Arial" w:hAnsi="Arial"/>
                <w:sz w:val="18"/>
                <w:szCs w:val="18"/>
                <w:color w:val="auto"/>
              </w:rPr>
              <w:t>Income before income tax expense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8,934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18,284</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(6,036)</w:t>
            </w:r>
          </w:p>
        </w:tc>
      </w:tr>
      <w:tr>
        <w:trPr>
          <w:trHeight w:val="217"/>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7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15,846</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12,248</w:t>
            </w:r>
          </w:p>
        </w:tc>
        <w:tc>
          <w:tcPr>
            <w:tcW w:w="40" w:type="dxa"/>
            <w:vAlign w:val="bottom"/>
            <w:tcBorders>
              <w:bottom w:val="single" w:sz="8" w:color="CCEEFF"/>
            </w:tcBorders>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Basic</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24,369,890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20,000,000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24,442,921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20,000,000</w:t>
            </w: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24,369,890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20,000,000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24,457,967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20,000,000</w:t>
            </w:r>
          </w:p>
        </w:tc>
        <w:tc>
          <w:tcPr>
            <w:tcW w:w="4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Net income per share: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40" w:type="dxa"/>
            <w:vAlign w:val="bottom"/>
            <w:shd w:val="clear" w:color="auto" w:fill="CCEEFF"/>
          </w:tcPr>
          <w:p>
            <w:pPr>
              <w:spacing w:after="0"/>
              <w:rPr>
                <w:sz w:val="18"/>
                <w:szCs w:val="18"/>
                <w:color w:val="auto"/>
              </w:rPr>
            </w:pPr>
          </w:p>
        </w:tc>
      </w:tr>
      <w:tr>
        <w:trPr>
          <w:trHeight w:val="230"/>
        </w:trPr>
        <w:tc>
          <w:tcPr>
            <w:tcW w:w="3760" w:type="dxa"/>
            <w:vAlign w:val="bottom"/>
          </w:tcPr>
          <w:p>
            <w:pPr>
              <w:ind w:left="120"/>
              <w:spacing w:after="0"/>
              <w:rPr>
                <w:sz w:val="20"/>
                <w:szCs w:val="20"/>
                <w:color w:val="auto"/>
              </w:rPr>
            </w:pPr>
            <w:r>
              <w:rPr>
                <w:rFonts w:ascii="Arial" w:cs="Arial" w:eastAsia="Arial" w:hAnsi="Arial"/>
                <w:sz w:val="18"/>
                <w:szCs w:val="18"/>
                <w:color w:val="auto"/>
              </w:rPr>
              <w:t>Diluted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0.34</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0.65</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0.61</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7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15,846</w:t>
            </w:r>
          </w:p>
        </w:tc>
        <w:tc>
          <w:tcPr>
            <w:tcW w:w="2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12,248</w:t>
            </w:r>
          </w:p>
        </w:tc>
        <w:tc>
          <w:tcPr>
            <w:tcW w:w="14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Depreciation expense</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w:t>
            </w:r>
          </w:p>
        </w:tc>
        <w:tc>
          <w:tcPr>
            <w:tcW w:w="140" w:type="dxa"/>
            <w:vAlign w:val="bottom"/>
          </w:tcPr>
          <w:p>
            <w:pPr>
              <w:spacing w:after="0"/>
              <w:rPr>
                <w:sz w:val="18"/>
                <w:szCs w:val="18"/>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loan loss—consumer loans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1,705</w:t>
            </w:r>
          </w:p>
        </w:tc>
        <w:tc>
          <w:tcPr>
            <w:tcW w:w="140" w:type="dxa"/>
            <w:vAlign w:val="bottom"/>
          </w:tcPr>
          <w:p>
            <w:pPr>
              <w:spacing w:after="0"/>
              <w:rPr>
                <w:sz w:val="18"/>
                <w:szCs w:val="18"/>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 based payment expense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Consumer loans originations</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(9,789)</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(9,011)</w:t>
            </w: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loans principal collections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Notes receivable MHP originations</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(29,079)</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(17,683)</w:t>
            </w: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receivable MHP principal collections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(2,146)</w:t>
            </w: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(1,077)</w:t>
            </w: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(1,248)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522</w:t>
            </w:r>
          </w:p>
        </w:tc>
        <w:tc>
          <w:tcPr>
            <w:tcW w:w="14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(1,931)</w:t>
            </w: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3,898</w:t>
            </w:r>
          </w:p>
        </w:tc>
        <w:tc>
          <w:tcPr>
            <w:tcW w:w="14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deposits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(648)</w:t>
            </w: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Dealer incentive liability</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(364)</w:t>
            </w:r>
          </w:p>
        </w:tc>
      </w:tr>
      <w:tr>
        <w:trPr>
          <w:trHeight w:val="210"/>
        </w:trPr>
        <w:tc>
          <w:tcPr>
            <w:tcW w:w="67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(4,708)</w:t>
            </w: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Issuance of notes receivable</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(1,531)</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(1,010)</w:t>
            </w: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receivable collections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Purchases of consumer loans</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Collections from purchased consumer loans</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8"/>
                <w:szCs w:val="18"/>
                <w:color w:val="auto"/>
              </w:rPr>
            </w:pPr>
          </w:p>
        </w:tc>
      </w:tr>
      <w:tr>
        <w:trPr>
          <w:trHeight w:val="210"/>
        </w:trPr>
        <w:tc>
          <w:tcPr>
            <w:tcW w:w="6740" w:type="dxa"/>
            <w:vAlign w:val="bottom"/>
          </w:tcPr>
          <w:p>
            <w:pPr>
              <w:ind w:left="3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(4,913)</w:t>
            </w:r>
          </w:p>
        </w:tc>
        <w:tc>
          <w:tcPr>
            <w:tcW w:w="14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Proceeds from sale of over-allotment common stock in initial public offering</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Offering cost for over-allotment of initial public offering</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Treasury stock purchase</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(3,060)</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Escrow liability</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Principal payments on note payable</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(504)</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lines of credit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30,805</w:t>
            </w:r>
          </w:p>
        </w:tc>
        <w:tc>
          <w:tcPr>
            <w:tcW w:w="140" w:type="dxa"/>
            <w:vAlign w:val="bottom"/>
            <w:shd w:val="clear" w:color="auto" w:fill="CCEEFF"/>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Payments on lines of credit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(30,839)</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(28,514)</w:t>
            </w:r>
          </w:p>
        </w:tc>
      </w:tr>
      <w:tr>
        <w:trPr>
          <w:trHeight w:val="210"/>
        </w:trPr>
        <w:tc>
          <w:tcPr>
            <w:tcW w:w="67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40" w:type="dxa"/>
            <w:vAlign w:val="bottom"/>
            <w:tcBorders>
              <w:top w:val="single" w:sz="8" w:color="CCEEFF"/>
            </w:tcBorders>
            <w:shd w:val="clear" w:color="auto" w:fill="CCEEFF"/>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18"/>
                <w:szCs w:val="18"/>
                <w:color w:val="auto"/>
              </w:rPr>
            </w:pPr>
          </w:p>
        </w:tc>
      </w:tr>
      <w:tr>
        <w:trPr>
          <w:trHeight w:val="217"/>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40" w:type="dxa"/>
            <w:vAlign w:val="bottom"/>
            <w:tcBorders>
              <w:bottom w:val="single" w:sz="8" w:color="CCEEFF"/>
            </w:tcBorders>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paid for interest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40" w:type="dxa"/>
            <w:vAlign w:val="bottom"/>
            <w:tcBorders>
              <w:bottom w:val="single" w:sz="8" w:color="CCEEFF"/>
            </w:tcBorders>
          </w:tcPr>
          <w:p>
            <w:pPr>
              <w:spacing w:after="0"/>
              <w:rPr>
                <w:sz w:val="19"/>
                <w:szCs w:val="19"/>
                <w:color w:val="auto"/>
              </w:rPr>
            </w:pPr>
          </w:p>
        </w:tc>
      </w:tr>
      <w:tr>
        <w:trPr>
          <w:trHeight w:val="22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LEGACY HOUSING CORPORATION</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18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 Partners’</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7"/>
          </w:tcPr>
          <w:p>
            <w:pPr>
              <w:jc w:val="right"/>
              <w:spacing w:after="0"/>
              <w:rPr>
                <w:sz w:val="20"/>
                <w:szCs w:val="20"/>
                <w:color w:val="auto"/>
              </w:rPr>
            </w:pPr>
            <w:r>
              <w:rPr>
                <w:rFonts w:ascii="Arial" w:cs="Arial" w:eastAsia="Arial" w:hAnsi="Arial"/>
                <w:sz w:val="14"/>
                <w:szCs w:val="14"/>
                <w:b w:val="1"/>
                <w:bCs w:val="1"/>
                <w:color w:val="auto"/>
                <w:w w:val="93"/>
              </w:rPr>
              <w:t>Common Stock</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9"/>
              </w:rPr>
              <w:t>Shares</w:t>
            </w: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paid in 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2017</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124,271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0"/>
        </w:trPr>
        <w:tc>
          <w:tcPr>
            <w:tcW w:w="3400" w:type="dxa"/>
            <w:vAlign w:val="bottom"/>
          </w:tcPr>
          <w:p>
            <w:pPr>
              <w:ind w:left="120"/>
              <w:spacing w:after="0"/>
              <w:rPr>
                <w:sz w:val="20"/>
                <w:szCs w:val="20"/>
                <w:color w:val="auto"/>
              </w:rPr>
            </w:pPr>
            <w:r>
              <w:rPr>
                <w:rFonts w:ascii="Arial" w:cs="Arial" w:eastAsia="Arial" w:hAnsi="Arial"/>
                <w:sz w:val="18"/>
                <w:szCs w:val="18"/>
                <w:color w:val="auto"/>
              </w:rPr>
              <w:t>Shares issued upon incorporation</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(124,271)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w w:val="88"/>
              </w:rPr>
              <w:t>20,000,000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124,251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124,271</w:t>
            </w:r>
          </w:p>
        </w:tc>
        <w:tc>
          <w:tcPr>
            <w:tcW w:w="40" w:type="dxa"/>
            <w:vAlign w:val="bottom"/>
          </w:tcPr>
          <w:p>
            <w:pPr>
              <w:spacing w:after="0"/>
              <w:rPr>
                <w:sz w:val="18"/>
                <w:szCs w:val="18"/>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5,360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40" w:type="dxa"/>
            <w:vAlign w:val="bottom"/>
          </w:tcPr>
          <w:p>
            <w:pPr>
              <w:spacing w:after="0"/>
              <w:rPr>
                <w:sz w:val="18"/>
                <w:szCs w:val="18"/>
                <w:color w:val="auto"/>
              </w:rPr>
            </w:pPr>
          </w:p>
        </w:tc>
      </w:tr>
      <w:tr>
        <w:trPr>
          <w:trHeight w:val="210"/>
        </w:trPr>
        <w:tc>
          <w:tcPr>
            <w:tcW w:w="3400" w:type="dxa"/>
            <w:vAlign w:val="bottom"/>
          </w:tcPr>
          <w:p>
            <w:pPr>
              <w:spacing w:after="0"/>
              <w:rPr>
                <w:sz w:val="20"/>
                <w:szCs w:val="20"/>
                <w:color w:val="auto"/>
              </w:rPr>
            </w:pPr>
            <w:r>
              <w:rPr>
                <w:rFonts w:ascii="Arial" w:cs="Arial" w:eastAsia="Arial" w:hAnsi="Arial"/>
                <w:sz w:val="18"/>
                <w:szCs w:val="18"/>
                <w:color w:val="auto"/>
              </w:rPr>
              <w:t>Balances, March 31, 2018</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w w:val="88"/>
              </w:rPr>
              <w:t>20,000,000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w:t>
            </w: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124,251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5,360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129,631</w:t>
            </w:r>
          </w:p>
        </w:tc>
        <w:tc>
          <w:tcPr>
            <w:tcW w:w="40" w:type="dxa"/>
            <w:vAlign w:val="bottom"/>
          </w:tcPr>
          <w:p>
            <w:pPr>
              <w:spacing w:after="0"/>
              <w:rPr>
                <w:sz w:val="18"/>
                <w:szCs w:val="18"/>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6,888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6,888</w:t>
            </w:r>
          </w:p>
        </w:tc>
        <w:tc>
          <w:tcPr>
            <w:tcW w:w="40" w:type="dxa"/>
            <w:vAlign w:val="bottom"/>
          </w:tcPr>
          <w:p>
            <w:pPr>
              <w:spacing w:after="0"/>
              <w:rPr>
                <w:sz w:val="18"/>
                <w:szCs w:val="18"/>
                <w:color w:val="auto"/>
              </w:rPr>
            </w:pPr>
          </w:p>
        </w:tc>
      </w:tr>
      <w:tr>
        <w:trPr>
          <w:trHeight w:val="217"/>
        </w:trPr>
        <w:tc>
          <w:tcPr>
            <w:tcW w:w="3400" w:type="dxa"/>
            <w:vAlign w:val="bottom"/>
          </w:tcPr>
          <w:p>
            <w:pPr>
              <w:spacing w:after="0"/>
              <w:rPr>
                <w:sz w:val="20"/>
                <w:szCs w:val="20"/>
                <w:color w:val="auto"/>
              </w:rPr>
            </w:pPr>
            <w:r>
              <w:rPr>
                <w:rFonts w:ascii="Arial" w:cs="Arial" w:eastAsia="Arial" w:hAnsi="Arial"/>
                <w:sz w:val="18"/>
                <w:szCs w:val="18"/>
                <w:color w:val="auto"/>
              </w:rPr>
              <w:t>Balances, June 30, 2018</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w w:val="88"/>
              </w:rPr>
              <w:t>20,000,000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41"/>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124,251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$ 12,248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136,519</w:t>
            </w:r>
          </w:p>
        </w:tc>
        <w:tc>
          <w:tcPr>
            <w:tcW w:w="40" w:type="dxa"/>
            <w:vAlign w:val="bottom"/>
          </w:tcPr>
          <w:p>
            <w:pPr>
              <w:spacing w:after="0"/>
              <w:rPr>
                <w:sz w:val="18"/>
                <w:szCs w:val="18"/>
                <w:color w:val="auto"/>
              </w:rPr>
            </w:pPr>
          </w:p>
        </w:tc>
      </w:tr>
      <w:tr>
        <w:trPr>
          <w:trHeight w:val="378"/>
        </w:trPr>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w w:val="93"/>
              </w:rPr>
              <w:t>Common Stock</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4"/>
          </w:tcPr>
          <w:p>
            <w:pPr>
              <w:ind w:left="8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2"/>
              </w:rPr>
              <w:t>paid in 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2018</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5"/>
              </w:rPr>
              <w:t>24,000,000</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167,743</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21,513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189,280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r>
      <w:tr>
        <w:trPr>
          <w:trHeight w:val="182"/>
        </w:trPr>
        <w:tc>
          <w:tcPr>
            <w:tcW w:w="3580" w:type="dxa"/>
            <w:vAlign w:val="bottom"/>
            <w:gridSpan w:val="2"/>
          </w:tcPr>
          <w:p>
            <w:pPr>
              <w:ind w:left="120"/>
              <w:spacing w:after="0" w:line="182" w:lineRule="exact"/>
              <w:rPr>
                <w:sz w:val="20"/>
                <w:szCs w:val="20"/>
                <w:color w:val="auto"/>
              </w:rPr>
            </w:pPr>
            <w:r>
              <w:rPr>
                <w:rFonts w:ascii="Arial" w:cs="Arial" w:eastAsia="Arial" w:hAnsi="Arial"/>
                <w:sz w:val="18"/>
                <w:szCs w:val="18"/>
                <w:color w:val="auto"/>
                <w:w w:val="95"/>
              </w:rPr>
              <w:t>Sale of over-allotment common stock in initial</w:t>
            </w: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3400" w:type="dxa"/>
            <w:vAlign w:val="bottom"/>
          </w:tcPr>
          <w:p>
            <w:pPr>
              <w:ind w:left="120"/>
              <w:spacing w:after="0"/>
              <w:rPr>
                <w:sz w:val="20"/>
                <w:szCs w:val="20"/>
                <w:color w:val="auto"/>
              </w:rPr>
            </w:pPr>
            <w:r>
              <w:rPr>
                <w:rFonts w:ascii="Arial" w:cs="Arial" w:eastAsia="Arial" w:hAnsi="Arial"/>
                <w:sz w:val="18"/>
                <w:szCs w:val="18"/>
                <w:color w:val="auto"/>
                <w:w w:val="94"/>
              </w:rPr>
              <w:t>public offering, net of offering costs of $505</w:t>
            </w:r>
          </w:p>
        </w:tc>
        <w:tc>
          <w:tcPr>
            <w:tcW w:w="180" w:type="dxa"/>
            <w:vAlign w:val="bottom"/>
          </w:tcPr>
          <w:p>
            <w:pPr>
              <w:spacing w:after="0"/>
              <w:rPr>
                <w:sz w:val="20"/>
                <w:szCs w:val="20"/>
                <w:color w:val="auto"/>
              </w:rPr>
            </w:pPr>
          </w:p>
        </w:tc>
        <w:tc>
          <w:tcPr>
            <w:tcW w:w="1200" w:type="dxa"/>
            <w:vAlign w:val="bottom"/>
            <w:gridSpan w:val="5"/>
          </w:tcPr>
          <w:p>
            <w:pPr>
              <w:jc w:val="right"/>
              <w:spacing w:after="0"/>
              <w:rPr>
                <w:sz w:val="20"/>
                <w:szCs w:val="20"/>
                <w:color w:val="auto"/>
              </w:rPr>
            </w:pPr>
            <w:r>
              <w:rPr>
                <w:rFonts w:ascii="Arial" w:cs="Arial" w:eastAsia="Arial" w:hAnsi="Arial"/>
                <w:sz w:val="18"/>
                <w:szCs w:val="18"/>
                <w:color w:val="auto"/>
              </w:rPr>
              <w:t>600,000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6,694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6,695</w:t>
            </w:r>
          </w:p>
        </w:tc>
        <w:tc>
          <w:tcPr>
            <w:tcW w:w="40" w:type="dxa"/>
            <w:vAlign w:val="bottom"/>
          </w:tcPr>
          <w:p>
            <w:pPr>
              <w:spacing w:after="0"/>
              <w:rPr>
                <w:sz w:val="20"/>
                <w:szCs w:val="20"/>
                <w:color w:val="auto"/>
              </w:rPr>
            </w:pPr>
          </w:p>
        </w:tc>
      </w:tr>
      <w:tr>
        <w:trPr>
          <w:trHeight w:val="202"/>
        </w:trPr>
        <w:tc>
          <w:tcPr>
            <w:tcW w:w="34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87"/>
              </w:rPr>
              <w:t>Share based compensation expense and stock</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units vested</w:t>
            </w:r>
          </w:p>
        </w:tc>
        <w:tc>
          <w:tcPr>
            <w:tcW w:w="180" w:type="dxa"/>
            <w:vAlign w:val="bottom"/>
            <w:shd w:val="clear" w:color="auto" w:fill="CCEEFF"/>
          </w:tcPr>
          <w:p>
            <w:pPr>
              <w:spacing w:after="0"/>
              <w:rPr>
                <w:sz w:val="20"/>
                <w:szCs w:val="20"/>
                <w:color w:val="auto"/>
              </w:rPr>
            </w:pPr>
          </w:p>
        </w:tc>
        <w:tc>
          <w:tcPr>
            <w:tcW w:w="12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17,143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0" w:type="dxa"/>
            <w:vAlign w:val="bottom"/>
            <w:shd w:val="clear" w:color="auto" w:fill="CCEEFF"/>
          </w:tcPr>
          <w:p>
            <w:pPr>
              <w:spacing w:after="0"/>
              <w:rPr>
                <w:sz w:val="20"/>
                <w:szCs w:val="20"/>
                <w:color w:val="auto"/>
              </w:rPr>
            </w:pPr>
          </w:p>
        </w:tc>
      </w:tr>
      <w:tr>
        <w:trPr>
          <w:trHeight w:val="216"/>
        </w:trPr>
        <w:tc>
          <w:tcPr>
            <w:tcW w:w="3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7,213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7,213</w:t>
            </w:r>
          </w:p>
        </w:tc>
        <w:tc>
          <w:tcPr>
            <w:tcW w:w="40" w:type="dxa"/>
            <w:vAlign w:val="bottom"/>
            <w:tcBorders>
              <w:bottom w:val="single" w:sz="8" w:color="auto"/>
            </w:tcBorders>
          </w:tcPr>
          <w:p>
            <w:pPr>
              <w:spacing w:after="0"/>
              <w:rPr>
                <w:sz w:val="18"/>
                <w:szCs w:val="18"/>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Balances, March 31, 2019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24,617,143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174,671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28,726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203,422</w:t>
            </w:r>
          </w:p>
        </w:tc>
        <w:tc>
          <w:tcPr>
            <w:tcW w:w="40" w:type="dxa"/>
            <w:vAlign w:val="bottom"/>
            <w:shd w:val="clear" w:color="auto" w:fill="CCEEFF"/>
          </w:tcPr>
          <w:p>
            <w:pPr>
              <w:spacing w:after="0"/>
              <w:rPr>
                <w:sz w:val="18"/>
                <w:szCs w:val="18"/>
                <w:color w:val="auto"/>
              </w:rPr>
            </w:pPr>
          </w:p>
        </w:tc>
      </w:tr>
      <w:tr>
        <w:trPr>
          <w:trHeight w:val="202"/>
        </w:trPr>
        <w:tc>
          <w:tcPr>
            <w:tcW w:w="3400" w:type="dxa"/>
            <w:vAlign w:val="bottom"/>
          </w:tcPr>
          <w:p>
            <w:pPr>
              <w:ind w:left="120"/>
              <w:spacing w:after="0" w:line="201" w:lineRule="exact"/>
              <w:rPr>
                <w:sz w:val="20"/>
                <w:szCs w:val="20"/>
                <w:color w:val="auto"/>
              </w:rPr>
            </w:pPr>
            <w:r>
              <w:rPr>
                <w:rFonts w:ascii="Arial" w:cs="Arial" w:eastAsia="Arial" w:hAnsi="Arial"/>
                <w:sz w:val="18"/>
                <w:szCs w:val="18"/>
                <w:color w:val="auto"/>
                <w:w w:val="87"/>
              </w:rPr>
              <w:t>Share based compensation expense and stock</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400" w:type="dxa"/>
            <w:vAlign w:val="bottom"/>
          </w:tcPr>
          <w:p>
            <w:pPr>
              <w:ind w:left="120"/>
              <w:spacing w:after="0"/>
              <w:rPr>
                <w:sz w:val="20"/>
                <w:szCs w:val="20"/>
                <w:color w:val="auto"/>
              </w:rPr>
            </w:pPr>
            <w:r>
              <w:rPr>
                <w:rFonts w:ascii="Arial" w:cs="Arial" w:eastAsia="Arial" w:hAnsi="Arial"/>
                <w:sz w:val="18"/>
                <w:szCs w:val="18"/>
                <w:color w:val="auto"/>
              </w:rPr>
              <w:t>units vested</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20"/>
                <w:szCs w:val="20"/>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treasury stock</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(3,060)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(3,060)</w:t>
            </w:r>
          </w:p>
        </w:tc>
      </w:tr>
      <w:tr>
        <w:trPr>
          <w:trHeight w:val="216"/>
        </w:trPr>
        <w:tc>
          <w:tcPr>
            <w:tcW w:w="3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8,633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40" w:type="dxa"/>
            <w:vAlign w:val="bottom"/>
            <w:tcBorders>
              <w:bottom w:val="single" w:sz="8" w:color="auto"/>
            </w:tcBorders>
          </w:tcPr>
          <w:p>
            <w:pPr>
              <w:spacing w:after="0"/>
              <w:rPr>
                <w:sz w:val="18"/>
                <w:szCs w:val="18"/>
                <w:color w:val="auto"/>
              </w:rPr>
            </w:pPr>
          </w:p>
        </w:tc>
      </w:tr>
      <w:tr>
        <w:trPr>
          <w:trHeight w:val="217"/>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June 30, 2019</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5"/>
              </w:rPr>
              <w:t>24,617,143</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6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1"/>
              </w:rPr>
              <w:t>$ (3,060)</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174,858</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37,359</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209,182</w:t>
            </w:r>
          </w:p>
        </w:tc>
        <w:tc>
          <w:tcPr>
            <w:tcW w:w="40" w:type="dxa"/>
            <w:vAlign w:val="bottom"/>
            <w:tcBorders>
              <w:bottom w:val="single" w:sz="8" w:color="auto"/>
            </w:tcBorders>
            <w:shd w:val="clear" w:color="auto" w:fill="CCEEFF"/>
          </w:tcPr>
          <w:p>
            <w:pPr>
              <w:spacing w:after="0"/>
              <w:rPr>
                <w:sz w:val="18"/>
                <w:szCs w:val="18"/>
                <w:color w:val="auto"/>
              </w:rPr>
            </w:pP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1440" w:right="168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2019 AND 2018 (dollars in thousands)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229" w:lineRule="exact"/>
        <w:rPr>
          <w:sz w:val="20"/>
          <w:szCs w:val="20"/>
          <w:color w:val="auto"/>
        </w:rPr>
      </w:pPr>
    </w:p>
    <w:p>
      <w:pPr>
        <w:jc w:val="both"/>
        <w:ind w:right="60" w:firstLine="713"/>
        <w:spacing w:after="0" w:line="264" w:lineRule="auto"/>
        <w:rPr>
          <w:sz w:val="20"/>
          <w:szCs w:val="20"/>
          <w:color w:val="auto"/>
        </w:rPr>
      </w:pPr>
      <w:r>
        <w:rPr>
          <w:rFonts w:ascii="Arial" w:cs="Arial" w:eastAsia="Arial" w:hAnsi="Arial"/>
          <w:sz w:val="18"/>
          <w:szCs w:val="18"/>
          <w:color w:val="auto"/>
        </w:rPr>
        <w:t>Legacy Housing Corporation (the “Company”) was formed on January 1, 2018 through a corporate conversion of Legacy Housing, Ltd., (the “Partnership”) a Texas limited partnership formed in May 2005. The Company is incorporated as a Delaware corporation and is headquartered in Bedford, Texas.</w:t>
      </w:r>
    </w:p>
    <w:p>
      <w:pPr>
        <w:spacing w:after="0" w:line="154" w:lineRule="exact"/>
        <w:rPr>
          <w:sz w:val="20"/>
          <w:szCs w:val="20"/>
          <w:color w:val="auto"/>
        </w:rPr>
      </w:pPr>
    </w:p>
    <w:p>
      <w:pPr>
        <w:ind w:right="40" w:firstLine="713"/>
        <w:spacing w:after="0" w:line="302" w:lineRule="auto"/>
        <w:rPr>
          <w:sz w:val="20"/>
          <w:szCs w:val="20"/>
          <w:color w:val="auto"/>
        </w:rPr>
      </w:pPr>
      <w:r>
        <w:rPr>
          <w:rFonts w:ascii="Arial" w:cs="Arial" w:eastAsia="Arial" w:hAnsi="Arial"/>
          <w:sz w:val="16"/>
          <w:szCs w:val="16"/>
          <w:color w:val="auto"/>
        </w:rPr>
        <w:t>The Company (1) manufactures and provides for the transport of mobile homes, (2) provides wholesale financing to dealers and mobile home parks and (3) provides retail financing to consumers. The Company manufactures its mobile homes at plants located in Fort Worth, Texas, Commerce, Texas and Eatonton, Georgia. The Company relies on a network of dealers to market and sell its mobile homes. The Company also sells homes directly to dealers and mobile home parks.</w:t>
      </w:r>
    </w:p>
    <w:p>
      <w:pPr>
        <w:spacing w:after="0" w:line="114" w:lineRule="exact"/>
        <w:rPr>
          <w:sz w:val="20"/>
          <w:szCs w:val="20"/>
          <w:color w:val="auto"/>
        </w:rPr>
      </w:pPr>
    </w:p>
    <w:p>
      <w:pPr>
        <w:ind w:right="40" w:firstLine="713"/>
        <w:spacing w:after="0" w:line="257" w:lineRule="auto"/>
        <w:rPr>
          <w:sz w:val="20"/>
          <w:szCs w:val="20"/>
          <w:color w:val="auto"/>
        </w:rPr>
      </w:pPr>
      <w:r>
        <w:rPr>
          <w:rFonts w:ascii="Arial" w:cs="Arial" w:eastAsia="Arial" w:hAnsi="Arial"/>
          <w:sz w:val="18"/>
          <w:szCs w:val="18"/>
          <w:color w:val="auto"/>
        </w:rPr>
        <w:t>In December 2018, the Company sold 4,000,000 shares of its common stock through an initial public offering (“IPO”) at $12.00 per share. Proceeds from the IPO, net of $4,504 of underwriting discounts and offering expenses paid by the Company, were $43,492. In January 2019, the Company sold an additional 600,000 shares of its common stock as part of the IPO at $12.00 per share. Proceeds from the January 2019 issuance, net of $505 of underwriting discounts and offering expenses paid by the Company, were $6,695.</w:t>
      </w:r>
    </w:p>
    <w:p>
      <w:pPr>
        <w:spacing w:after="0" w:line="148" w:lineRule="exact"/>
        <w:rPr>
          <w:sz w:val="20"/>
          <w:szCs w:val="20"/>
          <w:color w:val="auto"/>
        </w:rPr>
      </w:pPr>
    </w:p>
    <w:p>
      <w:pPr>
        <w:ind w:firstLine="713"/>
        <w:spacing w:after="0" w:line="273" w:lineRule="auto"/>
        <w:rPr>
          <w:sz w:val="20"/>
          <w:szCs w:val="20"/>
          <w:color w:val="auto"/>
        </w:rPr>
      </w:pPr>
      <w:r>
        <w:rPr>
          <w:rFonts w:ascii="Arial" w:cs="Arial" w:eastAsia="Arial" w:hAnsi="Arial"/>
          <w:sz w:val="17"/>
          <w:szCs w:val="17"/>
          <w:color w:val="auto"/>
        </w:rPr>
        <w:t>On April 17, 2019, the Company purchased 300,000 shares of its common stock at the price of $10.20 per share, pursuant to the Company’s repurchase program. Under the repurchase program, the Company may purchase up to $10,000 of its common stock. Share purchases may be made from time to time in the open market or through privately negotiated transactions depending on market conditions, share price, trading volume and other factors. Such purchases, if any, will be made in accordance with applicable insider trading and other securities laws and regulations. These repurchases may be commenced or suspended at any time or from time to time without prior notice.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Conversion</w:t>
      </w:r>
    </w:p>
    <w:p>
      <w:pPr>
        <w:spacing w:after="0" w:line="189" w:lineRule="exact"/>
        <w:rPr>
          <w:sz w:val="20"/>
          <w:szCs w:val="20"/>
          <w:color w:val="auto"/>
        </w:rPr>
      </w:pPr>
    </w:p>
    <w:p>
      <w:pPr>
        <w:ind w:firstLine="713"/>
        <w:spacing w:after="0" w:line="276" w:lineRule="auto"/>
        <w:rPr>
          <w:sz w:val="20"/>
          <w:szCs w:val="20"/>
          <w:color w:val="auto"/>
        </w:rPr>
      </w:pPr>
      <w:r>
        <w:rPr>
          <w:rFonts w:ascii="Arial" w:cs="Arial" w:eastAsia="Arial" w:hAnsi="Arial"/>
          <w:sz w:val="17"/>
          <w:szCs w:val="17"/>
          <w:color w:val="auto"/>
        </w:rPr>
        <w:t>Effective January 1, 2018, the Partnership converted into a Delaware corporation pursuant to a statutory conversion and changed its name to Legacy Housing Corporation. In order to consummate the corporate conversion completed on January 1, 2018, a certificate of conversion was filed with the Secretary of State of the State of Delaware and with the Secretary of State of the State of Texas. Holders of partnership interests in Legacy Housing, Ltd. received an initial allocation, on a proportional basis, of 20,000,000 shares of common stock of Legacy Housing Corporation.</w:t>
      </w:r>
    </w:p>
    <w:p>
      <w:pPr>
        <w:spacing w:after="0" w:line="132"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Following the corporate conversion, Legacy Housing Corporation continues to hold all property and assets of Legacy Housing, Ltd. and all of the debts and obligations of Legacy Housing, Ltd. On the effective date of the corporate conversion, the officers of Legacy Housing, Ltd. became the officers of Legacy Housing Corporation. As a result of the corporate conversion, the Company is now a federal corporate taxpayer.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accompanying unaudited interim condensed financial statements as of June 30, 2019 and for the three and six months ended June 30, 2019 and 2018, respectively, have been prepared in accordance with accounting principles generally accepted in the United States of America ("GAAP") for interim financial information and pursuant to the rules and regulations of the U.S. Securities and Exchange Commission ("SEC") as required by Regulation S-X, Rule 8-03.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six months ended June 30, 2019 are not necessarily indicative of the results to be expected for the year ending December 31, 2019, or any other period. The accompanying consolidated balance sheet as of December 31, 2018 was derived from audited financial statements included in the Company's annual report on Form 10-K for the year ended</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2019 AND 2018 (dollars in thousands)</w:t>
      </w:r>
    </w:p>
    <w:p>
      <w:pPr>
        <w:spacing w:after="0" w:line="200" w:lineRule="exact"/>
        <w:rPr>
          <w:sz w:val="20"/>
          <w:szCs w:val="20"/>
          <w:color w:val="auto"/>
        </w:rPr>
      </w:pPr>
    </w:p>
    <w:p>
      <w:pPr>
        <w:spacing w:after="0" w:line="271"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December 31, 2018 (the "Form 10-K"). The accompanying consolidated financial statements do not include all of the information and footnotes required by GAAP for annual financial statements. Accordingly, they should be read in conjunction with the audited financial statements and notes thereto included in the Form 10-K.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Material estimates that are susceptible to significant change in the near term primarily relate to the determination of accounts receivable, consumer loans and notes receivable, inventory obsolescence, repossessed assets, income taxes, fair value of financial instruments, contingent liabilities and accruals related to warranty costs. Actual results could differ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2"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In May 2014, the FASB issued ASU 2014</w:t>
      </w:r>
      <w:r>
        <w:rPr>
          <w:rFonts w:ascii="MS PGothic" w:cs="MS PGothic" w:eastAsia="MS PGothic" w:hAnsi="MS PGothic"/>
          <w:sz w:val="17"/>
          <w:szCs w:val="17"/>
          <w:color w:val="auto"/>
        </w:rPr>
        <w:t>‑</w:t>
      </w:r>
      <w:r>
        <w:rPr>
          <w:rFonts w:ascii="Arial" w:cs="Arial" w:eastAsia="Arial" w:hAnsi="Arial"/>
          <w:sz w:val="17"/>
          <w:szCs w:val="17"/>
          <w:color w:val="auto"/>
        </w:rPr>
        <w:t xml:space="preserve">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outlines a comprehensive five</w:t>
      </w:r>
      <w:r>
        <w:rPr>
          <w:rFonts w:ascii="MS PGothic" w:cs="MS PGothic" w:eastAsia="MS PGothic" w:hAnsi="MS PGothic"/>
          <w:sz w:val="17"/>
          <w:szCs w:val="17"/>
          <w:color w:val="auto"/>
        </w:rPr>
        <w:t>‑</w:t>
      </w:r>
      <w:r>
        <w:rPr>
          <w:rFonts w:ascii="Arial" w:cs="Arial" w:eastAsia="Arial" w:hAnsi="Arial"/>
          <w:sz w:val="17"/>
          <w:szCs w:val="17"/>
          <w:color w:val="auto"/>
        </w:rPr>
        <w:t>step model for entities to use in accounting for revenue arising from contracts with customers and supersedes most previous revenue recognition guidance, including industry</w:t>
      </w:r>
      <w:r>
        <w:rPr>
          <w:rFonts w:ascii="MS PGothic" w:cs="MS PGothic" w:eastAsia="MS PGothic" w:hAnsi="MS PGothic"/>
          <w:sz w:val="17"/>
          <w:szCs w:val="17"/>
          <w:color w:val="auto"/>
        </w:rPr>
        <w:t>‑</w:t>
      </w:r>
      <w:r>
        <w:rPr>
          <w:rFonts w:ascii="Arial" w:cs="Arial" w:eastAsia="Arial" w:hAnsi="Arial"/>
          <w:sz w:val="17"/>
          <w:szCs w:val="17"/>
          <w:color w:val="auto"/>
        </w:rPr>
        <w:t>specific guidance. The standard requires entities to recognize revenue to depict the transfer of promised goods or services to customers in an amount that reflects the consideration to which the entity expects to be entitled in exchange for those goods or services. The new guidance also includes a cohesive set of disclosure requirements intended to provide users of financial statements with comprehensive information about the nature, amount, timing and uncertainty of revenue and cash flows arising from contracts with customers. The Company adopted the requirements of the new revenue standard on January 1, 2019 using the modified retrospective transition method, applied to contracts that were not completed as of the date of initial application, which did not have a material impact on the financial statements.</w:t>
      </w:r>
    </w:p>
    <w:p>
      <w:pPr>
        <w:spacing w:after="0" w:line="16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new guidance under ASU 2014-09 is applicable to our product sales which includes sales of homes through various sales channels, and other revenue which includes consignment fees, service fees and miscellaneous income. Income generated from interest, other lending activities, and investment income are excluded from ASU 2014-09 and will continue to be accounted for under existing guidance.</w:t>
      </w:r>
    </w:p>
    <w:p>
      <w:pPr>
        <w:spacing w:after="0" w:line="14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For those revenue streams that are subject to ASU 2014-09, the Company evaluated the impact of adopting the new standard on our revenue recognition policies under existing guidance and determined there is no impact. The adoption did not have a significant impact on the consolidated operating results, financial position or cash flows of the Company. The Company’s evaluation of ASU 2014-09 impact on primary revenue streams are as follows:</w:t>
      </w:r>
    </w:p>
    <w:p>
      <w:pPr>
        <w:spacing w:after="0" w:line="144"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i w:val="1"/>
          <w:iCs w:val="1"/>
          <w:color w:val="auto"/>
        </w:rPr>
        <w:t xml:space="preserve">Product sales, </w:t>
      </w:r>
      <w:r>
        <w:rPr>
          <w:rFonts w:ascii="Arial" w:cs="Arial" w:eastAsia="Arial" w:hAnsi="Arial"/>
          <w:sz w:val="17"/>
          <w:szCs w:val="17"/>
          <w:color w:val="auto"/>
        </w:rPr>
        <w:t>primarily consist of sales of mobile homes to consumers and mobile home parks through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sales channels, which include Direct Sales, Commercial Sales, Consignment Sales, and Retail Store Sales. Direct Sales include homes sold directly to independent retailers or customers that are not financed by the Company and are not sold under a consignment arrangement. These types of homes are generally paid for prior to shipment. Commercial Sales include homes sold to mobile home parks under commercial loan programs or paid for upfront. The Company provides floor plan financing for independent retailers, which takes the form of a consignment arrangement. Consignment Sales are considered sales of consigned homes from independent dealers to individual customers. Retail Store Sales are homes sold through Company-owned retail locations. Consignment Sales and Retail Sales of homes may be financed by the Company, by a third party, or in paid in cash.</w:t>
      </w:r>
    </w:p>
    <w:p>
      <w:pPr>
        <w:spacing w:after="0" w:line="18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Revenue from product sales is recognized at a point in time when the performance obligation under the terms of a contract with our customers is satisfied which typically occurs upon delivery and transfer of title of the home, as this depicts when control of the promised good is transferred to our customers. For financed sales by the Company,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2019 AND 2018 (dollars in thousands)</w:t>
      </w:r>
    </w:p>
    <w:p>
      <w:pPr>
        <w:spacing w:after="0" w:line="200" w:lineRule="exact"/>
        <w:rPr>
          <w:sz w:val="20"/>
          <w:szCs w:val="20"/>
          <w:color w:val="auto"/>
        </w:rPr>
      </w:pPr>
    </w:p>
    <w:p>
      <w:pPr>
        <w:spacing w:after="0" w:line="2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individual customer enters into a sales and financing contract and is required to make a down payment. These financed sales contain a significant financing component and any interest income is separately recorded in the statement of operations.</w:t>
      </w:r>
    </w:p>
    <w:p>
      <w:pPr>
        <w:spacing w:after="0" w:line="12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Revenue is measured as the amount of consideration expected to be received in exchange for transferring the homes to the customers. Sales and other similar taxes collected concurrently with revenue-producing activities are excluded from revenue.</w:t>
      </w:r>
    </w:p>
    <w:p>
      <w:pPr>
        <w:spacing w:after="0" w:line="12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Contract costs, which include commissions incurred related to the sale of homes, are expensed at the point-in-time when the related revenue is recognized.</w:t>
      </w:r>
    </w:p>
    <w:p>
      <w:pPr>
        <w:spacing w:after="0" w:line="13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For the three months ended June 30, 2019 and 2018, total cost of product sales included $7,573 and $4,029 of costs, mainly relating to up front dealer commission and reimbursed dealer expenses for consignment sales and certain other similar costs incurred for retail store and commercial sales. For the six months ended June 30, 2019 and 2018, total cost of product sales included $11,900 and $10,004 of costs, mainly relating to up front dealer commission and reimbursed dealer expenses for consignment sales and certain other similar costs incurred for retail store and commercial sales.</w:t>
      </w:r>
    </w:p>
    <w:p>
      <w:pPr>
        <w:spacing w:after="0" w:line="10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consists of consignment fees, service fees and other miscellaneous income. Consignment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are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service fees and miscellaneous income is recognized at a point in time when the performance obligation is satisfied.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2019 AND 2018 (dollars in thousands)</w:t>
      </w:r>
    </w:p>
    <w:p>
      <w:pPr>
        <w:spacing w:after="0" w:line="200" w:lineRule="exact"/>
        <w:rPr>
          <w:sz w:val="20"/>
          <w:szCs w:val="20"/>
          <w:color w:val="auto"/>
        </w:rPr>
      </w:pPr>
    </w:p>
    <w:p>
      <w:pPr>
        <w:spacing w:after="0" w:line="27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Disaggregation of Revenue</w:t>
      </w:r>
      <w:r>
        <w:rPr>
          <w:rFonts w:ascii="Arial" w:cs="Arial" w:eastAsia="Arial" w:hAnsi="Arial"/>
          <w:sz w:val="18"/>
          <w:szCs w:val="18"/>
          <w:color w:val="auto"/>
        </w:rPr>
        <w:t>. The following table summarizes customer contract revenues disaggregated by source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revenue for the three and six months ended June 30, 2019 and 2018:</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w w:val="94"/>
              </w:rPr>
              <w:t>Three months ended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w w:val="99"/>
              </w:rPr>
              <w:t>Six months ended</w:t>
            </w:r>
          </w:p>
        </w:tc>
      </w:tr>
      <w:tr>
        <w:trPr>
          <w:trHeight w:val="215"/>
        </w:trPr>
        <w:tc>
          <w:tcPr>
            <w:tcW w:w="3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8"/>
                <w:szCs w:val="18"/>
                <w:color w:val="auto"/>
              </w:rPr>
            </w:pPr>
          </w:p>
        </w:tc>
      </w:tr>
      <w:tr>
        <w:trPr>
          <w:trHeight w:val="210"/>
        </w:trPr>
        <w:tc>
          <w:tcPr>
            <w:tcW w:w="32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2018</w:t>
            </w:r>
          </w:p>
        </w:tc>
      </w:tr>
      <w:tr>
        <w:trPr>
          <w:trHeight w:val="223"/>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30"/>
        </w:trPr>
        <w:tc>
          <w:tcPr>
            <w:tcW w:w="3260" w:type="dxa"/>
            <w:vAlign w:val="bottom"/>
          </w:tcPr>
          <w:p>
            <w:pPr>
              <w:ind w:left="100"/>
              <w:spacing w:after="0"/>
              <w:rPr>
                <w:sz w:val="20"/>
                <w:szCs w:val="20"/>
                <w:color w:val="auto"/>
              </w:rPr>
            </w:pPr>
            <w:r>
              <w:rPr>
                <w:rFonts w:ascii="Arial" w:cs="Arial" w:eastAsia="Arial" w:hAnsi="Arial"/>
                <w:sz w:val="18"/>
                <w:szCs w:val="18"/>
                <w:color w:val="auto"/>
              </w:rPr>
              <w:t>Direct sales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5,553</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7,608</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10,000</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20,154</w:t>
            </w:r>
          </w:p>
        </w:tc>
      </w:tr>
      <w:tr>
        <w:trPr>
          <w:trHeight w:val="230"/>
        </w:trPr>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sales</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30,107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16,165</w:t>
            </w:r>
          </w:p>
        </w:tc>
      </w:tr>
      <w:tr>
        <w:trPr>
          <w:trHeight w:val="230"/>
        </w:trPr>
        <w:tc>
          <w:tcPr>
            <w:tcW w:w="3260" w:type="dxa"/>
            <w:vAlign w:val="bottom"/>
          </w:tcPr>
          <w:p>
            <w:pPr>
              <w:ind w:left="100"/>
              <w:spacing w:after="0"/>
              <w:rPr>
                <w:sz w:val="20"/>
                <w:szCs w:val="20"/>
                <w:color w:val="auto"/>
              </w:rPr>
            </w:pPr>
            <w:r>
              <w:rPr>
                <w:rFonts w:ascii="Arial" w:cs="Arial" w:eastAsia="Arial" w:hAnsi="Arial"/>
                <w:sz w:val="18"/>
                <w:szCs w:val="18"/>
                <w:color w:val="auto"/>
              </w:rPr>
              <w:t>Consignment sales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10,625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16,039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20,662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28,790</w:t>
            </w:r>
          </w:p>
        </w:tc>
      </w:tr>
      <w:tr>
        <w:trPr>
          <w:trHeight w:val="230"/>
        </w:trPr>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Retail store sales</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w:t>
            </w:r>
          </w:p>
        </w:tc>
      </w:tr>
      <w:tr>
        <w:trPr>
          <w:trHeight w:val="230"/>
        </w:trPr>
        <w:tc>
          <w:tcPr>
            <w:tcW w:w="3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(1)</w:t>
            </w:r>
          </w:p>
        </w:tc>
        <w:tc>
          <w:tcPr>
            <w:tcW w:w="4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w:t>
            </w: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product sales</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39,766</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38,188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71,316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75,602</w:t>
            </w:r>
          </w:p>
        </w:tc>
      </w:tr>
      <w:tr>
        <w:trPr>
          <w:trHeight w:val="210"/>
        </w:trPr>
        <w:tc>
          <w:tcPr>
            <w:tcW w:w="3260" w:type="dxa"/>
            <w:vAlign w:val="bottom"/>
          </w:tcPr>
          <w:p>
            <w:pPr>
              <w:spacing w:after="0"/>
              <w:rPr>
                <w:sz w:val="20"/>
                <w:szCs w:val="20"/>
                <w:color w:val="auto"/>
              </w:rPr>
            </w:pPr>
            <w:r>
              <w:rPr>
                <w:rFonts w:ascii="Arial" w:cs="Arial" w:eastAsia="Arial" w:hAnsi="Arial"/>
                <w:sz w:val="18"/>
                <w:szCs w:val="18"/>
                <w:color w:val="auto"/>
              </w:rPr>
              <w:t>Consumer and MHP loans interest: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3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 consumer installment notes</w:t>
            </w: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r>
      <w:tr>
        <w:trPr>
          <w:trHeight w:val="230"/>
        </w:trPr>
        <w:tc>
          <w:tcPr>
            <w:tcW w:w="3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 MHP notes</w:t>
            </w:r>
          </w:p>
        </w:tc>
        <w:tc>
          <w:tcPr>
            <w:tcW w:w="4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w:t>
            </w: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consumer and MHP loans interest</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10,642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8,897</w:t>
            </w:r>
          </w:p>
        </w:tc>
      </w:tr>
      <w:tr>
        <w:trPr>
          <w:trHeight w:val="210"/>
        </w:trPr>
        <w:tc>
          <w:tcPr>
            <w:tcW w:w="3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w:t>
            </w:r>
          </w:p>
        </w:tc>
      </w:tr>
      <w:tr>
        <w:trPr>
          <w:trHeight w:val="217"/>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45,761</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44,006</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83,715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86,690</w:t>
            </w:r>
          </w:p>
        </w:tc>
      </w:tr>
    </w:tbl>
    <w:p>
      <w:pPr>
        <w:spacing w:after="0" w:line="175" w:lineRule="exact"/>
        <w:rPr>
          <w:sz w:val="20"/>
          <w:szCs w:val="20"/>
          <w:color w:val="auto"/>
        </w:rPr>
      </w:pPr>
    </w:p>
    <w:p>
      <w:pPr>
        <w:ind w:right="380" w:firstLine="648"/>
        <w:spacing w:after="0" w:line="461" w:lineRule="auto"/>
        <w:rPr>
          <w:sz w:val="20"/>
          <w:szCs w:val="20"/>
          <w:color w:val="auto"/>
        </w:rPr>
      </w:pPr>
      <w:r>
        <w:rPr>
          <w:rFonts w:ascii="Arial" w:cs="Arial" w:eastAsia="Arial" w:hAnsi="Arial"/>
          <w:sz w:val="18"/>
          <w:szCs w:val="18"/>
          <w:color w:val="auto"/>
        </w:rPr>
        <w:t xml:space="preserve">(1) Other product sales revenue from ancillary products and services including parts, freight and other services </w:t>
      </w:r>
      <w:r>
        <w:rPr>
          <w:rFonts w:ascii="Arial" w:cs="Arial" w:eastAsia="Arial" w:hAnsi="Arial"/>
          <w:sz w:val="18"/>
          <w:szCs w:val="18"/>
          <w:b w:val="1"/>
          <w:bCs w:val="1"/>
          <w:color w:val="auto"/>
        </w:rPr>
        <w:t>Share-Based Compensation</w:t>
      </w:r>
    </w:p>
    <w:p>
      <w:pPr>
        <w:spacing w:after="0" w:line="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The Company accounts for share-based compensation in accordance with the provisions of ASC 718,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—Stock Compensation</w:t>
      </w:r>
      <w:r>
        <w:rPr>
          <w:rFonts w:ascii="Arial" w:cs="Arial" w:eastAsia="Arial" w:hAnsi="Arial"/>
          <w:sz w:val="18"/>
          <w:szCs w:val="18"/>
          <w:color w:val="auto"/>
        </w:rPr>
        <w:t>. Share-based compensation expense is recognized based on the award’s estimated grant date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 to recognize compensation cost for those shares expected to vest. The Company has elected to record forfeitures as they occur. Compensation cost is recognized on a straight-line basis over the vesting period of the awards and adjusted as forfeitures occur.</w:t>
      </w:r>
    </w:p>
    <w:p>
      <w:pPr>
        <w:spacing w:after="0" w:line="14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fair value of each option grant with only service-based conditions is estimated using the Black-Scholes pricing model. The fair value of each restricted stock unit (the”RSU”) is calculated based on the closing price of the Company’s common stock on the grant date.</w:t>
      </w:r>
    </w:p>
    <w:p>
      <w:pPr>
        <w:spacing w:after="0" w:line="14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As a recently formed public entity with a small public float and limited trading of its common shares on the NASDAQ Global Market, it was not practicable for the Company to estimate the volatility of its common shares; therefore, management estimated volatility based on the historical volatilities of a small group of companies considered as close to comparable to the Company as available, all equally weighted, over the expected life of the option. Management concluded that this group is more characteristic of the Company’s business than a broad industry index. The expected life of awards granted represents the period of time that the awards are expected to be outstanding based on the “simplified” method, which is allowed for companies that cannot reasonably estimate the expected life of options based on its historical award exercise experience. The Company does not expect to pay dividends on its common stock. Due to the nature of the grants, the company estimated zero option forfeitures. Share-based payment expense is recorded only for those awards that are expected to vest.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2019 AND 2018 (dollars in thousands)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right="340" w:firstLine="648"/>
        <w:spacing w:after="0" w:line="223" w:lineRule="exact"/>
        <w:rPr>
          <w:sz w:val="20"/>
          <w:szCs w:val="20"/>
          <w:color w:val="auto"/>
        </w:rPr>
      </w:pPr>
      <w:r>
        <w:rPr>
          <w:rFonts w:ascii="Arial" w:cs="Arial" w:eastAsia="Arial" w:hAnsi="Arial"/>
          <w:sz w:val="18"/>
          <w:szCs w:val="18"/>
          <w:color w:val="auto"/>
        </w:rPr>
        <w:t>The Company has elected to use longer phase</w:t>
      </w:r>
      <w:r>
        <w:rPr>
          <w:rFonts w:ascii="MS PGothic" w:cs="MS PGothic" w:eastAsia="MS PGothic" w:hAnsi="MS PGothic"/>
          <w:sz w:val="18"/>
          <w:szCs w:val="18"/>
          <w:color w:val="auto"/>
        </w:rPr>
        <w:t>‑</w:t>
      </w:r>
      <w:r>
        <w:rPr>
          <w:rFonts w:ascii="Arial" w:cs="Arial" w:eastAsia="Arial" w:hAnsi="Arial"/>
          <w:sz w:val="18"/>
          <w:szCs w:val="18"/>
          <w:color w:val="auto"/>
        </w:rPr>
        <w:t>in periods for the adoption of new or revised financial accounting standards under the JOBS Act as an emerging growth company.</w:t>
      </w:r>
    </w:p>
    <w:p>
      <w:pPr>
        <w:spacing w:after="0" w:line="163" w:lineRule="exact"/>
        <w:rPr>
          <w:sz w:val="20"/>
          <w:szCs w:val="20"/>
          <w:color w:val="auto"/>
        </w:rPr>
      </w:pPr>
    </w:p>
    <w:p>
      <w:pPr>
        <w:ind w:right="20" w:firstLine="648"/>
        <w:spacing w:after="0" w:line="217" w:lineRule="exact"/>
        <w:rPr>
          <w:sz w:val="20"/>
          <w:szCs w:val="20"/>
          <w:color w:val="auto"/>
        </w:rPr>
      </w:pPr>
      <w:r>
        <w:rPr>
          <w:rFonts w:ascii="Arial" w:cs="Arial" w:eastAsia="Arial" w:hAnsi="Arial"/>
          <w:sz w:val="17"/>
          <w:szCs w:val="17"/>
          <w:color w:val="auto"/>
        </w:rPr>
        <w:t>In February 2016, the FASB issued ASU 2016</w:t>
      </w:r>
      <w:r>
        <w:rPr>
          <w:rFonts w:ascii="MS PGothic" w:cs="MS PGothic" w:eastAsia="MS PGothic" w:hAnsi="MS PGothic"/>
          <w:sz w:val="17"/>
          <w:szCs w:val="17"/>
          <w:color w:val="auto"/>
        </w:rPr>
        <w:t>‑</w:t>
      </w:r>
      <w:r>
        <w:rPr>
          <w:rFonts w:ascii="Arial" w:cs="Arial" w:eastAsia="Arial" w:hAnsi="Arial"/>
          <w:sz w:val="17"/>
          <w:szCs w:val="17"/>
          <w:color w:val="auto"/>
        </w:rPr>
        <w:t xml:space="preserve">02, </w:t>
      </w:r>
      <w:r>
        <w:rPr>
          <w:rFonts w:ascii="Arial" w:cs="Arial" w:eastAsia="Arial" w:hAnsi="Arial"/>
          <w:sz w:val="17"/>
          <w:szCs w:val="17"/>
          <w:i w:val="1"/>
          <w:iCs w:val="1"/>
          <w:color w:val="auto"/>
        </w:rPr>
        <w:t>Leases (Topic 842)</w:t>
      </w:r>
      <w:r>
        <w:rPr>
          <w:rFonts w:ascii="Arial" w:cs="Arial" w:eastAsia="Arial" w:hAnsi="Arial"/>
          <w:sz w:val="17"/>
          <w:szCs w:val="17"/>
          <w:color w:val="auto"/>
        </w:rPr>
        <w:t>, to increase transparency and comparability among organizations by recognizing lease assets and lease liabilities on the balance sheet and disclosing key information about leasing arrangements. A lessee should recognize in the balance sheet a liability to make lease payments (the lease liability) and an asset representing its right to use the underlying asset for the lease term. The recognition, measurement and presentation of expenses and cash flows arising from a lease by a lessee have not significantly changed from previous requirements. The Company plans to use longer phase</w:t>
      </w:r>
      <w:r>
        <w:rPr>
          <w:rFonts w:ascii="MS PGothic" w:cs="MS PGothic" w:eastAsia="MS PGothic" w:hAnsi="MS PGothic"/>
          <w:sz w:val="17"/>
          <w:szCs w:val="17"/>
          <w:color w:val="auto"/>
        </w:rPr>
        <w:t>‑</w:t>
      </w:r>
      <w:r>
        <w:rPr>
          <w:rFonts w:ascii="Arial" w:cs="Arial" w:eastAsia="Arial" w:hAnsi="Arial"/>
          <w:sz w:val="17"/>
          <w:szCs w:val="17"/>
          <w:color w:val="auto"/>
        </w:rPr>
        <w:t>in period for adoption and accordingly this ASU is effective for the Company’s fiscal year beginning January 1, 2020. Modified retrospective application and early adoption is permitted. The Company expects that the adoption of this standard will result in a material increase to assets and liabilities on the balance sheet but will not have a material impact on the statement of operations. While the Company is continuing to assess all the effects of adoption, it currently believes the most significant effects relate to (i) the recognition of new right-of-use assets and lease liabilities on its balance sheet for its property and equipment operating leases and (ii) providing significant new disclosures about its leasing activities.</w:t>
      </w:r>
    </w:p>
    <w:p>
      <w:pPr>
        <w:spacing w:after="0" w:line="169"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In June 2016, the FASB issued an accounting standards update ASU 2016</w:t>
      </w:r>
      <w:r>
        <w:rPr>
          <w:rFonts w:ascii="MS PGothic" w:cs="MS PGothic" w:eastAsia="MS PGothic" w:hAnsi="MS PGothic"/>
          <w:sz w:val="16"/>
          <w:szCs w:val="16"/>
          <w:color w:val="auto"/>
        </w:rPr>
        <w:t>‑</w:t>
      </w:r>
      <w:r>
        <w:rPr>
          <w:rFonts w:ascii="Arial" w:cs="Arial" w:eastAsia="Arial" w:hAnsi="Arial"/>
          <w:sz w:val="16"/>
          <w:szCs w:val="16"/>
          <w:color w:val="auto"/>
        </w:rPr>
        <w:t xml:space="preserve">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326): Measurement of Credit Losses on Financial Instruments</w:t>
      </w:r>
      <w:r>
        <w:rPr>
          <w:rFonts w:ascii="Arial" w:cs="Arial" w:eastAsia="Arial" w:hAnsi="Arial"/>
          <w:sz w:val="16"/>
          <w:szCs w:val="16"/>
          <w:color w:val="auto"/>
        </w:rPr>
        <w:t>, which amends guidance on reporting credit losses for</w:t>
      </w:r>
      <w:r>
        <w:rPr>
          <w:rFonts w:ascii="Arial" w:cs="Arial" w:eastAsia="Arial" w:hAnsi="Arial"/>
          <w:sz w:val="16"/>
          <w:szCs w:val="16"/>
          <w:i w:val="1"/>
          <w:iCs w:val="1"/>
          <w:color w:val="auto"/>
        </w:rPr>
        <w:t xml:space="preserve"> </w:t>
      </w:r>
      <w:r>
        <w:rPr>
          <w:rFonts w:ascii="Arial" w:cs="Arial" w:eastAsia="Arial" w:hAnsi="Arial"/>
          <w:sz w:val="16"/>
          <w:szCs w:val="16"/>
          <w:color w:val="auto"/>
        </w:rPr>
        <w:t>assets held at amortized cost basis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w:t>
      </w:r>
      <w:r>
        <w:rPr>
          <w:rFonts w:ascii="MS PGothic" w:cs="MS PGothic" w:eastAsia="MS PGothic" w:hAnsi="MS PGothic"/>
          <w:sz w:val="16"/>
          <w:szCs w:val="16"/>
          <w:color w:val="auto"/>
        </w:rPr>
        <w:t>‑</w:t>
      </w:r>
      <w:r>
        <w:rPr>
          <w:rFonts w:ascii="Arial" w:cs="Arial" w:eastAsia="Arial" w:hAnsi="Arial"/>
          <w:sz w:val="16"/>
          <w:szCs w:val="16"/>
          <w:color w:val="auto"/>
        </w:rPr>
        <w:t>down and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Company plans to use longer phase</w:t>
      </w:r>
      <w:r>
        <w:rPr>
          <w:rFonts w:ascii="MS PGothic" w:cs="MS PGothic" w:eastAsia="MS PGothic" w:hAnsi="MS PGothic"/>
          <w:sz w:val="16"/>
          <w:szCs w:val="16"/>
          <w:color w:val="auto"/>
        </w:rPr>
        <w:t>‑</w:t>
      </w:r>
      <w:r>
        <w:rPr>
          <w:rFonts w:ascii="Arial" w:cs="Arial" w:eastAsia="Arial" w:hAnsi="Arial"/>
          <w:sz w:val="16"/>
          <w:szCs w:val="16"/>
          <w:color w:val="auto"/>
        </w:rPr>
        <w:t>in period for adoption and accordingly this ASU is effective for the Company’s fiscal year beginning January 1, 2021. The Company is continuing to evaluate the impact of the adoption of this ASU and is uncertain of the impact on the financial statements and disclosures at this point in time.</w:t>
      </w:r>
    </w:p>
    <w:p>
      <w:pPr>
        <w:spacing w:after="0" w:line="177" w:lineRule="exact"/>
        <w:rPr>
          <w:sz w:val="20"/>
          <w:szCs w:val="20"/>
          <w:color w:val="auto"/>
        </w:rPr>
      </w:pPr>
    </w:p>
    <w:p>
      <w:pPr>
        <w:ind w:right="20" w:firstLine="648"/>
        <w:spacing w:after="0" w:line="219" w:lineRule="exact"/>
        <w:rPr>
          <w:sz w:val="20"/>
          <w:szCs w:val="20"/>
          <w:color w:val="auto"/>
        </w:rPr>
      </w:pPr>
      <w:r>
        <w:rPr>
          <w:rFonts w:ascii="Arial" w:cs="Arial" w:eastAsia="Arial" w:hAnsi="Arial"/>
          <w:sz w:val="18"/>
          <w:szCs w:val="18"/>
          <w:color w:val="auto"/>
        </w:rPr>
        <w:t>In March 2017, the FASB issued ASU 2017</w:t>
      </w:r>
      <w:r>
        <w:rPr>
          <w:rFonts w:ascii="MS PGothic" w:cs="MS PGothic" w:eastAsia="MS PGothic" w:hAnsi="MS PGothic"/>
          <w:sz w:val="18"/>
          <w:szCs w:val="18"/>
          <w:color w:val="auto"/>
        </w:rPr>
        <w:t>‑</w:t>
      </w:r>
      <w:r>
        <w:rPr>
          <w:rFonts w:ascii="Arial" w:cs="Arial" w:eastAsia="Arial" w:hAnsi="Arial"/>
          <w:sz w:val="18"/>
          <w:szCs w:val="18"/>
          <w:color w:val="auto"/>
        </w:rPr>
        <w:t>08, Receivables—Nonrefundable Fees and Other Costs (Subtopic 310</w:t>
      </w:r>
      <w:r>
        <w:rPr>
          <w:rFonts w:ascii="MS PGothic" w:cs="MS PGothic" w:eastAsia="MS PGothic" w:hAnsi="MS PGothic"/>
          <w:sz w:val="18"/>
          <w:szCs w:val="18"/>
          <w:color w:val="auto"/>
        </w:rPr>
        <w:t>‑</w:t>
      </w:r>
      <w:r>
        <w:rPr>
          <w:rFonts w:ascii="Arial" w:cs="Arial" w:eastAsia="Arial" w:hAnsi="Arial"/>
          <w:sz w:val="18"/>
          <w:szCs w:val="18"/>
          <w:color w:val="auto"/>
        </w:rPr>
        <w:t>20), Premium Amortization on Purchased Callable Debt Securities (“ASU 2017</w:t>
      </w:r>
      <w:r>
        <w:rPr>
          <w:rFonts w:ascii="MS PGothic" w:cs="MS PGothic" w:eastAsia="MS PGothic" w:hAnsi="MS PGothic"/>
          <w:sz w:val="18"/>
          <w:szCs w:val="18"/>
          <w:color w:val="auto"/>
        </w:rPr>
        <w:t>‑</w:t>
      </w:r>
      <w:r>
        <w:rPr>
          <w:rFonts w:ascii="Arial" w:cs="Arial" w:eastAsia="Arial" w:hAnsi="Arial"/>
          <w:sz w:val="18"/>
          <w:szCs w:val="18"/>
          <w:color w:val="auto"/>
        </w:rPr>
        <w:t>08”), which requires the premium on callable debt securities to be amortized to the earliest call date as opposed to the contractual life of the security. ASU 2017</w:t>
      </w:r>
      <w:r>
        <w:rPr>
          <w:rFonts w:ascii="MS PGothic" w:cs="MS PGothic" w:eastAsia="MS PGothic" w:hAnsi="MS PGothic"/>
          <w:sz w:val="18"/>
          <w:szCs w:val="18"/>
          <w:color w:val="auto"/>
        </w:rPr>
        <w:t>‑</w:t>
      </w:r>
      <w:r>
        <w:rPr>
          <w:rFonts w:ascii="Arial" w:cs="Arial" w:eastAsia="Arial" w:hAnsi="Arial"/>
          <w:sz w:val="18"/>
          <w:szCs w:val="18"/>
          <w:color w:val="auto"/>
        </w:rPr>
        <w:t>08 will be effective beginning with the first quarter of the Company’s fiscal year 2020. The Company is continuing to evaluate the impact of the adoption of this ASU and is uncertain of the impact on the financial statements and disclosures at this point in time.</w:t>
      </w:r>
    </w:p>
    <w:p>
      <w:pPr>
        <w:spacing w:after="0" w:line="16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1520" w:right="160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2019 AND 2018 (dollars in thousands)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CONSUMER LOANS RECEIVABLE</w:t>
      </w:r>
    </w:p>
    <w:p>
      <w:pPr>
        <w:spacing w:after="0" w:line="202" w:lineRule="exact"/>
        <w:rPr>
          <w:sz w:val="20"/>
          <w:szCs w:val="20"/>
          <w:color w:val="auto"/>
        </w:rPr>
      </w:pPr>
    </w:p>
    <w:p>
      <w:pPr>
        <w:ind w:right="139" w:firstLine="713"/>
        <w:spacing w:after="0" w:line="255" w:lineRule="auto"/>
        <w:rPr>
          <w:sz w:val="20"/>
          <w:szCs w:val="20"/>
          <w:color w:val="auto"/>
        </w:rPr>
      </w:pPr>
      <w:r>
        <w:rPr>
          <w:rFonts w:ascii="Arial" w:cs="Arial" w:eastAsia="Arial" w:hAnsi="Arial"/>
          <w:sz w:val="18"/>
          <w:szCs w:val="18"/>
          <w:color w:val="auto"/>
        </w:rPr>
        <w:t>Consumer loans receivable result from financing transactions entered into with retail consumers of mobile homes sold through independent retailers and company-owned retail locations. Consumer loans receivable generally consist of the sales price and any additional financing fees, less the buyer’s down payment. Interest income is recognized monthly per the terms of the financing agreements. The average contractual interest rate per loan was approximately 14.1% as of June 30, 2019 and approximately 14.0% as of December 31, 2018. Consumer loans receivable have maturities that range from 5 to 25 years.</w:t>
      </w:r>
    </w:p>
    <w:p>
      <w:pPr>
        <w:spacing w:after="0" w:line="207" w:lineRule="exact"/>
        <w:rPr>
          <w:sz w:val="20"/>
          <w:szCs w:val="20"/>
          <w:color w:val="auto"/>
        </w:rPr>
      </w:pPr>
    </w:p>
    <w:p>
      <w:pPr>
        <w:ind w:right="159" w:firstLine="713"/>
        <w:spacing w:after="0" w:line="264" w:lineRule="auto"/>
        <w:rPr>
          <w:sz w:val="20"/>
          <w:szCs w:val="20"/>
          <w:color w:val="auto"/>
        </w:rPr>
      </w:pPr>
      <w:r>
        <w:rPr>
          <w:rFonts w:ascii="Arial" w:cs="Arial" w:eastAsia="Arial" w:hAnsi="Arial"/>
          <w:sz w:val="18"/>
          <w:szCs w:val="18"/>
          <w:color w:val="auto"/>
        </w:rPr>
        <w:t>Loan applications go through an underwriting process which considers credit history to evaluate credit risk of the consumer. Interest rates on approved loans are determined based on consumer credit score, payment ability and down payment amount.</w:t>
      </w:r>
    </w:p>
    <w:p>
      <w:pPr>
        <w:spacing w:after="0" w:line="20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Company uses payment history to monitor the credit quality of the consumer loans on an ongoing basis.</w:t>
      </w:r>
    </w:p>
    <w:p>
      <w:pPr>
        <w:spacing w:after="0" w:line="250" w:lineRule="exact"/>
        <w:rPr>
          <w:sz w:val="20"/>
          <w:szCs w:val="20"/>
          <w:color w:val="auto"/>
        </w:rPr>
      </w:pPr>
    </w:p>
    <w:p>
      <w:pPr>
        <w:ind w:right="299" w:firstLine="648"/>
        <w:spacing w:after="0" w:line="286" w:lineRule="auto"/>
        <w:rPr>
          <w:sz w:val="20"/>
          <w:szCs w:val="20"/>
          <w:color w:val="auto"/>
        </w:rPr>
      </w:pPr>
      <w:r>
        <w:rPr>
          <w:rFonts w:ascii="Arial" w:cs="Arial" w:eastAsia="Arial" w:hAnsi="Arial"/>
          <w:sz w:val="17"/>
          <w:szCs w:val="17"/>
          <w:color w:val="auto"/>
        </w:rPr>
        <w:t>The Company may also receive escrow payments for property taxes and insurance included in its consumer loan collections. The liabilities associated with these escrow collections totaled $6,057 and $5,951 as of June 30, 2019 and December 31, 2018, respectively, and are included in escrow liability in the balance sheets.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Losses—Consumer Loans Receivable</w:t>
      </w:r>
    </w:p>
    <w:p>
      <w:pPr>
        <w:spacing w:after="0" w:line="239" w:lineRule="exact"/>
        <w:rPr>
          <w:sz w:val="20"/>
          <w:szCs w:val="20"/>
          <w:color w:val="auto"/>
        </w:rPr>
      </w:pPr>
    </w:p>
    <w:p>
      <w:pPr>
        <w:ind w:right="79" w:firstLine="713"/>
        <w:spacing w:after="0" w:line="302" w:lineRule="auto"/>
        <w:rPr>
          <w:sz w:val="20"/>
          <w:szCs w:val="20"/>
          <w:color w:val="auto"/>
        </w:rPr>
      </w:pPr>
      <w:r>
        <w:rPr>
          <w:rFonts w:ascii="Arial" w:cs="Arial" w:eastAsia="Arial" w:hAnsi="Arial"/>
          <w:sz w:val="16"/>
          <w:szCs w:val="16"/>
          <w:color w:val="auto"/>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 including the financial condition of borrowers, the value and liquidity of collateral, delinquency and historical loss experience.</w:t>
      </w:r>
    </w:p>
    <w:p>
      <w:pPr>
        <w:spacing w:after="0" w:line="181" w:lineRule="exact"/>
        <w:rPr>
          <w:sz w:val="20"/>
          <w:szCs w:val="20"/>
          <w:color w:val="auto"/>
        </w:rPr>
      </w:pPr>
    </w:p>
    <w:p>
      <w:pPr>
        <w:ind w:right="179" w:firstLine="713"/>
        <w:spacing w:after="0" w:line="279" w:lineRule="auto"/>
        <w:rPr>
          <w:sz w:val="20"/>
          <w:szCs w:val="20"/>
          <w:color w:val="auto"/>
        </w:rPr>
      </w:pPr>
      <w:r>
        <w:rPr>
          <w:rFonts w:ascii="Arial" w:cs="Arial" w:eastAsia="Arial" w:hAnsi="Arial"/>
          <w:sz w:val="17"/>
          <w:szCs w:val="17"/>
          <w:color w:val="auto"/>
        </w:rPr>
        <w:t>The allowance for loan losses is comprised of two components: the general reserve and specific reserves. The Company’s calculation of the general reserve considers the historical loss rate for the last three years, adjusted for the estimated loss discovery period and any qualitative factors both internal and external to the Company. Specific reserves are determined based on probable losses on specific classified impaired loans.</w:t>
      </w:r>
    </w:p>
    <w:p>
      <w:pPr>
        <w:spacing w:after="0" w:line="198" w:lineRule="exact"/>
        <w:rPr>
          <w:sz w:val="20"/>
          <w:szCs w:val="20"/>
          <w:color w:val="auto"/>
        </w:rPr>
      </w:pPr>
    </w:p>
    <w:p>
      <w:pPr>
        <w:ind w:right="79" w:firstLine="713"/>
        <w:spacing w:after="0" w:line="291" w:lineRule="auto"/>
        <w:rPr>
          <w:sz w:val="20"/>
          <w:szCs w:val="20"/>
          <w:color w:val="auto"/>
        </w:rPr>
      </w:pPr>
      <w:r>
        <w:rPr>
          <w:rFonts w:ascii="Arial" w:cs="Arial" w:eastAsia="Arial" w:hAnsi="Arial"/>
          <w:sz w:val="16"/>
          <w:szCs w:val="16"/>
          <w:color w:val="auto"/>
        </w:rPr>
        <w:t>The Company’s policy is to place a loan on nonaccrual status when there is a clear indication that the borrower’s cash flow may not be sufficient to meet payments as they become due, which is normally when either principal or interest is past due and remains unpaid for more than 90 days.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spacing w:after="0" w:line="181" w:lineRule="exact"/>
        <w:rPr>
          <w:sz w:val="20"/>
          <w:szCs w:val="20"/>
          <w:color w:val="auto"/>
        </w:rPr>
      </w:pPr>
    </w:p>
    <w:p>
      <w:pPr>
        <w:ind w:right="139" w:firstLine="713"/>
        <w:spacing w:after="0" w:line="284" w:lineRule="auto"/>
        <w:rPr>
          <w:sz w:val="20"/>
          <w:szCs w:val="20"/>
          <w:color w:val="auto"/>
        </w:rPr>
      </w:pPr>
      <w:r>
        <w:rPr>
          <w:rFonts w:ascii="Arial" w:cs="Arial" w:eastAsia="Arial" w:hAnsi="Arial"/>
          <w:sz w:val="16"/>
          <w:szCs w:val="16"/>
          <w:color w:val="auto"/>
        </w:rPr>
        <w:t>Impaired loans are those loans where it is probable the Company will be unable to collect all amounts due in accordance with the original contractual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The Company uses various factors to determine the value of the underlying collateral for impaired loans. These factors are:</w:t>
      </w:r>
    </w:p>
    <w:p>
      <w:pPr>
        <w:spacing w:after="0" w:line="5" w:lineRule="exact"/>
        <w:rPr>
          <w:sz w:val="20"/>
          <w:szCs w:val="20"/>
          <w:color w:val="auto"/>
        </w:rPr>
      </w:pPr>
    </w:p>
    <w:p>
      <w:pPr>
        <w:ind w:left="4440" w:right="3039" w:hanging="4437"/>
        <w:spacing w:after="0" w:line="762" w:lineRule="auto"/>
        <w:tabs>
          <w:tab w:leader="none" w:pos="25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length of time the unit was unsold after construction; (2) the amount of time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2019 AND 2018 (dollars in thousands)</w:t>
      </w:r>
    </w:p>
    <w:p>
      <w:pPr>
        <w:spacing w:after="0" w:line="200" w:lineRule="exact"/>
        <w:rPr>
          <w:sz w:val="20"/>
          <w:szCs w:val="20"/>
          <w:color w:val="auto"/>
        </w:rPr>
      </w:pPr>
    </w:p>
    <w:p>
      <w:pPr>
        <w:spacing w:after="0" w:line="2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house was occupied; (3) the cooperation level of the borrowers, i.e., loans requiring legal action or extensive field collection efforts; (4) units located on private property as opposed to a manufactured home park; (5) the length of time the borrower has lived in the house without making payments; (6) location, size, and market conditions; and (7) the experience and expertise of the particular dealer assisting in collection efforts.</w:t>
      </w:r>
    </w:p>
    <w:p>
      <w:pPr>
        <w:spacing w:after="0" w:line="214" w:lineRule="exact"/>
        <w:rPr>
          <w:sz w:val="20"/>
          <w:szCs w:val="20"/>
          <w:color w:val="auto"/>
        </w:rPr>
      </w:pPr>
    </w:p>
    <w:p>
      <w:pPr>
        <w:ind w:right="160" w:firstLine="648"/>
        <w:spacing w:after="0" w:line="218" w:lineRule="exact"/>
        <w:rPr>
          <w:sz w:val="20"/>
          <w:szCs w:val="20"/>
          <w:color w:val="auto"/>
        </w:rPr>
      </w:pPr>
      <w:r>
        <w:rPr>
          <w:rFonts w:ascii="Arial" w:cs="Arial" w:eastAsia="Arial" w:hAnsi="Arial"/>
          <w:sz w:val="18"/>
          <w:szCs w:val="18"/>
          <w:color w:val="auto"/>
        </w:rPr>
        <w:t>Collateral for repossessed loans is acquired through foreclosure or similar proceedings and is recorded at the estimated fair value of the home, less the costs to sell. At repossession, the fair value of the collateral is computed based on the historical recovery rates of previously charged</w:t>
      </w:r>
      <w:r>
        <w:rPr>
          <w:rFonts w:ascii="MS PGothic" w:cs="MS PGothic" w:eastAsia="MS PGothic" w:hAnsi="MS PGothic"/>
          <w:sz w:val="18"/>
          <w:szCs w:val="18"/>
          <w:color w:val="auto"/>
        </w:rPr>
        <w:t>‑</w:t>
      </w:r>
      <w:r>
        <w:rPr>
          <w:rFonts w:ascii="Arial" w:cs="Arial" w:eastAsia="Arial" w:hAnsi="Arial"/>
          <w:sz w:val="18"/>
          <w:szCs w:val="18"/>
          <w:color w:val="auto"/>
        </w:rPr>
        <w:t>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totaled $1,477 and $1,175 as of June 30, 2019 and December 31, 2018, respectively, and are included in other assets in the balance sheets.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Consumer loans receivable, net of allowance for loan losses and deferred financing fees, consisted of the following: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7"/>
            <w:vMerge w:val="restart"/>
          </w:tcPr>
          <w:p>
            <w:pPr>
              <w:jc w:val="center"/>
              <w:ind w:right="26"/>
              <w:spacing w:after="0"/>
              <w:rPr>
                <w:sz w:val="20"/>
                <w:szCs w:val="20"/>
                <w:color w:val="auto"/>
              </w:rPr>
            </w:pPr>
            <w:r>
              <w:rPr>
                <w:rFonts w:ascii="Arial" w:cs="Arial" w:eastAsia="Arial" w:hAnsi="Arial"/>
                <w:sz w:val="14"/>
                <w:szCs w:val="14"/>
                <w:b w:val="1"/>
                <w:bCs w:val="1"/>
                <w:color w:val="auto"/>
                <w:w w:val="90"/>
              </w:rPr>
              <w:t>As of June 30,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7"/>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4"/>
          </w:tcPr>
          <w:p>
            <w:pPr>
              <w:jc w:val="center"/>
              <w:ind w:right="13"/>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Consumer loans receivable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5"/>
            <w:shd w:val="clear" w:color="auto" w:fill="CCEEFF"/>
          </w:tcPr>
          <w:p>
            <w:pPr>
              <w:ind w:left="120"/>
              <w:spacing w:after="0"/>
              <w:rPr>
                <w:sz w:val="20"/>
                <w:szCs w:val="20"/>
                <w:color w:val="auto"/>
              </w:rPr>
            </w:pPr>
            <w:r>
              <w:rPr>
                <w:rFonts w:ascii="Arial" w:cs="Arial" w:eastAsia="Arial" w:hAnsi="Arial"/>
                <w:sz w:val="18"/>
                <w:szCs w:val="18"/>
                <w:color w:val="auto"/>
                <w:w w:val="89"/>
              </w:rPr>
              <w:t>105,038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101,049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Loan discount and deferred financing fees,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6"/>
          </w:tcPr>
          <w:p>
            <w:pPr>
              <w:jc w:val="right"/>
              <w:spacing w:after="0"/>
              <w:rPr>
                <w:sz w:val="20"/>
                <w:szCs w:val="20"/>
                <w:color w:val="auto"/>
              </w:rPr>
            </w:pPr>
            <w:r>
              <w:rPr>
                <w:rFonts w:ascii="Arial" w:cs="Arial" w:eastAsia="Arial" w:hAnsi="Arial"/>
                <w:sz w:val="18"/>
                <w:szCs w:val="18"/>
                <w:color w:val="auto"/>
              </w:rPr>
              <w:t>(3,201)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(3,162)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40" w:type="dxa"/>
            <w:vAlign w:val="bottom"/>
            <w:gridSpan w:val="2"/>
          </w:tcPr>
          <w:p>
            <w:pPr>
              <w:ind w:left="920"/>
              <w:spacing w:after="0"/>
              <w:rPr>
                <w:sz w:val="20"/>
                <w:szCs w:val="20"/>
                <w:color w:val="auto"/>
              </w:rPr>
            </w:pPr>
            <w:r>
              <w:rPr>
                <w:rFonts w:ascii="Arial" w:cs="Arial" w:eastAsia="Arial" w:hAnsi="Arial"/>
                <w:sz w:val="18"/>
                <w:szCs w:val="18"/>
                <w:color w:val="auto"/>
              </w:rPr>
              <w:t>Consumer loans receivable,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w w:val="89"/>
              </w:rPr>
              <w:t>101,024</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97,175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760" w:type="dxa"/>
            <w:vAlign w:val="bottom"/>
            <w:gridSpan w:val="13"/>
          </w:tcPr>
          <w:p>
            <w:pPr>
              <w:jc w:val="right"/>
              <w:ind w:right="6"/>
              <w:spacing w:after="0"/>
              <w:rPr>
                <w:sz w:val="20"/>
                <w:szCs w:val="20"/>
                <w:color w:val="auto"/>
              </w:rPr>
            </w:pPr>
            <w:r>
              <w:rPr>
                <w:rFonts w:ascii="Arial" w:cs="Arial" w:eastAsia="Arial" w:hAnsi="Arial"/>
                <w:sz w:val="18"/>
                <w:szCs w:val="18"/>
                <w:color w:val="auto"/>
              </w:rPr>
              <w:t>The following table presents a detail of the activity in the allowance for loan losses: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7"/>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10"/>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420" w:type="dxa"/>
            <w:vAlign w:val="bottom"/>
            <w:gridSpan w:val="2"/>
            <w:vMerge w:val="restart"/>
          </w:tcPr>
          <w:p>
            <w:pPr>
              <w:jc w:val="center"/>
              <w:ind w:right="67"/>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7"/>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June 30,</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0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2019</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CCEEFF"/>
            </w:tcBorders>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beginning of period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854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w w:val="93"/>
              </w:rPr>
              <w:t>263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437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Charge offs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w w:val="90"/>
              </w:rPr>
              <w:t>(326)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9"/>
              </w:rPr>
              <w:t>(336)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40" w:type="dxa"/>
            <w:vAlign w:val="bottom"/>
            <w:gridSpan w:val="2"/>
          </w:tcPr>
          <w:p>
            <w:pPr>
              <w:ind w:left="920"/>
              <w:spacing w:after="0"/>
              <w:rPr>
                <w:sz w:val="20"/>
                <w:szCs w:val="20"/>
                <w:color w:val="auto"/>
              </w:rPr>
            </w:pPr>
            <w:r>
              <w:rPr>
                <w:rFonts w:ascii="Arial" w:cs="Arial" w:eastAsia="Arial" w:hAnsi="Arial"/>
                <w:sz w:val="18"/>
                <w:szCs w:val="18"/>
                <w:color w:val="auto"/>
              </w:rPr>
              <w:t>Allowance for loan losses</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813</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3"/>
              </w:rPr>
              <w:t>791</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240" w:type="dxa"/>
            <w:vAlign w:val="bottom"/>
            <w:gridSpan w:val="4"/>
          </w:tcPr>
          <w:p>
            <w:pPr>
              <w:ind w:left="660"/>
              <w:spacing w:after="0"/>
              <w:rPr>
                <w:sz w:val="20"/>
                <w:szCs w:val="20"/>
                <w:color w:val="auto"/>
              </w:rPr>
            </w:pPr>
            <w:r>
              <w:rPr>
                <w:rFonts w:ascii="Arial" w:cs="Arial" w:eastAsia="Arial" w:hAnsi="Arial"/>
                <w:sz w:val="18"/>
                <w:szCs w:val="18"/>
                <w:color w:val="auto"/>
                <w:w w:val="89"/>
              </w:rPr>
              <w:t>The impaired and general reserve for allowance for loan losses: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8"/>
            <w:vMerge w:val="restart"/>
          </w:tcPr>
          <w:p>
            <w:pPr>
              <w:ind w:left="60"/>
              <w:spacing w:after="0"/>
              <w:rPr>
                <w:sz w:val="20"/>
                <w:szCs w:val="20"/>
                <w:color w:val="auto"/>
              </w:rPr>
            </w:pPr>
            <w:r>
              <w:rPr>
                <w:rFonts w:ascii="Arial" w:cs="Arial" w:eastAsia="Arial" w:hAnsi="Arial"/>
                <w:sz w:val="14"/>
                <w:szCs w:val="14"/>
                <w:b w:val="1"/>
                <w:bCs w:val="1"/>
                <w:color w:val="auto"/>
              </w:rPr>
              <w:t>As of June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consumer loans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w w:val="86"/>
              </w:rPr>
              <w:t>105,038</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101,049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allowance for loan losses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86"/>
              </w:rPr>
              <w:t>813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712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6"/>
              </w:rPr>
              <w:t>Impaired loans individually evaluated for impairment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Specific reserve against impaired loans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86"/>
              </w:rPr>
              <w:t>394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427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loans collectively evaluated for allowance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86"/>
              </w:rPr>
              <w:t>103,609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99,604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General allowance for loan losses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86"/>
              </w:rPr>
              <w:t>419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4940" w:type="dxa"/>
            <w:vAlign w:val="bottom"/>
            <w:gridSpan w:val="2"/>
          </w:tcPr>
          <w:p>
            <w:pPr>
              <w:jc w:val="right"/>
              <w:ind w:right="23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2019 AND 2018 (dollars in thousands)</w:t>
      </w:r>
    </w:p>
    <w:p>
      <w:pPr>
        <w:spacing w:after="0" w:line="200" w:lineRule="exact"/>
        <w:rPr>
          <w:sz w:val="20"/>
          <w:szCs w:val="20"/>
          <w:color w:val="auto"/>
        </w:rPr>
      </w:pPr>
    </w:p>
    <w:p>
      <w:pPr>
        <w:spacing w:after="0" w:line="2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of June 30, 2019 and December 31, 2018, the total principal outstanding for consumer loans on nonaccrual status was $1,429 and $1,445, respectively. A detailed aging of consumer loans receivable that are past due as of June 30, 2019 and December 31, 2018 were as follows:</w:t>
      </w:r>
    </w:p>
    <w:p>
      <w:pPr>
        <w:spacing w:after="0" w:line="147"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June 30,</w:t>
            </w:r>
          </w:p>
        </w:tc>
        <w:tc>
          <w:tcPr>
            <w:tcW w:w="5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5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2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consumer loans receivable</w:t>
            </w:r>
          </w:p>
        </w:tc>
        <w:tc>
          <w:tcPr>
            <w:tcW w:w="6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105,038</w:t>
            </w: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101,049</w:t>
            </w: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0" w:type="dxa"/>
            <w:vAlign w:val="bottom"/>
          </w:tcPr>
          <w:p>
            <w:pPr>
              <w:spacing w:after="0"/>
              <w:rPr>
                <w:sz w:val="1"/>
                <w:szCs w:val="1"/>
                <w:color w:val="auto"/>
              </w:rPr>
            </w:pPr>
          </w:p>
        </w:tc>
      </w:tr>
      <w:tr>
        <w:trPr>
          <w:trHeight w:val="203"/>
        </w:trPr>
        <w:tc>
          <w:tcPr>
            <w:tcW w:w="2980" w:type="dxa"/>
            <w:vAlign w:val="bottom"/>
            <w:gridSpan w:val="2"/>
          </w:tcPr>
          <w:p>
            <w:pPr>
              <w:spacing w:after="0" w:line="203" w:lineRule="exact"/>
              <w:rPr>
                <w:sz w:val="20"/>
                <w:szCs w:val="20"/>
                <w:color w:val="auto"/>
              </w:rPr>
            </w:pPr>
            <w:r>
              <w:rPr>
                <w:rFonts w:ascii="Arial" w:cs="Arial" w:eastAsia="Arial" w:hAnsi="Arial"/>
                <w:sz w:val="18"/>
                <w:szCs w:val="18"/>
                <w:color w:val="auto"/>
              </w:rPr>
              <w:t>Past due consumer loans:</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31</w:t>
            </w: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 days past due</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40" w:type="dxa"/>
            <w:vAlign w:val="bottom"/>
            <w:gridSpan w:val="2"/>
            <w:shd w:val="clear" w:color="auto" w:fill="CCEEFF"/>
          </w:tcPr>
          <w:p>
            <w:pPr>
              <w:jc w:val="right"/>
              <w:ind w:right="12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20" w:type="dxa"/>
            <w:vAlign w:val="bottom"/>
          </w:tcPr>
          <w:p>
            <w:pPr>
              <w:ind w:left="100"/>
              <w:spacing w:after="0"/>
              <w:rPr>
                <w:sz w:val="20"/>
                <w:szCs w:val="20"/>
                <w:color w:val="auto"/>
              </w:rPr>
            </w:pPr>
            <w:r>
              <w:rPr>
                <w:rFonts w:ascii="Arial" w:cs="Arial" w:eastAsia="Arial" w:hAnsi="Arial"/>
                <w:sz w:val="18"/>
                <w:szCs w:val="18"/>
                <w:color w:val="auto"/>
                <w:w w:val="99"/>
              </w:rPr>
              <w:t>61</w:t>
            </w:r>
          </w:p>
        </w:tc>
        <w:tc>
          <w:tcPr>
            <w:tcW w:w="2660" w:type="dxa"/>
            <w:vAlign w:val="bottom"/>
          </w:tcPr>
          <w:p>
            <w:pPr>
              <w:ind w:left="20"/>
              <w:spacing w:after="0"/>
              <w:rPr>
                <w:sz w:val="20"/>
                <w:szCs w:val="20"/>
                <w:color w:val="auto"/>
              </w:rPr>
            </w:pPr>
            <w:r>
              <w:rPr>
                <w:rFonts w:ascii="Arial" w:cs="Arial" w:eastAsia="Arial" w:hAnsi="Arial"/>
                <w:sz w:val="18"/>
                <w:szCs w:val="18"/>
                <w:color w:val="auto"/>
              </w:rPr>
              <w:t>- 90 days past due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91</w:t>
            </w: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- 120 days past due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9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Greater than 120 days past due</w:t>
            </w:r>
          </w:p>
        </w:tc>
        <w:tc>
          <w:tcPr>
            <w:tcW w:w="6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7"/>
        </w:trPr>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past due</w:t>
            </w:r>
          </w:p>
        </w:tc>
        <w:tc>
          <w:tcPr>
            <w:tcW w:w="6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NOTES RECEIVABLE FROM MOBILE HOME PARKS (“MHP Notes”)</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reserve composed of specific and general reserve amounts.</w:t>
      </w:r>
    </w:p>
    <w:p>
      <w:pPr>
        <w:spacing w:after="0" w:line="14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There were minimal past due balances on the MHP Notes as of June 30, 2019 and December 31, 2018 and no charge offs were recorded for MHP Notes during the three and six months ended June 30, 2019 and 2018, respectively. Allowance for loan loss is considered immaterial and accordingly no loss is recorded against the MHP Notes as of June 30, 2019 and December 31, 2018.</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NOTES RECEIVABLE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balance outstanding on the other notes receivable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As of June 30,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As of</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loan losses</w:t>
            </w:r>
          </w:p>
        </w:tc>
        <w:tc>
          <w:tcPr>
            <w:tcW w:w="2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5. INVENTORIES</w:t>
            </w: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940" w:type="dxa"/>
            <w:vAlign w:val="bottom"/>
            <w:gridSpan w:val="2"/>
          </w:tcPr>
          <w:p>
            <w:pPr>
              <w:ind w:left="660"/>
              <w:spacing w:after="0"/>
              <w:rPr>
                <w:sz w:val="20"/>
                <w:szCs w:val="20"/>
                <w:color w:val="auto"/>
              </w:rPr>
            </w:pPr>
            <w:r>
              <w:rPr>
                <w:rFonts w:ascii="Arial" w:cs="Arial" w:eastAsia="Arial" w:hAnsi="Arial"/>
                <w:sz w:val="18"/>
                <w:szCs w:val="18"/>
                <w:color w:val="auto"/>
              </w:rPr>
              <w:t>Inventories consisted of the following:</w:t>
            </w: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As of June 30,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As of</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Work in progress</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40" w:type="dxa"/>
            <w:vAlign w:val="bottom"/>
            <w:gridSpan w:val="2"/>
          </w:tcPr>
          <w:p>
            <w:pPr>
              <w:ind w:left="920"/>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45,013</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8"/>
        </w:trPr>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40" w:type="dxa"/>
            <w:vAlign w:val="bottom"/>
          </w:tcPr>
          <w:p>
            <w:pPr>
              <w:jc w:val="right"/>
              <w:ind w:right="147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2019 AND 2018 (dollars in thousands)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June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40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9,234</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22,338</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17"/>
        </w:trPr>
        <w:tc>
          <w:tcPr>
            <w:tcW w:w="4020" w:type="dxa"/>
            <w:vAlign w:val="bottom"/>
          </w:tcPr>
          <w:p>
            <w:pPr>
              <w:spacing w:after="0"/>
              <w:rPr>
                <w:sz w:val="20"/>
                <w:szCs w:val="20"/>
                <w:color w:val="auto"/>
              </w:rPr>
            </w:pPr>
            <w:r>
              <w:rPr>
                <w:rFonts w:ascii="Arial" w:cs="Arial" w:eastAsia="Arial" w:hAnsi="Arial"/>
                <w:sz w:val="18"/>
                <w:szCs w:val="18"/>
                <w:color w:val="auto"/>
              </w:rPr>
              <w:t>Total property, plant and equipment</w:t>
            </w:r>
          </w:p>
        </w:tc>
        <w:tc>
          <w:tcPr>
            <w:tcW w:w="12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20" w:lineRule="exact"/>
        <w:rPr>
          <w:sz w:val="20"/>
          <w:szCs w:val="20"/>
          <w:color w:val="auto"/>
        </w:rPr>
      </w:pPr>
      <w:r>
        <w:rPr>
          <w:rFonts w:ascii="Arial" w:cs="Arial" w:eastAsia="Arial" w:hAnsi="Arial"/>
          <w:sz w:val="16"/>
          <w:szCs w:val="16"/>
          <w:color w:val="auto"/>
        </w:rPr>
        <w:t>Depreciation expense was $253 with $91 included as a component of cost of product sales for the three months ended June 30, 2019 and $206 with $75 included as a component of cost of product sales for the three</w:t>
      </w:r>
      <w:r>
        <w:rPr>
          <w:rFonts w:ascii="MS PGothic" w:cs="MS PGothic" w:eastAsia="MS PGothic" w:hAnsi="MS PGothic"/>
          <w:sz w:val="16"/>
          <w:szCs w:val="16"/>
          <w:color w:val="auto"/>
        </w:rPr>
        <w:t>‑</w:t>
      </w:r>
      <w:r>
        <w:rPr>
          <w:rFonts w:ascii="Arial" w:cs="Arial" w:eastAsia="Arial" w:hAnsi="Arial"/>
          <w:sz w:val="16"/>
          <w:szCs w:val="16"/>
          <w:color w:val="auto"/>
        </w:rPr>
        <w:t>months ended June 30, 2018. Depreciation expense was $494 with $181 included as a component of cost of product sales for the six months ended June 30, 2019 and $402 with $150 included as a component of cost of product sales for the six months ended June 30, 2018.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ASSETS</w:t>
      </w:r>
    </w:p>
    <w:p>
      <w:pPr>
        <w:spacing w:after="0" w:line="20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Other assets includes leased property of $2,046 and $1,088 at June 30, 2019 and December 31, 2018, respectively, prepaid rent in the amount of $312 and $324 at June 30, 2019 and December 31, 2018, respectively, and repossessed loans of $1,477 and $1,175 at June 30, 2019 and December 31, 2018,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LIABILITIES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at June 30, 2019 and December 31, 2018:</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As of June 30,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5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Warranty liability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Litigation reserve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taxes payable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expenses &amp; other accrued liabilities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17"/>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7900" w:firstLine="3"/>
        <w:spacing w:after="0" w:line="483" w:lineRule="auto"/>
        <w:tabs>
          <w:tab w:leader="none" w:pos="1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DEBT Lines of Credit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Revolver 1</w:t>
      </w:r>
    </w:p>
    <w:p>
      <w:pPr>
        <w:spacing w:after="0" w:line="19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Company has a revolving line of credit (“Revolver 1”) with Capital One, N.A. with a maximum credit limit of $45,000 as of June 30, 2019. On May 12, 2017, Revolver 1 was amended to extend the maturity date to May 11, 2020 and increase the maximum borrowing availability to $45,000. For the six months ended June 30, 2019 and for the year ended December 31, 2018, Revolver 1 accrued interest at one month LIBOR plus 2.40%. The interest rates in effect as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2019 AND 2018 (dollars in thousands)</w:t>
      </w:r>
    </w:p>
    <w:p>
      <w:pPr>
        <w:spacing w:after="0" w:line="200" w:lineRule="exact"/>
        <w:rPr>
          <w:sz w:val="20"/>
          <w:szCs w:val="20"/>
          <w:color w:val="auto"/>
        </w:rPr>
      </w:pPr>
    </w:p>
    <w:p>
      <w:pPr>
        <w:spacing w:after="0" w:line="27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of June 30, 2019 and December 31, 2018 were 4.83% and 4.78%, respectively. Amounts available under Revolver 1 are subject to a formula based on eligible consumer loans and MHP Notes and are secured by all accounts receivable and a percentage of the consumer loans receivable and MHP Notes. The amount of available credit under Revolver 1 was $37,876 and $41,321 at June 30, 2019 and December 31, 2018, respectively. The Company was in compliance with all required covenants as of June 30, 2019. For the six months ended June 30, 2019 and 2018, interest expense was $139 and $858, respectively. The outstanding balance as of June 30, 2019 and December 31, 2018 $7,124 and $3,679, respectively. The Company was in compliance with the other financial covenants that it maintain a tangible net worth of at least $90,000 and that it maintain a ratio of debt to EBITDA of 4 to 1 or less.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Revolver 2</w:t>
      </w:r>
    </w:p>
    <w:p>
      <w:pPr>
        <w:spacing w:after="0" w:line="18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In April 2016, the Company entered into an agreement with Veritex Community Bank to secure an additional revolving line of credit of $15,000 (“Revolver 2”). Revolver 2 accrues interest at one month LIBOR plus 2.50% and all unpaid principal and interest is due at maturity on April 4, 2021. Revolver 2 is secured by all finished goods inventory excluding repossessed homes. Amounts available under Revolver 2 are subject to a formula based on eligible inventory. The interest rates in effect as of June 30, 2019 and December 31, 2018 were 4.94% and 4.85%, respectively. On May 12, 2017, the Company entered into an agreement to increase the line of credit to $20,000. On October 15, 2018, Revolver 2 was amended to extend the maturity date from April 4, 2019 to April 4, 2021. The amount of available credit under Revolver 2 was $12,568 and $10,000 at June 30, 2019 and December 31, 2018, respectively. The Company was in compliance with all required covenants as of June 30, 2019. For the six months ended June 30, 2019 and 2018, interest expense was $86 and $323, respectively. The outstanding balance as of June 30, 2019 and December 31, 2018 was $2,001 and $10,000. The Company was in compliance with the other financial covenants that it maintain a tangible net worth of at least $80,000.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Payable</w:t>
      </w:r>
    </w:p>
    <w:p>
      <w:pPr>
        <w:spacing w:after="0" w:line="202"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On April 7, 2011, the Company signed a promissory note for $4,830 with Woodhaven Bank. The amount due under the promissory note accrues interest at an annual rate of 3.85% through February 2, 2017 and then at the prime interest rate plus 0.60% through maturity on April 7, 2018. On April 7, 2018, the promissory note with Woodhaven Bank was renewed with varying amounts of principal and interest due through the maturity date, April 7, 2033. The promissory note calls</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monthly payments of $30 with a final payment due at maturity. The interest rates in effect as of June 30, 2019 and December 31, 2018 were 4.25% and 4.25%, respectively. The note is secured by certain real property of the Company. Interest expense was $76 and $81 for the six months ended June 30, 2019 and 2018, respectively. The balance outstanding on the note payable at June 30, 2019 and December 31, 2018 was $3,461 and $3,552, respectively.</w:t>
      </w:r>
    </w:p>
    <w:p>
      <w:pPr>
        <w:spacing w:after="0" w:line="13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May 24, 2016, the Company signed a promissory note for $515 with Eagle One, LLC collateralized by the purchase of real property located in Oklahoma City, Oklahoma. The amount due under the promissory note accrues interest at an annual rate of 6.00%. The promissory note calls for monthly principal and interest payments of $6 until June 1, 2026. Interest expense was $1 and $14 for the six months ended June 30, 2019 and 2018, respectively. The balance outstanding on the note payable at December 31, 2018 was $414. In January 2019, this note was paid in full.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1440" w:right="168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2019 AND 2018 (dollars in thousands)</w:t>
      </w:r>
    </w:p>
    <w:p>
      <w:pPr>
        <w:spacing w:after="0" w:line="200" w:lineRule="exact"/>
        <w:rPr>
          <w:sz w:val="20"/>
          <w:szCs w:val="20"/>
          <w:color w:val="auto"/>
        </w:rPr>
      </w:pPr>
    </w:p>
    <w:p>
      <w:pPr>
        <w:spacing w:after="0" w:line="2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80" w:type="dxa"/>
            <w:vAlign w:val="bottom"/>
            <w:gridSpan w:val="2"/>
          </w:tcPr>
          <w:p>
            <w:pPr>
              <w:spacing w:after="0"/>
              <w:rPr>
                <w:sz w:val="20"/>
                <w:szCs w:val="20"/>
                <w:color w:val="auto"/>
              </w:rPr>
            </w:pPr>
            <w:r>
              <w:rPr>
                <w:rFonts w:ascii="Arial" w:cs="Arial" w:eastAsia="Arial" w:hAnsi="Arial"/>
                <w:sz w:val="18"/>
                <w:szCs w:val="18"/>
                <w:color w:val="auto"/>
                <w:w w:val="92"/>
              </w:rPr>
              <w:t>Future minimum principal payments on notes payable at June 30, 2019 were as follows: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6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6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February 2, 2016, the Company entered into a $1,500 note payable agreement with stated annual interest rates of 3.75% with a related party through common ownership. The note is due on demand. Interest paid on the note payable was $28 for the six months ended June 30, 2018. In October 2018, this note payable was paid in full.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PILOT Agreement</w:t>
      </w:r>
    </w:p>
    <w:p>
      <w:pPr>
        <w:spacing w:after="0" w:line="18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December 2016, the Company entered into a Payment in Lieu of Taxes (“PILOT”) agreement commonly offered in Georgia by local community development programs to encourage industry development. The net effect of the PILOT agreement is to provide the Company with incentives through the abatement of local, city and county property taxes and to provide financing for improvements to the Company’s Georgia plant (the “Project”). In connection with the PILOT agreement, the Putman County Development Authority provides a credit facility for up to $10,000 which can be drawn upon to fund Project improvements and capital expenditures as defined in the agreement. If funds are drawn, the Company would pay transactions costs and debt service payments. The PILOT agreement requires interest payments of 6.00% per annum on outstanding balances, which are due each December 1st through maturity on December 1, 2021, at which time all unpaid principal and interest are due. The PILOT agreement is collateralized by the assets of the Project. As of June 30, 2019, the Company had not drawn on this credit facility.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18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Pursuant to the Legacy Housing Corporation 2018 Incentive Compensation Plan (the “Compensation Plan”), the Company may issue up to 10.0 million equity awards to employees, directors, consultants and nonemployee service providers in the form of stock options, stock and stock appreciation rights. Stock options may be granted with a contractual life of up to ten years. At June 30, 2019, the Company had 9.8 million shares available for grant under the Compensation Plan.</w:t>
      </w:r>
    </w:p>
    <w:p>
      <w:pPr>
        <w:spacing w:after="0" w:line="14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Company granted 120,000 restricted shares of its common stock to members of senior management. The shares were granted on February 7, 2019 and had a grant date fair value of $1,636. The shares vest at a rate of 14.3% annually, beginning on February 7, 2019, and becoming fully vested on February 7, 2025.</w:t>
      </w:r>
    </w:p>
    <w:p>
      <w:pPr>
        <w:spacing w:after="0" w:line="13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Company granted 2,936 restricted shares of its common stock to the independent directors on the Company’s Board of Directors. The shares were granted on February 7, 2019 and become fully vested on December 13, 2019.</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2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2019 AND 2018 (dollars in thousands)</w:t>
      </w: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summary of restricted stock units (the “RSU”) activity (in thousands, except per unit data):</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Grant</w:t>
            </w:r>
          </w:p>
        </w:tc>
      </w:tr>
      <w:tr>
        <w:trPr>
          <w:trHeight w:val="203"/>
        </w:trPr>
        <w:tc>
          <w:tcPr>
            <w:tcW w:w="65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w w:val="95"/>
              </w:rPr>
              <w:t>Number</w:t>
            </w:r>
          </w:p>
        </w:tc>
        <w:tc>
          <w:tcPr>
            <w:tcW w:w="3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5"/>
              </w:rPr>
              <w:t>date Fair</w:t>
            </w:r>
          </w:p>
        </w:tc>
      </w:tr>
      <w:tr>
        <w:trPr>
          <w:trHeight w:val="213"/>
        </w:trPr>
        <w:tc>
          <w:tcPr>
            <w:tcW w:w="65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of Units</w:t>
            </w:r>
          </w:p>
        </w:tc>
        <w:tc>
          <w:tcPr>
            <w:tcW w:w="3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Value</w:t>
            </w:r>
          </w:p>
        </w:tc>
      </w:tr>
      <w:tr>
        <w:trPr>
          <w:trHeight w:val="199"/>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Nonvested, January 1, 2019</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520" w:type="dxa"/>
            <w:vAlign w:val="bottom"/>
          </w:tcPr>
          <w:p>
            <w:pPr>
              <w:spacing w:after="0"/>
              <w:rPr>
                <w:sz w:val="20"/>
                <w:szCs w:val="20"/>
                <w:color w:val="auto"/>
              </w:rPr>
            </w:pPr>
            <w:r>
              <w:rPr>
                <w:rFonts w:ascii="Arial" w:cs="Arial" w:eastAsia="Arial" w:hAnsi="Arial"/>
                <w:sz w:val="16"/>
                <w:szCs w:val="16"/>
                <w:color w:val="auto"/>
              </w:rPr>
              <w:t>Granted</w:t>
            </w:r>
          </w:p>
        </w:tc>
        <w:tc>
          <w:tcPr>
            <w:tcW w:w="620" w:type="dxa"/>
            <w:vAlign w:val="bottom"/>
          </w:tcPr>
          <w:p>
            <w:pPr>
              <w:jc w:val="right"/>
              <w:spacing w:after="0"/>
              <w:rPr>
                <w:sz w:val="20"/>
                <w:szCs w:val="20"/>
                <w:color w:val="auto"/>
              </w:rPr>
            </w:pPr>
            <w:r>
              <w:rPr>
                <w:rFonts w:ascii="Arial" w:cs="Arial" w:eastAsia="Arial" w:hAnsi="Arial"/>
                <w:sz w:val="16"/>
                <w:szCs w:val="16"/>
                <w:color w:val="auto"/>
              </w:rPr>
              <w:t>123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13.63</w:t>
            </w:r>
          </w:p>
        </w:tc>
      </w:tr>
      <w:tr>
        <w:trPr>
          <w:trHeight w:val="203"/>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w:t>
            </w:r>
          </w:p>
        </w:tc>
      </w:tr>
      <w:tr>
        <w:trPr>
          <w:trHeight w:val="203"/>
        </w:trPr>
        <w:tc>
          <w:tcPr>
            <w:tcW w:w="6520" w:type="dxa"/>
            <w:vAlign w:val="bottom"/>
          </w:tcPr>
          <w:p>
            <w:pPr>
              <w:spacing w:after="0"/>
              <w:rPr>
                <w:sz w:val="20"/>
                <w:szCs w:val="20"/>
                <w:color w:val="auto"/>
              </w:rPr>
            </w:pPr>
            <w:r>
              <w:rPr>
                <w:rFonts w:ascii="Arial" w:cs="Arial" w:eastAsia="Arial" w:hAnsi="Arial"/>
                <w:sz w:val="16"/>
                <w:szCs w:val="16"/>
                <w:color w:val="auto"/>
              </w:rPr>
              <w:t>Nonvested, June 30, 2019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13.63</w:t>
            </w:r>
          </w:p>
        </w:tc>
      </w:tr>
    </w:tbl>
    <w:p>
      <w:pPr>
        <w:spacing w:after="0" w:line="9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June 30, 2019, approximately 106,000 RSUs remained unvested. Unrecognized compensation expense related to these RSUs at June 30, 2019 was $1,332 and is expected to be recognized over 5.61 years.</w:t>
      </w:r>
    </w:p>
    <w:p>
      <w:pPr>
        <w:spacing w:after="0" w:line="13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Company granted 58,694 incentive stock options to a member of senior management. The options were granted on February 7, 2019 at an exercise price of $13.63 per share. The options vest at a rate of 12.5% annually, beginning on February 7, 2019, and becoming fully vested on February 7, 2026. All options expire ten years after the date of</w:t>
      </w:r>
    </w:p>
    <w:p>
      <w:pPr>
        <w:ind w:right="480"/>
        <w:spacing w:after="0" w:line="255" w:lineRule="auto"/>
        <w:rPr>
          <w:sz w:val="20"/>
          <w:szCs w:val="20"/>
          <w:color w:val="auto"/>
        </w:rPr>
      </w:pPr>
      <w:r>
        <w:rPr>
          <w:rFonts w:ascii="Arial" w:cs="Arial" w:eastAsia="Arial" w:hAnsi="Arial"/>
          <w:sz w:val="18"/>
          <w:szCs w:val="18"/>
          <w:color w:val="auto"/>
        </w:rPr>
        <w:t>grant. Weighted-average assumptions used in the Black-Scholes option pricing model for stock options granted were as follows: risk free interest rate of 2.41%; dividend yield of 0.00%; expected volatility of common stock of 65.0% and expected life of options of 7.9 years.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 (in thousands, except per unit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4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7"/>
                <w:szCs w:val="17"/>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Weighted</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1"/>
              </w:rPr>
              <w:t>Average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4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60" w:type="dxa"/>
            <w:vAlign w:val="bottom"/>
          </w:tcPr>
          <w:p>
            <w:pPr>
              <w:spacing w:after="0"/>
              <w:rPr>
                <w:sz w:val="17"/>
                <w:szCs w:val="17"/>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1"/>
              </w:rPr>
              <w:t>Average</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7"/>
                <w:szCs w:val="17"/>
                <w:color w:val="auto"/>
              </w:rPr>
            </w:pPr>
          </w:p>
        </w:tc>
        <w:tc>
          <w:tcPr>
            <w:tcW w:w="720" w:type="dxa"/>
            <w:vAlign w:val="bottom"/>
            <w:gridSpan w:val="2"/>
          </w:tcPr>
          <w:p>
            <w:pPr>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490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Arial" w:cs="Arial" w:eastAsia="Arial" w:hAnsi="Arial"/>
                <w:sz w:val="16"/>
                <w:szCs w:val="16"/>
                <w:b w:val="1"/>
                <w:bCs w:val="1"/>
                <w:color w:val="auto"/>
                <w:w w:val="92"/>
              </w:rPr>
              <w:t>Number</w:t>
            </w:r>
          </w:p>
        </w:tc>
        <w:tc>
          <w:tcPr>
            <w:tcW w:w="16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Exercise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160" w:type="dxa"/>
            <w:vAlign w:val="bottom"/>
          </w:tcPr>
          <w:p>
            <w:pPr>
              <w:spacing w:after="0"/>
              <w:rPr>
                <w:sz w:val="17"/>
                <w:szCs w:val="17"/>
                <w:color w:val="auto"/>
              </w:rPr>
            </w:pPr>
          </w:p>
        </w:tc>
        <w:tc>
          <w:tcPr>
            <w:tcW w:w="720" w:type="dxa"/>
            <w:vAlign w:val="bottom"/>
            <w:gridSpan w:val="2"/>
          </w:tcPr>
          <w:p>
            <w:pPr>
              <w:ind w:left="40"/>
              <w:spacing w:after="0"/>
              <w:rPr>
                <w:sz w:val="20"/>
                <w:szCs w:val="20"/>
                <w:color w:val="auto"/>
              </w:rPr>
            </w:pPr>
            <w:r>
              <w:rPr>
                <w:rFonts w:ascii="Arial" w:cs="Arial" w:eastAsia="Arial" w:hAnsi="Arial"/>
                <w:sz w:val="16"/>
                <w:szCs w:val="16"/>
                <w:b w:val="1"/>
                <w:bCs w:val="1"/>
                <w:color w:val="auto"/>
              </w:rPr>
              <w:t>Intrinsic</w:t>
            </w:r>
          </w:p>
        </w:tc>
      </w:tr>
      <w:tr>
        <w:trPr>
          <w:trHeight w:val="213"/>
        </w:trPr>
        <w:tc>
          <w:tcPr>
            <w:tcW w:w="490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6"/>
                <w:szCs w:val="16"/>
                <w:b w:val="1"/>
                <w:bCs w:val="1"/>
                <w:color w:val="auto"/>
                <w:w w:val="90"/>
              </w:rPr>
              <w:t>of Units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Price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Value</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8"/>
              </w:rPr>
              <w:t>Life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40"/>
              <w:spacing w:after="0"/>
              <w:rPr>
                <w:sz w:val="20"/>
                <w:szCs w:val="20"/>
                <w:color w:val="auto"/>
              </w:rPr>
            </w:pPr>
            <w:r>
              <w:rPr>
                <w:rFonts w:ascii="Arial" w:cs="Arial" w:eastAsia="Arial" w:hAnsi="Arial"/>
                <w:sz w:val="16"/>
                <w:szCs w:val="16"/>
                <w:b w:val="1"/>
                <w:bCs w:val="1"/>
                <w:color w:val="auto"/>
              </w:rPr>
              <w:t>Value</w:t>
            </w:r>
          </w:p>
        </w:tc>
      </w:tr>
      <w:tr>
        <w:trPr>
          <w:trHeight w:val="199"/>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January 1, 2019</w:t>
            </w:r>
          </w:p>
        </w:tc>
        <w:tc>
          <w:tcPr>
            <w:tcW w:w="5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r>
      <w:tr>
        <w:trPr>
          <w:trHeight w:val="203"/>
        </w:trPr>
        <w:tc>
          <w:tcPr>
            <w:tcW w:w="4900" w:type="dxa"/>
            <w:vAlign w:val="bottom"/>
          </w:tcPr>
          <w:p>
            <w:pPr>
              <w:spacing w:after="0"/>
              <w:rPr>
                <w:sz w:val="20"/>
                <w:szCs w:val="20"/>
                <w:color w:val="auto"/>
              </w:rPr>
            </w:pPr>
            <w:r>
              <w:rPr>
                <w:rFonts w:ascii="Arial" w:cs="Arial" w:eastAsia="Arial" w:hAnsi="Arial"/>
                <w:sz w:val="16"/>
                <w:szCs w:val="16"/>
                <w:color w:val="auto"/>
              </w:rPr>
              <w:t>Granted</w:t>
            </w:r>
          </w:p>
        </w:tc>
        <w:tc>
          <w:tcPr>
            <w:tcW w:w="580" w:type="dxa"/>
            <w:vAlign w:val="bottom"/>
          </w:tcPr>
          <w:p>
            <w:pPr>
              <w:ind w:left="360"/>
              <w:spacing w:after="0"/>
              <w:rPr>
                <w:sz w:val="20"/>
                <w:szCs w:val="20"/>
                <w:color w:val="auto"/>
              </w:rPr>
            </w:pPr>
            <w:r>
              <w:rPr>
                <w:rFonts w:ascii="Arial" w:cs="Arial" w:eastAsia="Arial" w:hAnsi="Arial"/>
                <w:sz w:val="16"/>
                <w:szCs w:val="16"/>
                <w:color w:val="auto"/>
              </w:rPr>
              <w:t>59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13.63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7.69</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9.61</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00" w:type="dxa"/>
            <w:vAlign w:val="bottom"/>
          </w:tcPr>
          <w:p>
            <w:pPr>
              <w:ind w:left="380"/>
              <w:spacing w:after="0"/>
              <w:rPr>
                <w:sz w:val="20"/>
                <w:szCs w:val="20"/>
                <w:color w:val="auto"/>
              </w:rPr>
            </w:pPr>
            <w:r>
              <w:rPr>
                <w:rFonts w:ascii="Arial" w:cs="Arial" w:eastAsia="Arial" w:hAnsi="Arial"/>
                <w:sz w:val="16"/>
                <w:szCs w:val="16"/>
                <w:color w:val="auto"/>
              </w:rPr>
              <w:t>—</w:t>
            </w:r>
          </w:p>
        </w:tc>
      </w:tr>
      <w:tr>
        <w:trPr>
          <w:trHeight w:val="203"/>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r>
      <w:tr>
        <w:trPr>
          <w:trHeight w:val="203"/>
        </w:trPr>
        <w:tc>
          <w:tcPr>
            <w:tcW w:w="4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Forfeited</w:t>
            </w:r>
          </w:p>
        </w:tc>
        <w:tc>
          <w:tcPr>
            <w:tcW w:w="5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w:t>
            </w:r>
          </w:p>
        </w:tc>
      </w:tr>
      <w:tr>
        <w:trPr>
          <w:trHeight w:val="203"/>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June 30, 2019</w:t>
            </w:r>
          </w:p>
        </w:tc>
        <w:tc>
          <w:tcPr>
            <w:tcW w:w="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59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8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provision for income tax expense for the six months ended June 30, 2019 and 2018 was $4.8 million and $6.0 million, respectively. The effective tax rate for the six months ended June 30, 2019 was 23.2% and differs from the statutory rate of 21% due to state income taxes. The effective tax rate for the six months ended June 30, 2018 was 33.0% and differs from the statutory rate of 21% due to deferred tax expense associated with the corporate reorganization, state income taxes and other permanent differences between book and tax basis.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0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Company is contingently liable under terms of repurchase agreements with financial institutions providing inventory financing for independent retailers of its products. These arrangements, which are customary in the industry, provide for the repurchase of products sold to retailers in the event of default by the retailer. The Company’s obligation under these repurchase agreements ceases upon the purchase of the home by the retail customer. The maximum amount for which the Company was liable under such agreements approximated $536 and $2,186 at June 30, 2019 and December 31, 2018, respectively, without reduction for the resale value of the homes. The Company considers its</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2019 AND 2018 (dollars in thousands)</w:t>
      </w:r>
    </w:p>
    <w:p>
      <w:pPr>
        <w:spacing w:after="0" w:line="200" w:lineRule="exact"/>
        <w:rPr>
          <w:sz w:val="20"/>
          <w:szCs w:val="20"/>
          <w:color w:val="auto"/>
        </w:rPr>
      </w:pPr>
    </w:p>
    <w:p>
      <w:pPr>
        <w:spacing w:after="0" w:line="2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obligations on current contracts to be immaterial and accordingly have not recorded any reserve for repurchase commitment as of June 30, 2019 or December 31, 2018.</w:t>
      </w:r>
    </w:p>
    <w:p>
      <w:pPr>
        <w:spacing w:after="0" w:line="143" w:lineRule="exact"/>
        <w:rPr>
          <w:sz w:val="20"/>
          <w:szCs w:val="20"/>
          <w:color w:val="auto"/>
        </w:rPr>
      </w:pPr>
    </w:p>
    <w:p>
      <w:pPr>
        <w:ind w:right="140" w:firstLine="648"/>
        <w:spacing w:after="0" w:line="218" w:lineRule="exact"/>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The Company leases facilities under operating leases that typically have 10</w:t>
      </w:r>
      <w:r>
        <w:rPr>
          <w:rFonts w:ascii="Arial" w:cs="Arial" w:eastAsia="Arial" w:hAnsi="Arial"/>
          <w:sz w:val="16"/>
          <w:szCs w:val="16"/>
          <w:i w:val="1"/>
          <w:iCs w:val="1"/>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year terms. These leases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usually offer the Company a right of first refusal that affords the Company the option to purchase the leased premises under certain terms in the event the landlord attempts to sell the leased premises to a third party. Rent expense was $264 and $194 for the six months ended June 30, 2019 and 2018, respectively. The Company also subleases properties to third parties, ranging from 3 </w:t>
      </w:r>
      <w:r>
        <w:rPr>
          <w:rFonts w:ascii="MS PGothic" w:cs="MS PGothic" w:eastAsia="MS PGothic" w:hAnsi="MS PGothic"/>
          <w:sz w:val="16"/>
          <w:szCs w:val="16"/>
          <w:color w:val="auto"/>
        </w:rPr>
        <w:t>‑</w:t>
      </w:r>
      <w:r>
        <w:rPr>
          <w:rFonts w:ascii="Arial" w:cs="Arial" w:eastAsia="Arial" w:hAnsi="Arial"/>
          <w:sz w:val="16"/>
          <w:szCs w:val="16"/>
          <w:color w:val="auto"/>
        </w:rPr>
        <w:t xml:space="preserve">year to 11 </w:t>
      </w:r>
      <w:r>
        <w:rPr>
          <w:rFonts w:ascii="MS PGothic" w:cs="MS PGothic" w:eastAsia="MS PGothic" w:hAnsi="MS PGothic"/>
          <w:sz w:val="16"/>
          <w:szCs w:val="16"/>
          <w:color w:val="auto"/>
        </w:rPr>
        <w:t>‑</w:t>
      </w:r>
      <w:r>
        <w:rPr>
          <w:rFonts w:ascii="Arial" w:cs="Arial" w:eastAsia="Arial" w:hAnsi="Arial"/>
          <w:sz w:val="16"/>
          <w:szCs w:val="16"/>
          <w:color w:val="auto"/>
        </w:rPr>
        <w:t>year terms with various renewal options. Rental income from the subleased property was approximately $186 and $188 for the six months ended June 30, 2019 and 2018, respectively.</w:t>
      </w:r>
    </w:p>
    <w:p>
      <w:pPr>
        <w:spacing w:after="0" w:line="166" w:lineRule="exact"/>
        <w:rPr>
          <w:sz w:val="20"/>
          <w:szCs w:val="20"/>
          <w:color w:val="auto"/>
        </w:rPr>
      </w:pPr>
    </w:p>
    <w:p>
      <w:pPr>
        <w:ind w:firstLine="648"/>
        <w:spacing w:after="0" w:line="223" w:lineRule="exact"/>
        <w:rPr>
          <w:sz w:val="20"/>
          <w:szCs w:val="20"/>
          <w:color w:val="auto"/>
        </w:rPr>
      </w:pPr>
      <w:r>
        <w:rPr>
          <w:rFonts w:ascii="Arial" w:cs="Arial" w:eastAsia="Arial" w:hAnsi="Arial"/>
          <w:sz w:val="18"/>
          <w:szCs w:val="18"/>
          <w:color w:val="auto"/>
        </w:rPr>
        <w:t>Future minimum lease commitments under all non</w:t>
      </w:r>
      <w:r>
        <w:rPr>
          <w:rFonts w:ascii="MS PGothic" w:cs="MS PGothic" w:eastAsia="MS PGothic" w:hAnsi="MS PGothic"/>
          <w:sz w:val="18"/>
          <w:szCs w:val="18"/>
          <w:color w:val="auto"/>
        </w:rPr>
        <w:t>‑</w:t>
      </w:r>
      <w:r>
        <w:rPr>
          <w:rFonts w:ascii="Arial" w:cs="Arial" w:eastAsia="Arial" w:hAnsi="Arial"/>
          <w:sz w:val="18"/>
          <w:szCs w:val="18"/>
          <w:color w:val="auto"/>
        </w:rPr>
        <w:t>cancelable operating leases for each of the next five years at June 30, 2019, are as follows:</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0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2020</w:t>
            </w: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2022</w:t>
            </w:r>
          </w:p>
        </w:tc>
        <w:tc>
          <w:tcPr>
            <w:tcW w:w="2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16"/>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7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r>
      <w:tr>
        <w:trPr>
          <w:trHeight w:val="217"/>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7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0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Company is party to certain legal proceedings that arise in the ordinary course and are incidental to its business. Certain of the claims pending against the Company in these proceedings allege, among other things, breach of contract and warranty, product liability and personal injury. Although litigation is inherently uncertain, based on past experience and the information currently available, management does not believe that the currently pending and threatened litigation or claims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 periods.</w:t>
      </w:r>
    </w:p>
    <w:p>
      <w:pPr>
        <w:spacing w:after="0" w:line="134" w:lineRule="exact"/>
        <w:rPr>
          <w:sz w:val="20"/>
          <w:szCs w:val="20"/>
          <w:color w:val="auto"/>
        </w:rPr>
      </w:pPr>
    </w:p>
    <w:p>
      <w:pPr>
        <w:ind w:right="2100" w:firstLine="3"/>
        <w:spacing w:after="0" w:line="464" w:lineRule="auto"/>
        <w:tabs>
          <w:tab w:leader="none" w:pos="27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AND FAIR VALUE MEASUREMENTS Derivative Financial Instruments</w:t>
      </w:r>
    </w:p>
    <w:p>
      <w:pPr>
        <w:ind w:right="80" w:firstLine="648"/>
        <w:spacing w:after="0" w:line="217" w:lineRule="exact"/>
        <w:rPr>
          <w:sz w:val="20"/>
          <w:szCs w:val="20"/>
          <w:color w:val="auto"/>
        </w:rPr>
      </w:pPr>
      <w:r>
        <w:rPr>
          <w:rFonts w:ascii="Arial" w:cs="Arial" w:eastAsia="Arial" w:hAnsi="Arial"/>
          <w:sz w:val="17"/>
          <w:szCs w:val="17"/>
          <w:color w:val="auto"/>
        </w:rPr>
        <w:t>On February 2, 2012, the Company entered into a master interest rate swap agreement. The Company elected not to designate the interest rate swap agreements as cash flow hedges and, therefore, gains or losses on the agreements as well as the other offsetting gains or losses on the hedged items attributable to the hedged risk are recognized in current earnings. ASC 815</w:t>
      </w:r>
      <w:r>
        <w:rPr>
          <w:rFonts w:ascii="MS PGothic" w:cs="MS PGothic" w:eastAsia="MS PGothic" w:hAnsi="MS PGothic"/>
          <w:sz w:val="17"/>
          <w:szCs w:val="17"/>
          <w:color w:val="auto"/>
        </w:rPr>
        <w:t>‑</w:t>
      </w:r>
      <w:r>
        <w:rPr>
          <w:rFonts w:ascii="Arial" w:cs="Arial" w:eastAsia="Arial" w:hAnsi="Arial"/>
          <w:sz w:val="17"/>
          <w:szCs w:val="17"/>
          <w:color w:val="auto"/>
        </w:rPr>
        <w:t xml:space="preserve">10,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 requires derivative instruments to be measured at fair value and recorded in the statements of financial position as either assets or liabilities. The Company entered into interest rate swap agreement with Capital One Bank on June 12, 2017 to fix the variable rate portion for $8,000 of the line of credit. This interest rate swap agreement is the only one outstanding at June 30, 2019 and has a maturity of May 11, 2020. The fair values of the interest rate swap agreement are assets included in prepaid expenses and other current assets and were $6 and $80 at June 30, 2019 and December 31, 2018, respectively. Included in the statements of operations for the six months ended June 30, 2019 and 2018 were losses of $46 and $5, respectively, which are the result of the changes in the fair values of the interest rate swap agreement.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1440" w:right="168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2019 AND 2018 (dollars in thousands)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02" w:lineRule="exact"/>
        <w:rPr>
          <w:sz w:val="20"/>
          <w:szCs w:val="20"/>
          <w:color w:val="auto"/>
        </w:rPr>
      </w:pPr>
    </w:p>
    <w:p>
      <w:pPr>
        <w:ind w:right="80" w:firstLine="648"/>
        <w:spacing w:after="0" w:line="219" w:lineRule="exact"/>
        <w:rPr>
          <w:sz w:val="20"/>
          <w:szCs w:val="20"/>
          <w:color w:val="auto"/>
        </w:rPr>
      </w:pPr>
      <w:r>
        <w:rPr>
          <w:rFonts w:ascii="Arial" w:cs="Arial" w:eastAsia="Arial" w:hAnsi="Arial"/>
          <w:sz w:val="18"/>
          <w:szCs w:val="18"/>
          <w:color w:val="auto"/>
        </w:rPr>
        <w:t>The Company accounts for its investments and derivative instruments in accordance with ASC 820</w:t>
      </w:r>
      <w:r>
        <w:rPr>
          <w:rFonts w:ascii="MS PGothic" w:cs="MS PGothic" w:eastAsia="MS PGothic" w:hAnsi="MS PGothic"/>
          <w:sz w:val="18"/>
          <w:szCs w:val="18"/>
          <w:color w:val="auto"/>
        </w:rPr>
        <w:t>‑</w:t>
      </w:r>
      <w:r>
        <w:rPr>
          <w:rFonts w:ascii="Arial" w:cs="Arial" w:eastAsia="Arial" w:hAnsi="Arial"/>
          <w:sz w:val="18"/>
          <w:szCs w:val="18"/>
          <w:color w:val="auto"/>
        </w:rPr>
        <w:t xml:space="preserve">10,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w:t>
      </w:r>
      <w:r>
        <w:rPr>
          <w:rFonts w:ascii="Arial" w:cs="Arial" w:eastAsia="Arial" w:hAnsi="Arial"/>
          <w:sz w:val="18"/>
          <w:szCs w:val="18"/>
          <w:color w:val="auto"/>
        </w:rPr>
        <w:t>which among other things provides the framework for measuring fair value. That framework provides a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hierarchy that prioritizes the inputs to valuation techniques used to measure fair value. The hierarchy gives the highest priority to unadjusted quoted prices in active markets for identical assets or liabilities (Level I measurement) and the lowest priority to unobservable inputs (Level III measurements). The three levels of fair value hierarchy under ASC 820</w:t>
      </w:r>
      <w:r>
        <w:rPr>
          <w:rFonts w:ascii="MS PGothic" w:cs="MS PGothic" w:eastAsia="MS PGothic" w:hAnsi="MS PGothic"/>
          <w:sz w:val="18"/>
          <w:szCs w:val="18"/>
          <w:color w:val="auto"/>
        </w:rPr>
        <w:t>‑</w:t>
      </w:r>
      <w:r>
        <w:rPr>
          <w:rFonts w:ascii="Arial" w:cs="Arial" w:eastAsia="Arial" w:hAnsi="Arial"/>
          <w:sz w:val="18"/>
          <w:szCs w:val="18"/>
          <w:color w:val="auto"/>
        </w:rPr>
        <w:t xml:space="preserve">10,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w:t>
      </w:r>
      <w:r>
        <w:rPr>
          <w:rFonts w:ascii="Arial" w:cs="Arial" w:eastAsia="Arial" w:hAnsi="Arial"/>
          <w:sz w:val="18"/>
          <w:szCs w:val="18"/>
          <w:color w:val="auto"/>
        </w:rPr>
        <w:t>, are as follows:</w:t>
      </w:r>
    </w:p>
    <w:p>
      <w:pPr>
        <w:spacing w:after="0" w:line="163" w:lineRule="exact"/>
        <w:rPr>
          <w:sz w:val="20"/>
          <w:szCs w:val="20"/>
          <w:color w:val="auto"/>
        </w:rPr>
      </w:pPr>
    </w:p>
    <w:p>
      <w:pPr>
        <w:ind w:left="1480" w:hanging="842"/>
        <w:spacing w:after="0" w:line="258" w:lineRule="auto"/>
        <w:tabs>
          <w:tab w:leader="none" w:pos="1460" w:val="left"/>
        </w:tabs>
        <w:rPr>
          <w:sz w:val="20"/>
          <w:szCs w:val="20"/>
          <w:color w:val="auto"/>
        </w:rPr>
      </w:pPr>
      <w:r>
        <w:rPr>
          <w:rFonts w:ascii="Arial" w:cs="Arial" w:eastAsia="Arial" w:hAnsi="Arial"/>
          <w:sz w:val="18"/>
          <w:szCs w:val="18"/>
          <w:color w:val="auto"/>
        </w:rPr>
        <w:t>Level I</w:t>
      </w:r>
      <w:r>
        <w:rPr>
          <w:sz w:val="20"/>
          <w:szCs w:val="20"/>
          <w:color w:val="auto"/>
        </w:rPr>
        <w:tab/>
      </w:r>
      <w:r>
        <w:rPr>
          <w:rFonts w:ascii="Arial" w:cs="Arial" w:eastAsia="Arial" w:hAnsi="Arial"/>
          <w:sz w:val="18"/>
          <w:szCs w:val="18"/>
          <w:color w:val="auto"/>
        </w:rPr>
        <w:t>Quoted prices are available in active markets for identical assets or liabilities that the reporting entity has the ability to access at the measurement date.</w:t>
      </w:r>
    </w:p>
    <w:p>
      <w:pPr>
        <w:spacing w:after="0" w:line="1" w:lineRule="exact"/>
        <w:rPr>
          <w:sz w:val="20"/>
          <w:szCs w:val="20"/>
          <w:color w:val="auto"/>
        </w:rPr>
      </w:pPr>
    </w:p>
    <w:p>
      <w:pPr>
        <w:ind w:left="1500" w:hanging="842"/>
        <w:spacing w:after="0" w:line="281" w:lineRule="auto"/>
        <w:tabs>
          <w:tab w:leader="none" w:pos="1480" w:val="left"/>
        </w:tabs>
        <w:rPr>
          <w:sz w:val="20"/>
          <w:szCs w:val="20"/>
          <w:color w:val="auto"/>
        </w:rPr>
      </w:pPr>
      <w:r>
        <w:rPr>
          <w:rFonts w:ascii="Arial" w:cs="Arial" w:eastAsia="Arial" w:hAnsi="Arial"/>
          <w:sz w:val="18"/>
          <w:szCs w:val="18"/>
          <w:color w:val="auto"/>
        </w:rPr>
        <w:t>Level II</w:t>
      </w:r>
      <w:r>
        <w:rPr>
          <w:sz w:val="20"/>
          <w:szCs w:val="20"/>
          <w:color w:val="auto"/>
        </w:rPr>
        <w:tab/>
      </w:r>
      <w:r>
        <w:rPr>
          <w:rFonts w:ascii="Arial" w:cs="Arial" w:eastAsia="Arial" w:hAnsi="Arial"/>
          <w:sz w:val="16"/>
          <w:szCs w:val="16"/>
          <w:color w:val="auto"/>
        </w:rPr>
        <w:t>Significant observable inputs other than quoted prices in active markets for which inputs to the valuation methodology include: (1) Quoted prices for similar assets or liabilities in active markets; (2) Quoted prices for identical or similar assets or liabilities in inactive markets; (3) Inputs other than quoted prices that are observable; (4) 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spacing w:after="0" w:line="4" w:lineRule="exact"/>
        <w:rPr>
          <w:sz w:val="20"/>
          <w:szCs w:val="20"/>
          <w:color w:val="auto"/>
        </w:rPr>
      </w:pPr>
    </w:p>
    <w:p>
      <w:pPr>
        <w:ind w:left="1500" w:right="120" w:hanging="842"/>
        <w:spacing w:after="0" w:line="261" w:lineRule="auto"/>
        <w:tabs>
          <w:tab w:leader="none" w:pos="1480" w:val="left"/>
        </w:tabs>
        <w:rPr>
          <w:sz w:val="20"/>
          <w:szCs w:val="20"/>
          <w:color w:val="auto"/>
        </w:rPr>
      </w:pPr>
      <w:r>
        <w:rPr>
          <w:rFonts w:ascii="Arial" w:cs="Arial" w:eastAsia="Arial" w:hAnsi="Arial"/>
          <w:sz w:val="18"/>
          <w:szCs w:val="18"/>
          <w:color w:val="auto"/>
        </w:rPr>
        <w:t>Level III</w:t>
        <w:tab/>
        <w:t>Significant unobservable inputs that reflect an entity’s own assumptions that market participants would use in pricing the assets or liabilities.</w:t>
      </w:r>
    </w:p>
    <w:p>
      <w:pPr>
        <w:spacing w:after="0" w:line="14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asset or liability fair value measurement level within the fair value hierarchy is based on the lowest level of any input that is significant to the fair value measurement.</w:t>
      </w:r>
    </w:p>
    <w:p>
      <w:pPr>
        <w:spacing w:after="0" w:line="14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 uses derivatives to manage risks related to interest rate movements. The Company does not enter into derivative contracts for speculative purposes. Interest rate swap contracts are recognized as assets or liabilities on the balance sheets and are measured at fair value. The fair value was calculated and provided by the lender, a Level II valuation technique. Management reviewed the fair values for the instruments as provided by the lender and determined the related asset and liability to be an accurate estimate of future gains and losses to the Company. The fair values of the interest rate swap were valued at a $6 asset as of June 30, 2019 and a $80 asset as of December 31,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Company’s financial instruments consist primarily of cash and cash equivalents, accounts receivable, consumer loans, MHP Notes, other notes, accounts payable, lines of credit, notes payable, and dealer portion of consumer loans.</w:t>
      </w:r>
    </w:p>
    <w:p>
      <w:pPr>
        <w:spacing w:after="0" w:line="97" w:lineRule="exact"/>
        <w:rPr>
          <w:sz w:val="20"/>
          <w:szCs w:val="20"/>
          <w:color w:val="auto"/>
        </w:rPr>
      </w:pPr>
    </w:p>
    <w:p>
      <w:pPr>
        <w:ind w:right="200" w:firstLine="648"/>
        <w:spacing w:after="0" w:line="218" w:lineRule="exact"/>
        <w:rPr>
          <w:sz w:val="20"/>
          <w:szCs w:val="20"/>
          <w:color w:val="auto"/>
        </w:rPr>
      </w:pPr>
      <w:r>
        <w:rPr>
          <w:rFonts w:ascii="Arial" w:cs="Arial" w:eastAsia="Arial" w:hAnsi="Arial"/>
          <w:sz w:val="17"/>
          <w:szCs w:val="17"/>
          <w:color w:val="auto"/>
        </w:rPr>
        <w:t>The carrying amounts of cash and cash equivalents, accounts receivable, and accounts payable approximate their respective fair values because of the short</w:t>
      </w:r>
      <w:r>
        <w:rPr>
          <w:rFonts w:ascii="MS PGothic" w:cs="MS PGothic" w:eastAsia="MS PGothic" w:hAnsi="MS PGothic"/>
          <w:sz w:val="17"/>
          <w:szCs w:val="17"/>
          <w:color w:val="auto"/>
        </w:rPr>
        <w:t>‑</w:t>
      </w:r>
      <w:r>
        <w:rPr>
          <w:rFonts w:ascii="Arial" w:cs="Arial" w:eastAsia="Arial" w:hAnsi="Arial"/>
          <w:sz w:val="17"/>
          <w:szCs w:val="17"/>
          <w:color w:val="auto"/>
        </w:rPr>
        <w:t>term maturities or expected settlement dates of these instruments. This is considered a Level I valuation technique. The MHP Notes, other notes, lines of credit, and notes payable have variable interest rates that reflect market rates and their fair value approximates their carrying value. This is considered a Level II valuation technique. The Company also assessed the fair value of the consumer loans receivable based on the discounted value of the remaining principal and interest cash flows. The Company determined that the fair value of the consumer loan portfolio was approximately $117,000 compared to the book value of $101,024 as of June 30, 2019, and a fair value of approximately $109,000 compared to the book value of $97,175 as of December 31, 2018. This is a Level III valuation technique.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1440" w:right="168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2019 AND 2018 (dollars in thousands)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202" w:lineRule="exact"/>
        <w:rPr>
          <w:sz w:val="20"/>
          <w:szCs w:val="20"/>
          <w:color w:val="auto"/>
        </w:rPr>
      </w:pPr>
    </w:p>
    <w:p>
      <w:pPr>
        <w:ind w:right="180" w:firstLine="648"/>
        <w:spacing w:after="0" w:line="219" w:lineRule="exact"/>
        <w:rPr>
          <w:sz w:val="20"/>
          <w:szCs w:val="20"/>
          <w:color w:val="auto"/>
        </w:rPr>
      </w:pPr>
      <w:r>
        <w:rPr>
          <w:rFonts w:ascii="Arial" w:cs="Arial" w:eastAsia="Arial" w:hAnsi="Arial"/>
          <w:sz w:val="18"/>
          <w:szCs w:val="18"/>
          <w:color w:val="auto"/>
        </w:rPr>
        <w:t>Basic earnings per common share (“EPS”) is computed based on the weighted</w:t>
      </w:r>
      <w:r>
        <w:rPr>
          <w:rFonts w:ascii="MS PGothic" w:cs="MS PGothic" w:eastAsia="MS PGothic" w:hAnsi="MS PGothic"/>
          <w:sz w:val="18"/>
          <w:szCs w:val="18"/>
          <w:color w:val="auto"/>
        </w:rPr>
        <w:t>‑</w:t>
      </w:r>
      <w:r>
        <w:rPr>
          <w:rFonts w:ascii="Arial" w:cs="Arial" w:eastAsia="Arial" w:hAnsi="Arial"/>
          <w:sz w:val="18"/>
          <w:szCs w:val="18"/>
          <w:color w:val="auto"/>
        </w:rPr>
        <w:t>average number of common shares outstanding during each reporting period.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spacing w:after="0" w:line="15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r>
      <w:tr>
        <w:trPr>
          <w:trHeight w:val="142"/>
        </w:trPr>
        <w:tc>
          <w:tcPr>
            <w:tcW w:w="27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740" w:type="dxa"/>
            <w:vAlign w:val="bottom"/>
          </w:tcPr>
          <w:p>
            <w:pPr>
              <w:ind w:left="100"/>
              <w:spacing w:after="0"/>
              <w:rPr>
                <w:sz w:val="20"/>
                <w:szCs w:val="20"/>
                <w:color w:val="auto"/>
              </w:rPr>
            </w:pPr>
            <w:r>
              <w:rPr>
                <w:rFonts w:ascii="Arial" w:cs="Arial" w:eastAsia="Arial" w:hAnsi="Arial"/>
                <w:sz w:val="18"/>
                <w:szCs w:val="18"/>
                <w:color w:val="auto"/>
              </w:rPr>
              <w:t>Net income (in 000's)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8,633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6,888</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15,846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12,248</w:t>
            </w:r>
          </w:p>
        </w:tc>
      </w:tr>
      <w:tr>
        <w:trPr>
          <w:trHeight w:val="210"/>
        </w:trPr>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02"/>
        </w:trPr>
        <w:tc>
          <w:tcPr>
            <w:tcW w:w="2740" w:type="dxa"/>
            <w:vAlign w:val="bottom"/>
          </w:tcPr>
          <w:p>
            <w:pPr>
              <w:ind w:left="100"/>
              <w:spacing w:after="0" w:line="201" w:lineRule="exact"/>
              <w:rPr>
                <w:sz w:val="20"/>
                <w:szCs w:val="20"/>
                <w:color w:val="auto"/>
              </w:rPr>
            </w:pPr>
            <w:r>
              <w:rPr>
                <w:rFonts w:ascii="Arial" w:cs="Arial" w:eastAsia="Arial" w:hAnsi="Arial"/>
                <w:sz w:val="18"/>
                <w:szCs w:val="18"/>
                <w:color w:val="auto"/>
                <w:w w:val="98"/>
              </w:rPr>
              <w:t>Basic weighted-average common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740" w:type="dxa"/>
            <w:vAlign w:val="bottom"/>
          </w:tcPr>
          <w:p>
            <w:pPr>
              <w:ind w:left="100"/>
              <w:spacing w:after="0"/>
              <w:rPr>
                <w:sz w:val="20"/>
                <w:szCs w:val="20"/>
                <w:color w:val="auto"/>
              </w:rPr>
            </w:pPr>
            <w:r>
              <w:rPr>
                <w:rFonts w:ascii="Arial" w:cs="Arial" w:eastAsia="Arial" w:hAnsi="Arial"/>
                <w:sz w:val="18"/>
                <w:szCs w:val="18"/>
                <w:color w:val="auto"/>
              </w:rPr>
              <w:t>shares outstanding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24,369,890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20,000,000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24,442,921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20,000,000</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7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Restricted stock grants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82"/>
        </w:trPr>
        <w:tc>
          <w:tcPr>
            <w:tcW w:w="274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w w:val="94"/>
              </w:rPr>
              <w:t>Diluted weighted-average common</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30"/>
        </w:trPr>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shares outstanding</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24,369,890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20,000,000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24,457,967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20,000,000</w:t>
            </w:r>
          </w:p>
        </w:tc>
      </w:tr>
      <w:tr>
        <w:trPr>
          <w:trHeight w:val="202"/>
        </w:trPr>
        <w:tc>
          <w:tcPr>
            <w:tcW w:w="2740" w:type="dxa"/>
            <w:vAlign w:val="bottom"/>
          </w:tcPr>
          <w:p>
            <w:pPr>
              <w:spacing w:after="0" w:line="201" w:lineRule="exact"/>
              <w:rPr>
                <w:sz w:val="20"/>
                <w:szCs w:val="20"/>
                <w:color w:val="auto"/>
              </w:rPr>
            </w:pPr>
            <w:r>
              <w:rPr>
                <w:rFonts w:ascii="Arial" w:cs="Arial" w:eastAsia="Arial" w:hAnsi="Arial"/>
                <w:sz w:val="18"/>
                <w:szCs w:val="18"/>
                <w:color w:val="auto"/>
              </w:rPr>
              <w:t>Earnings per share attributable to</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Legacy Housing Corporation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6"/>
        </w:trPr>
        <w:tc>
          <w:tcPr>
            <w:tcW w:w="2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r>
      <w:tr>
        <w:trPr>
          <w:trHeight w:val="230"/>
        </w:trPr>
        <w:tc>
          <w:tcPr>
            <w:tcW w:w="2740" w:type="dxa"/>
            <w:vAlign w:val="bottom"/>
          </w:tcPr>
          <w:p>
            <w:pPr>
              <w:ind w:left="100"/>
              <w:spacing w:after="0"/>
              <w:rPr>
                <w:sz w:val="20"/>
                <w:szCs w:val="20"/>
                <w:color w:val="auto"/>
              </w:rPr>
            </w:pPr>
            <w:r>
              <w:rPr>
                <w:rFonts w:ascii="Arial" w:cs="Arial" w:eastAsia="Arial" w:hAnsi="Arial"/>
                <w:sz w:val="18"/>
                <w:szCs w:val="18"/>
                <w:color w:val="auto"/>
              </w:rPr>
              <w:t>Diluted</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0.34</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0.61</w:t>
            </w:r>
          </w:p>
        </w:tc>
      </w:tr>
    </w:tbl>
    <w:p>
      <w:pPr>
        <w:spacing w:after="0" w:line="187"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diluted earnings per share calculation excludes 164,487 potential shares and 149,441 potential shares for the three and six months ended June 30, 2019 because the effect of including theses potential shares would be antidilutive.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8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Bell Mobile Homes, a retailer owned by one of the Company’s significant owners, purchases manufactured homes from the Company. Accounts receivable balances due from Bell Mobile Homes were $529 and $414 as of June 30, 2019 and December 31, 2018, respectively. Accounts payable balances due to Bell Mobile Homes for maintenance and related services were $104 and $123 as of June 30, 2019 and December 31, 2018, respectively. Home sales to Bell Mobile Homes were $1,432 and $1,353 for the three months ended June 30, 2019 and 2018, respectively and $2,290 and $1,936 for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June 30, 2019 and 2018, respectively.</w:t>
      </w:r>
    </w:p>
    <w:p>
      <w:pPr>
        <w:spacing w:after="0" w:line="184"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On February 2, 2016, the Company entered into a $1,500 note payable agreement with stated annual interest rates of 3.75% with a related party through common ownership. The note was due on demand. Interest paid on the note payable to Shipley and Sons was $28 for the six months ended June 30, 2018. On October 18, 2018, this note payable was paid in full.</w:t>
      </w:r>
    </w:p>
    <w:p>
      <w:pPr>
        <w:spacing w:after="0" w:line="106"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At June 30, 2019, the Company has a receivable of $390 from a principal shareholder for certain business expenses related to a potential business venture. This amount is included in the Company’s accounts receivable balance as of June 30, 2019.</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left="1540" w:right="158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2019 AND 2018 (dollars in thousands)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02" w:lineRule="exact"/>
        <w:rPr>
          <w:sz w:val="20"/>
          <w:szCs w:val="20"/>
          <w:color w:val="auto"/>
        </w:rPr>
      </w:pPr>
    </w:p>
    <w:p>
      <w:pPr>
        <w:ind w:right="99" w:firstLine="648"/>
        <w:spacing w:after="0" w:line="264" w:lineRule="auto"/>
        <w:rPr>
          <w:sz w:val="20"/>
          <w:szCs w:val="20"/>
          <w:color w:val="auto"/>
        </w:rPr>
      </w:pPr>
      <w:r>
        <w:rPr>
          <w:rFonts w:ascii="Arial" w:cs="Arial" w:eastAsia="Arial" w:hAnsi="Arial"/>
          <w:sz w:val="18"/>
          <w:szCs w:val="18"/>
          <w:color w:val="auto"/>
        </w:rPr>
        <w:t>In connection with the preparation of these financial statements, an evaluation of subsequent events was performed through the date of filing and there were no other events that have occurred that would require adjustments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100" w:firstLine="713"/>
        <w:spacing w:after="0" w:line="219" w:lineRule="exact"/>
        <w:rPr>
          <w:sz w:val="20"/>
          <w:szCs w:val="20"/>
          <w:color w:val="auto"/>
        </w:rPr>
      </w:pPr>
      <w:r>
        <w:rPr>
          <w:rFonts w:ascii="Arial" w:cs="Arial" w:eastAsia="Arial" w:hAnsi="Arial"/>
          <w:sz w:val="17"/>
          <w:szCs w:val="17"/>
          <w:i w:val="1"/>
          <w:iCs w:val="1"/>
          <w:color w:val="auto"/>
        </w:rPr>
        <w:t>The following discussion should be read in conjunction with the financial statements and accompanying notes and the information contained in other sections of this Form 10-Q. It contains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 as a result of various factors, including those discussed in this Form 10-Q and in our Registration Statement on Form S-1, particularly under the heading “Risk Factors.”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120" w:firstLine="648"/>
        <w:spacing w:after="0" w:line="224" w:lineRule="exact"/>
        <w:rPr>
          <w:sz w:val="20"/>
          <w:szCs w:val="20"/>
          <w:color w:val="auto"/>
        </w:rPr>
      </w:pPr>
      <w:r>
        <w:rPr>
          <w:rFonts w:ascii="Arial" w:cs="Arial" w:eastAsia="Arial" w:hAnsi="Arial"/>
          <w:sz w:val="16"/>
          <w:szCs w:val="16"/>
          <w:color w:val="auto"/>
        </w:rPr>
        <w:t>Legacy Housing Corporation builds, sells and finances manufactured homes and “tiny houses” that are distributed through a network of independent retailers and company</w:t>
      </w:r>
      <w:r>
        <w:rPr>
          <w:rFonts w:ascii="MS PGothic" w:cs="MS PGothic" w:eastAsia="MS PGothic" w:hAnsi="MS PGothic"/>
          <w:sz w:val="16"/>
          <w:szCs w:val="16"/>
          <w:color w:val="auto"/>
        </w:rPr>
        <w:t>‑</w:t>
      </w:r>
      <w:r>
        <w:rPr>
          <w:rFonts w:ascii="Arial" w:cs="Arial" w:eastAsia="Arial" w:hAnsi="Arial"/>
          <w:sz w:val="16"/>
          <w:szCs w:val="16"/>
          <w:color w:val="auto"/>
        </w:rPr>
        <w:t>owned stores and are sold directly to manufactured housing communities. We are the fourth largest producer of manufactured homes in the United States as ranked by number of homes manufactured based on information available from the Manufactured Housing Institute and IBTS for the second quarter of 2018. With current operations focused primarily in the southern United States, we offer our customers an array of quality homes ranging in size from approximately 390 to 2,667 square feet consisting of 1 to 5 bedrooms, with 1 to 3</w:t>
      </w:r>
      <w:r>
        <w:rPr>
          <w:rFonts w:ascii="Arial" w:cs="Arial" w:eastAsia="Arial" w:hAnsi="Arial"/>
          <w:sz w:val="8"/>
          <w:szCs w:val="8"/>
          <w:color w:val="auto"/>
        </w:rPr>
        <w:t>1</w:t>
      </w:r>
      <w:r>
        <w:rPr>
          <w:rFonts w:ascii="Arial" w:cs="Arial" w:eastAsia="Arial" w:hAnsi="Arial"/>
          <w:sz w:val="16"/>
          <w:szCs w:val="16"/>
          <w:color w:val="auto"/>
        </w:rPr>
        <w:t>/</w:t>
      </w:r>
      <w:r>
        <w:rPr>
          <w:rFonts w:ascii="Arial" w:cs="Arial" w:eastAsia="Arial" w:hAnsi="Arial"/>
          <w:sz w:val="28"/>
          <w:szCs w:val="28"/>
          <w:color w:val="auto"/>
          <w:vertAlign w:val="subscript"/>
        </w:rPr>
        <w:t>2</w:t>
      </w:r>
      <w:r>
        <w:rPr>
          <w:rFonts w:ascii="Arial" w:cs="Arial" w:eastAsia="Arial" w:hAnsi="Arial"/>
          <w:sz w:val="16"/>
          <w:szCs w:val="16"/>
          <w:color w:val="auto"/>
        </w:rPr>
        <w:t xml:space="preserve"> bathrooms.</w:t>
      </w:r>
    </w:p>
    <w:p>
      <w:pPr>
        <w:spacing w:after="0" w:line="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homes range in price, at retail, from approximately $18,000 to $122,000. For the three and six months ended June 30, 2019, we sold 1,028 and 1,946 home sections, respectively (which are entire homes or single floors that are combined to create complete homes). For the three and six months ended June 30, 2018, we sold 1,099 and 2,131 home sections, respectively. We commenced operations in 2005 and have experienced strong sales growth and increased our equity holders’ capital at a compound annual growth rate of approximately 28% between 2009 and 2018.</w:t>
      </w:r>
    </w:p>
    <w:p>
      <w:pPr>
        <w:spacing w:after="0" w:line="136"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6"/>
          <w:szCs w:val="16"/>
          <w:color w:val="auto"/>
        </w:rPr>
        <w:t>The Company has one reportable segment. All of our activities are interrelated, and each activity is dependent and assessed based on how each of the activities of Company supports the others. For example, the sale of manufactured homes includes providing transportation and consignment arrangements with dealers. We also provide financing options to the customers to facilitate such sale of homes. In addition, the sale of homes is directly related to financing provided by us. Accordingly, all significant operating and strategic decisions by the chief operating decision</w:t>
      </w:r>
      <w:r>
        <w:rPr>
          <w:rFonts w:ascii="MS PGothic" w:cs="MS PGothic" w:eastAsia="MS PGothic" w:hAnsi="MS PGothic"/>
          <w:sz w:val="16"/>
          <w:szCs w:val="16"/>
          <w:color w:val="auto"/>
        </w:rPr>
        <w:t>‑</w:t>
      </w:r>
      <w:r>
        <w:rPr>
          <w:rFonts w:ascii="Arial" w:cs="Arial" w:eastAsia="Arial" w:hAnsi="Arial"/>
          <w:sz w:val="16"/>
          <w:szCs w:val="16"/>
          <w:color w:val="auto"/>
        </w:rPr>
        <w:t>maker, the Executive Chairman of the Board, are based upon analyses of our company as one segment or unit.</w:t>
      </w:r>
    </w:p>
    <w:p>
      <w:pPr>
        <w:spacing w:after="0" w:line="166" w:lineRule="exact"/>
        <w:rPr>
          <w:sz w:val="20"/>
          <w:szCs w:val="20"/>
          <w:color w:val="auto"/>
        </w:rPr>
      </w:pPr>
    </w:p>
    <w:p>
      <w:pPr>
        <w:ind w:firstLine="713"/>
        <w:spacing w:after="0" w:line="218" w:lineRule="exact"/>
        <w:rPr>
          <w:sz w:val="20"/>
          <w:szCs w:val="20"/>
          <w:color w:val="auto"/>
        </w:rPr>
      </w:pPr>
      <w:r>
        <w:rPr>
          <w:rFonts w:ascii="Arial" w:cs="Arial" w:eastAsia="Arial" w:hAnsi="Arial"/>
          <w:sz w:val="17"/>
          <w:szCs w:val="17"/>
          <w:color w:val="auto"/>
        </w:rPr>
        <w:t>We believe our company is one of the most vertically integrated in the manufactured housing industry, allowing us to offer a complete solution to our customers, from manufacturing custom</w:t>
      </w:r>
      <w:r>
        <w:rPr>
          <w:rFonts w:ascii="MS PGothic" w:cs="MS PGothic" w:eastAsia="MS PGothic" w:hAnsi="MS PGothic"/>
          <w:sz w:val="17"/>
          <w:szCs w:val="17"/>
          <w:color w:val="auto"/>
        </w:rPr>
        <w:t>‑</w:t>
      </w:r>
      <w:r>
        <w:rPr>
          <w:rFonts w:ascii="Arial" w:cs="Arial" w:eastAsia="Arial" w:hAnsi="Arial"/>
          <w:sz w:val="17"/>
          <w:szCs w:val="17"/>
          <w:color w:val="auto"/>
        </w:rPr>
        <w:t>made homes using quality materials and distributing those homes through our expansive network of independent retailers and company</w:t>
      </w:r>
      <w:r>
        <w:rPr>
          <w:rFonts w:ascii="MS PGothic" w:cs="MS PGothic" w:eastAsia="MS PGothic" w:hAnsi="MS PGothic"/>
          <w:sz w:val="17"/>
          <w:szCs w:val="17"/>
          <w:color w:val="auto"/>
        </w:rPr>
        <w:t>‑</w:t>
      </w:r>
      <w:r>
        <w:rPr>
          <w:rFonts w:ascii="Arial" w:cs="Arial" w:eastAsia="Arial" w:hAnsi="Arial"/>
          <w:sz w:val="17"/>
          <w:szCs w:val="17"/>
          <w:color w:val="auto"/>
        </w:rPr>
        <w:t>owned distribution locations, to providing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w:t>
      </w:r>
      <w:r>
        <w:rPr>
          <w:rFonts w:ascii="MS PGothic" w:cs="MS PGothic" w:eastAsia="MS PGothic" w:hAnsi="MS PGothic"/>
          <w:sz w:val="17"/>
          <w:szCs w:val="17"/>
          <w:color w:val="auto"/>
        </w:rPr>
        <w:t>‑</w:t>
      </w:r>
      <w:r>
        <w:rPr>
          <w:rFonts w:ascii="Arial" w:cs="Arial" w:eastAsia="Arial" w:hAnsi="Arial"/>
          <w:sz w:val="17"/>
          <w:szCs w:val="17"/>
          <w:color w:val="auto"/>
        </w:rPr>
        <w:t>volume production techniques that allow us to produce, on average, approximately 75 home sections, or 62 fully</w:t>
      </w:r>
      <w:r>
        <w:rPr>
          <w:rFonts w:ascii="MS PGothic" w:cs="MS PGothic" w:eastAsia="MS PGothic" w:hAnsi="MS PGothic"/>
          <w:sz w:val="17"/>
          <w:szCs w:val="17"/>
          <w:color w:val="auto"/>
        </w:rPr>
        <w:t>‑</w:t>
      </w:r>
      <w:r>
        <w:rPr>
          <w:rFonts w:ascii="Arial" w:cs="Arial" w:eastAsia="Arial" w:hAnsi="Arial"/>
          <w:sz w:val="17"/>
          <w:szCs w:val="17"/>
          <w:color w:val="auto"/>
        </w:rPr>
        <w:t>completed homes depending on product mix, in total per week. We use quality materials and operate our own component manufacturing facilities for many of the items used in the construction of our homes. Each home can be configured according to a variety of floor plans and equipped with such features as fireplaces, central air conditioning and state</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the</w:t>
      </w:r>
      <w:r>
        <w:rPr>
          <w:rFonts w:ascii="MS PGothic" w:cs="MS PGothic" w:eastAsia="MS PGothic" w:hAnsi="MS PGothic"/>
          <w:sz w:val="17"/>
          <w:szCs w:val="17"/>
          <w:color w:val="auto"/>
        </w:rPr>
        <w:t>‑</w:t>
      </w:r>
      <w:r>
        <w:rPr>
          <w:rFonts w:ascii="Arial" w:cs="Arial" w:eastAsia="Arial" w:hAnsi="Arial"/>
          <w:sz w:val="17"/>
          <w:szCs w:val="17"/>
          <w:color w:val="auto"/>
        </w:rPr>
        <w:t>art kitchens.</w:t>
      </w:r>
    </w:p>
    <w:p>
      <w:pPr>
        <w:spacing w:after="0" w:line="229" w:lineRule="exact"/>
        <w:rPr>
          <w:sz w:val="20"/>
          <w:szCs w:val="20"/>
          <w:color w:val="auto"/>
        </w:rPr>
      </w:pPr>
    </w:p>
    <w:p>
      <w:pPr>
        <w:ind w:firstLine="648"/>
        <w:spacing w:after="0" w:line="218" w:lineRule="exact"/>
        <w:rPr>
          <w:sz w:val="20"/>
          <w:szCs w:val="20"/>
          <w:color w:val="auto"/>
        </w:rPr>
      </w:pPr>
      <w:r>
        <w:rPr>
          <w:rFonts w:ascii="Arial" w:cs="Arial" w:eastAsia="Arial" w:hAnsi="Arial"/>
          <w:sz w:val="18"/>
          <w:szCs w:val="18"/>
          <w:color w:val="auto"/>
        </w:rPr>
        <w:t>Our homes are marketed under our premier “Legacy” brand name and currently are sold primarily across 15 states through a network of 111 independent retail locations, 12 company</w:t>
      </w:r>
      <w:r>
        <w:rPr>
          <w:rFonts w:ascii="MS PGothic" w:cs="MS PGothic" w:eastAsia="MS PGothic" w:hAnsi="MS PGothic"/>
          <w:sz w:val="18"/>
          <w:szCs w:val="18"/>
          <w:color w:val="auto"/>
        </w:rPr>
        <w:t>‑</w:t>
      </w:r>
      <w:r>
        <w:rPr>
          <w:rFonts w:ascii="Arial" w:cs="Arial" w:eastAsia="Arial" w:hAnsi="Arial"/>
          <w:sz w:val="18"/>
          <w:szCs w:val="18"/>
          <w:color w:val="auto"/>
        </w:rPr>
        <w:t>owned retail locations and through direct sales to owners of manufactured home communities. Our 12 company</w:t>
      </w:r>
      <w:r>
        <w:rPr>
          <w:rFonts w:ascii="MS PGothic" w:cs="MS PGothic" w:eastAsia="MS PGothic" w:hAnsi="MS PGothic"/>
          <w:sz w:val="18"/>
          <w:szCs w:val="18"/>
          <w:color w:val="auto"/>
        </w:rPr>
        <w:t>‑</w:t>
      </w:r>
      <w:r>
        <w:rPr>
          <w:rFonts w:ascii="Arial" w:cs="Arial" w:eastAsia="Arial" w:hAnsi="Arial"/>
          <w:sz w:val="18"/>
          <w:szCs w:val="18"/>
          <w:color w:val="auto"/>
        </w:rPr>
        <w:t>owned retail locations, including ten Heritage Housing stores and two Tiny House Outlet stores exclusively sell our homes. For the six months ended June 30, 2019, approximately 52% of our manufactured homes were sold in Texas, followed by 8% in Georgia, 7% in Florida, 6% in Kansas and 5% in South Carolina. For the six months ended June 30, 2018, 56% of our manufactured homes were sold in Texas, followed by 12% in Georgia, 11% in Louisiana, 5% in Arkansas, 4% in Oklahoma and 3% in Colorado We plan to deepen our distribution channel by using cash from operations and borrowings from our lines of credit to expand our company</w:t>
      </w:r>
      <w:r>
        <w:rPr>
          <w:rFonts w:ascii="MS PGothic" w:cs="MS PGothic" w:eastAsia="MS PGothic" w:hAnsi="MS PGothic"/>
          <w:sz w:val="18"/>
          <w:szCs w:val="18"/>
          <w:color w:val="auto"/>
        </w:rPr>
        <w:t>‑</w:t>
      </w:r>
      <w:r>
        <w:rPr>
          <w:rFonts w:ascii="Arial" w:cs="Arial" w:eastAsia="Arial" w:hAnsi="Arial"/>
          <w:sz w:val="18"/>
          <w:szCs w:val="18"/>
          <w:color w:val="auto"/>
        </w:rPr>
        <w:t>owned retail locations in new and existing markets.</w:t>
      </w:r>
    </w:p>
    <w:p>
      <w:pPr>
        <w:spacing w:after="0" w:line="164" w:lineRule="exact"/>
        <w:rPr>
          <w:sz w:val="20"/>
          <w:szCs w:val="20"/>
          <w:color w:val="auto"/>
        </w:rPr>
      </w:pPr>
    </w:p>
    <w:p>
      <w:pPr>
        <w:ind w:right="240" w:firstLine="648"/>
        <w:spacing w:after="0" w:line="221" w:lineRule="exact"/>
        <w:rPr>
          <w:sz w:val="20"/>
          <w:szCs w:val="20"/>
          <w:color w:val="auto"/>
        </w:rPr>
      </w:pPr>
      <w:r>
        <w:rPr>
          <w:rFonts w:ascii="Arial" w:cs="Arial" w:eastAsia="Arial" w:hAnsi="Arial"/>
          <w:sz w:val="16"/>
          <w:szCs w:val="16"/>
          <w:color w:val="auto"/>
        </w:rPr>
        <w:t>We offer three types of financing solutions to our customers. We provide floor plan financing for our independent retailers, which takes the form of a consignment arrangement between the retailer and us. We also provide consumer financing for our products which are sold to end</w:t>
      </w:r>
      <w:r>
        <w:rPr>
          <w:rFonts w:ascii="MS PGothic" w:cs="MS PGothic" w:eastAsia="MS PGothic" w:hAnsi="MS PGothic"/>
          <w:sz w:val="16"/>
          <w:szCs w:val="16"/>
          <w:color w:val="auto"/>
        </w:rPr>
        <w:t>‑</w:t>
      </w:r>
      <w:r>
        <w:rPr>
          <w:rFonts w:ascii="Arial" w:cs="Arial" w:eastAsia="Arial" w:hAnsi="Arial"/>
          <w:sz w:val="16"/>
          <w:szCs w:val="16"/>
          <w:color w:val="auto"/>
        </w:rPr>
        <w:t>users through both independent and company</w:t>
      </w:r>
      <w:r>
        <w:rPr>
          <w:rFonts w:ascii="MS PGothic" w:cs="MS PGothic" w:eastAsia="MS PGothic" w:hAnsi="MS PGothic"/>
          <w:sz w:val="16"/>
          <w:szCs w:val="16"/>
          <w:color w:val="auto"/>
        </w:rPr>
        <w:t>‑</w:t>
      </w:r>
      <w:r>
        <w:rPr>
          <w:rFonts w:ascii="Arial" w:cs="Arial" w:eastAsia="Arial" w:hAnsi="Arial"/>
          <w:sz w:val="16"/>
          <w:szCs w:val="16"/>
          <w:color w:val="auto"/>
        </w:rPr>
        <w:t>owned retail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locations, and we provide financing solutions to manufactured housing community owners that buy our products for use in their manufactured housing communities. Our ability to offer competitive financing options at our retail locations provides us with several competitive advantages and allows us to capture sales which may not have otherwise occurred without our ability to offer consumer financing.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Conversion</w:t>
      </w:r>
    </w:p>
    <w:p>
      <w:pPr>
        <w:spacing w:after="0" w:line="189"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Prior to January 1, 2018, we were a Texas limited partnership named Legacy Housing, Ltd. Effective January 1, 2018, we converted into a Delaware corporation pursuant to a statutory conversion, or the Corporate Conversion, and changed our name to Legacy Housing Corporation. All of our outstanding partnership interests were converted on a proportional basis into shares of common stock of Legacy Housing Corporation. For more information, see “Corporate Conversion” in Note 1.</w:t>
      </w:r>
    </w:p>
    <w:p>
      <w:pPr>
        <w:spacing w:after="0" w:line="148" w:lineRule="exact"/>
        <w:rPr>
          <w:sz w:val="20"/>
          <w:szCs w:val="20"/>
          <w:color w:val="auto"/>
        </w:rPr>
      </w:pPr>
    </w:p>
    <w:p>
      <w:pPr>
        <w:ind w:right="20" w:firstLine="648"/>
        <w:spacing w:after="0" w:line="219" w:lineRule="exact"/>
        <w:rPr>
          <w:sz w:val="20"/>
          <w:szCs w:val="20"/>
          <w:color w:val="auto"/>
        </w:rPr>
      </w:pPr>
      <w:r>
        <w:rPr>
          <w:rFonts w:ascii="Arial" w:cs="Arial" w:eastAsia="Arial" w:hAnsi="Arial"/>
          <w:sz w:val="17"/>
          <w:szCs w:val="17"/>
          <w:color w:val="auto"/>
        </w:rPr>
        <w:t>Following the Corporate Conversion, Legacy Housing Corporation continues to hold all of the property and assets of Legacy Housing, Ltd. and all of the debts and obligations of Legacy Housing, Ltd. continue as the debts and obligations of Legacy Housing Corporation. The purpose of the Corporate Conversion was to reorganize our corporate structure so that the top</w:t>
      </w:r>
      <w:r>
        <w:rPr>
          <w:rFonts w:ascii="MS PGothic" w:cs="MS PGothic" w:eastAsia="MS PGothic" w:hAnsi="MS PGothic"/>
          <w:sz w:val="17"/>
          <w:szCs w:val="17"/>
          <w:color w:val="auto"/>
        </w:rPr>
        <w:t>‑</w:t>
      </w:r>
      <w:r>
        <w:rPr>
          <w:rFonts w:ascii="Arial" w:cs="Arial" w:eastAsia="Arial" w:hAnsi="Arial"/>
          <w:sz w:val="17"/>
          <w:szCs w:val="17"/>
          <w:color w:val="auto"/>
        </w:rPr>
        <w:t>tier entity in our corporate structure is a corporation rather than a limited partnership and so that our existing owners own shares of our common stock rather than partnership interests in a limited partnership. Except as otherwise noted, the financial statements included in this Form 10-Q are those of Legacy Housing Corporation.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8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believe that the growth of our business and our future success depend on various opportunities, challenges, trends and other factors, including the following:</w:t>
      </w:r>
    </w:p>
    <w:p>
      <w:pPr>
        <w:spacing w:after="0" w:line="130" w:lineRule="exact"/>
        <w:rPr>
          <w:sz w:val="20"/>
          <w:szCs w:val="20"/>
          <w:color w:val="auto"/>
        </w:rPr>
      </w:pPr>
    </w:p>
    <w:p>
      <w:pPr>
        <w:ind w:left="980" w:hanging="329"/>
        <w:spacing w:after="0" w:line="219"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Consistent with our long</w:t>
      </w:r>
      <w:r>
        <w:rPr>
          <w:rFonts w:ascii="MS PGothic" w:cs="MS PGothic" w:eastAsia="MS PGothic" w:hAnsi="MS PGothic"/>
          <w:sz w:val="18"/>
          <w:szCs w:val="18"/>
          <w:color w:val="auto"/>
        </w:rPr>
        <w:t>‑</w:t>
      </w:r>
      <w:r>
        <w:rPr>
          <w:rFonts w:ascii="Arial" w:cs="Arial" w:eastAsia="Arial" w:hAnsi="Arial"/>
          <w:sz w:val="18"/>
          <w:szCs w:val="18"/>
          <w:color w:val="auto"/>
        </w:rPr>
        <w:t>term strategy of conservatively deploying our capital to achieve above average rates of return, we intend to expand our retail presence in the geographic markets we now serve, particularly in the southern United States. Each retail center requires between $500,000 and $1,500,000 to acquire the location, situate an office, provide inventory, and provide the initial working capital. We expect to open 6 to 10 additional retail centers by the end of 2020.</w:t>
      </w:r>
    </w:p>
    <w:p>
      <w:pPr>
        <w:spacing w:after="0" w:line="165" w:lineRule="exact"/>
        <w:rPr>
          <w:rFonts w:ascii="Arial" w:cs="Arial" w:eastAsia="Arial" w:hAnsi="Arial"/>
          <w:sz w:val="18"/>
          <w:szCs w:val="18"/>
          <w:color w:val="auto"/>
        </w:rPr>
      </w:pPr>
    </w:p>
    <w:p>
      <w:pPr>
        <w:ind w:left="980" w:right="60" w:hanging="329"/>
        <w:spacing w:after="0" w:line="219" w:lineRule="exact"/>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also expect to provide financing solutions to a select group of our manufactured housing community</w:t>
      </w:r>
      <w:r>
        <w:rPr>
          <w:rFonts w:ascii="MS PGothic" w:cs="MS PGothic" w:eastAsia="MS PGothic" w:hAnsi="MS PGothic"/>
          <w:sz w:val="17"/>
          <w:szCs w:val="17"/>
          <w:color w:val="auto"/>
        </w:rPr>
        <w:t>‑</w:t>
      </w:r>
      <w:r>
        <w:rPr>
          <w:rFonts w:ascii="Arial" w:cs="Arial" w:eastAsia="Arial" w:hAnsi="Arial"/>
          <w:sz w:val="17"/>
          <w:szCs w:val="17"/>
          <w:color w:val="auto"/>
        </w:rPr>
        <w:t>owner customers in a manner that includes developing new sites for products in or near urban locations where there is a shortage of sites to place our products. These solutions will be structured to give us an attractive return on investment when coupled with the gross margin we expect to make on products specifically targeted for sale to these new manufactured housing communities.</w:t>
      </w:r>
    </w:p>
    <w:p>
      <w:pPr>
        <w:spacing w:after="0" w:line="164" w:lineRule="exact"/>
        <w:rPr>
          <w:rFonts w:ascii="Arial" w:cs="Arial" w:eastAsia="Arial" w:hAnsi="Arial"/>
          <w:sz w:val="17"/>
          <w:szCs w:val="17"/>
          <w:color w:val="auto"/>
        </w:rPr>
      </w:pPr>
    </w:p>
    <w:p>
      <w:pPr>
        <w:ind w:left="980" w:hanging="329"/>
        <w:spacing w:after="0" w:line="270"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Finally, our financial performance will be impacted by our ability to fulfill current orders for our manufactured homes from dealers and customers. Currently, our two Texas manufacturing facilities are operating at near peak capacity, with limited ability to increase the volume of homes produced at those plants. Our Georgia manufacturing facility has unutilized square footage available and with additional investment can add capacity to increase the number of homes that can be manufactured. We intend to increase production at the Georgia facility over time, particularly in response to orders increasingly being generated from new markets in Florida and the Carolinas. In order to maintain our growth, we will need to be able to continue to properly estimate anticipated future volumes when making commitments regarding the level of business that we will seek and accept, the mix of products that we intend to manufacture, the timing of production schedules and the levels and utilization of inventory, equipment and personnel.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the information set forth in the financial statements and the accompanying notes appearing elsewhere in this Form 10-Q.</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Comparison of Three Months ended June 30, 2019 and 2018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104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9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39,766</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38,188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1,578</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and MHP loans interest</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45,761</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sales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Selling, general administrative expenses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6,144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969</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Dealer incentive</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11,850.0 %</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7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11,502</w:t>
            </w: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9,494</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Miscellaneous, net</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511</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7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0"/>
        </w:trPr>
        <w:tc>
          <w:tcPr>
            <w:tcW w:w="3780" w:type="dxa"/>
            <w:vAlign w:val="bottom"/>
          </w:tcPr>
          <w:p>
            <w:pPr>
              <w:ind w:left="220"/>
              <w:spacing w:after="0"/>
              <w:rPr>
                <w:sz w:val="20"/>
                <w:szCs w:val="20"/>
                <w:color w:val="auto"/>
              </w:rPr>
            </w:pPr>
            <w:r>
              <w:rPr>
                <w:rFonts w:ascii="Arial" w:cs="Arial" w:eastAsia="Arial" w:hAnsi="Arial"/>
                <w:sz w:val="18"/>
                <w:szCs w:val="18"/>
                <w:color w:val="auto"/>
              </w:rPr>
              <w:t>Income before income tax expense</w:t>
            </w:r>
          </w:p>
        </w:tc>
        <w:tc>
          <w:tcPr>
            <w:tcW w:w="7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11,421</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8,934</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18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36.3 %</w:t>
            </w:r>
          </w:p>
        </w:tc>
        <w:tc>
          <w:tcPr>
            <w:tcW w:w="0" w:type="dxa"/>
            <w:vAlign w:val="bottom"/>
          </w:tcPr>
          <w:p>
            <w:pPr>
              <w:spacing w:after="0"/>
              <w:rPr>
                <w:sz w:val="1"/>
                <w:szCs w:val="1"/>
                <w:color w:val="auto"/>
              </w:rPr>
            </w:pPr>
          </w:p>
        </w:tc>
      </w:tr>
      <w:tr>
        <w:trPr>
          <w:trHeight w:val="217"/>
        </w:trPr>
        <w:tc>
          <w:tcPr>
            <w:tcW w:w="378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6,888</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6"/>
          <w:szCs w:val="16"/>
          <w:color w:val="auto"/>
        </w:rPr>
        <w:t>Product sales primarily consist of direct sales, commercial sales, consignment sales and retail store sales. Product sales increased $1.6 million, or 4.1%, during the three months ended June 30, 2019 as compared to the same period in 2018. This change was driven by an increase in commercial sales and retail stores sales offset by a decline in direct sales and consignment sales. Commercial sales increased $8.5 million to $17.6 million in 2019 from $9.1 million in 2018, and our company</w:t>
      </w:r>
      <w:r>
        <w:rPr>
          <w:rFonts w:ascii="MS PGothic" w:cs="MS PGothic" w:eastAsia="MS PGothic" w:hAnsi="MS PGothic"/>
          <w:sz w:val="16"/>
          <w:szCs w:val="16"/>
          <w:color w:val="auto"/>
        </w:rPr>
        <w:t>‑</w:t>
      </w:r>
      <w:r>
        <w:rPr>
          <w:rFonts w:ascii="Arial" w:cs="Arial" w:eastAsia="Arial" w:hAnsi="Arial"/>
          <w:sz w:val="16"/>
          <w:szCs w:val="16"/>
          <w:color w:val="auto"/>
        </w:rPr>
        <w:t>owned retail stores sales increased $0.5 million to $4.9 million in 2019 from $4.4 million in 2018. Other product sales increased $0.1 million to $1.1 million in 2019 from $1.0 million in 2018 and is primarily due to an increases in freight income. These increases were partially offset by a $5.4 million decrease in consignment sales to $ 10.6 million in 2019 from $16.0 million in 2018 and a $2.0 million decrease in direct sales to $5.6 million in 2019 from $7.6 million in 2018.</w:t>
      </w:r>
    </w:p>
    <w:p>
      <w:pPr>
        <w:spacing w:after="0" w:line="163"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Net revenue attributable to our factory</w:t>
      </w:r>
      <w:r>
        <w:rPr>
          <w:rFonts w:ascii="MS PGothic" w:cs="MS PGothic" w:eastAsia="MS PGothic" w:hAnsi="MS PGothic"/>
          <w:sz w:val="16"/>
          <w:szCs w:val="16"/>
          <w:color w:val="auto"/>
        </w:rPr>
        <w:t>‑</w:t>
      </w:r>
      <w:r>
        <w:rPr>
          <w:rFonts w:ascii="Arial" w:cs="Arial" w:eastAsia="Arial" w:hAnsi="Arial"/>
          <w:sz w:val="16"/>
          <w:szCs w:val="16"/>
          <w:color w:val="auto"/>
        </w:rPr>
        <w:t>built housing consisted of the following during the three months of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4"/>
          </w:tcPr>
          <w:p>
            <w:pPr>
              <w:jc w:val="center"/>
              <w:ind w:right="134"/>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3"/>
          </w:tcPr>
          <w:p>
            <w:pPr>
              <w:jc w:val="center"/>
              <w:ind w:left="400"/>
              <w:spacing w:after="0" w:line="149" w:lineRule="exact"/>
              <w:rPr>
                <w:sz w:val="20"/>
                <w:szCs w:val="20"/>
                <w:color w:val="auto"/>
              </w:rPr>
            </w:pPr>
            <w:r>
              <w:rPr>
                <w:rFonts w:ascii="Arial" w:cs="Arial" w:eastAsia="Arial" w:hAnsi="Arial"/>
                <w:sz w:val="14"/>
                <w:szCs w:val="14"/>
                <w:b w:val="1"/>
                <w:bCs w:val="1"/>
                <w:color w:val="auto"/>
                <w:w w:val="92"/>
              </w:rPr>
              <w:t>June 30,</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right="114"/>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6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8"/>
                <w:szCs w:val="18"/>
                <w:color w:val="auto"/>
              </w:rPr>
              <w:t>Products sold</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39,766</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38,188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1,578</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products sold</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Net revenue per product sold</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44,631</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40,843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3,788</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648"/>
        <w:spacing w:after="0" w:line="219" w:lineRule="exact"/>
        <w:rPr>
          <w:sz w:val="20"/>
          <w:szCs w:val="20"/>
          <w:color w:val="auto"/>
        </w:rPr>
      </w:pPr>
      <w:r>
        <w:rPr>
          <w:rFonts w:ascii="Arial" w:cs="Arial" w:eastAsia="Arial" w:hAnsi="Arial"/>
          <w:sz w:val="18"/>
          <w:szCs w:val="18"/>
          <w:color w:val="auto"/>
        </w:rPr>
        <w:t>For the three months ended June 30, 2019, our net revenue per product sold increased because of increased sales to manufactured home communities and increased sales through our company</w:t>
      </w:r>
      <w:r>
        <w:rPr>
          <w:rFonts w:ascii="MS PGothic" w:cs="MS PGothic" w:eastAsia="MS PGothic" w:hAnsi="MS PGothic"/>
          <w:sz w:val="18"/>
          <w:szCs w:val="18"/>
          <w:color w:val="auto"/>
        </w:rPr>
        <w:t>‑</w:t>
      </w:r>
      <w:r>
        <w:rPr>
          <w:rFonts w:ascii="Arial" w:cs="Arial" w:eastAsia="Arial" w:hAnsi="Arial"/>
          <w:sz w:val="18"/>
          <w:szCs w:val="18"/>
          <w:color w:val="auto"/>
        </w:rPr>
        <w:t>owned stores, both of which carry higher margins than our consignment sales and our direct sales. In addition, there were multiple price increases in the fourth quarter of 2018 to our product prices due to rising material and labor costs, which resulted in higher home sales prices and more revenue generated per home sold.</w:t>
      </w:r>
    </w:p>
    <w:p>
      <w:pPr>
        <w:spacing w:after="0" w:line="165"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Consumer and MHP loans interest income grew $0.6 million, or 13.5%, during the three months ended June 30, 2019 as compared to the same period in 2018 and is related to our increase in outstanding MHP Note portfolio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consumer loan portfolio. Between June 30, 2019 and June 30, 2018 our consumer loan portfolio increased by $10.5 million and the MHP Note portfolio increased by $15.9 million.</w:t>
      </w:r>
    </w:p>
    <w:p>
      <w:pPr>
        <w:spacing w:after="0" w:line="14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Other revenue primarily consists of service fees and consignment fees. Other revenue decreased $0.4 million or 32.8% during the three months ended June 30, 2019 as compared to 2018 due to a $0.2 million decrease in service fees and a $0.2 decrease in other income.</w:t>
      </w:r>
    </w:p>
    <w:p>
      <w:pPr>
        <w:spacing w:after="0" w:line="141" w:lineRule="exact"/>
        <w:rPr>
          <w:sz w:val="20"/>
          <w:szCs w:val="20"/>
          <w:color w:val="auto"/>
        </w:rPr>
      </w:pPr>
    </w:p>
    <w:p>
      <w:pPr>
        <w:ind w:right="740" w:firstLine="648"/>
        <w:spacing w:after="0" w:line="264" w:lineRule="auto"/>
        <w:rPr>
          <w:sz w:val="20"/>
          <w:szCs w:val="20"/>
          <w:color w:val="auto"/>
        </w:rPr>
      </w:pPr>
      <w:r>
        <w:rPr>
          <w:rFonts w:ascii="Arial" w:cs="Arial" w:eastAsia="Arial" w:hAnsi="Arial"/>
          <w:sz w:val="18"/>
          <w:szCs w:val="18"/>
          <w:color w:val="auto"/>
        </w:rPr>
        <w:t>The cost of product sales decreased $1.5 million, or 5.0%, during the three months ended June 30, 2019 as compared to the same period in 2018. The reduction in costs is primarily related to the declining number of home units sold in 2019.</w:t>
      </w:r>
    </w:p>
    <w:p>
      <w:pPr>
        <w:spacing w:after="0" w:line="141" w:lineRule="exact"/>
        <w:rPr>
          <w:sz w:val="20"/>
          <w:szCs w:val="20"/>
          <w:color w:val="auto"/>
        </w:rPr>
      </w:pPr>
    </w:p>
    <w:p>
      <w:pPr>
        <w:ind w:right="80" w:firstLine="713"/>
        <w:spacing w:after="0" w:line="220" w:lineRule="exact"/>
        <w:rPr>
          <w:sz w:val="20"/>
          <w:szCs w:val="20"/>
          <w:color w:val="auto"/>
        </w:rPr>
      </w:pPr>
      <w:r>
        <w:rPr>
          <w:rFonts w:ascii="Arial" w:cs="Arial" w:eastAsia="Arial" w:hAnsi="Arial"/>
          <w:sz w:val="16"/>
          <w:szCs w:val="16"/>
          <w:color w:val="auto"/>
        </w:rPr>
        <w:t>Selling, general and administrative expenses increased $1.0 million, or 18.7%, during the three months ended June 30, 2019 as compared to the same period in 2018. This increase was primarily due to a $0.7 million increase related to the operations of our company</w:t>
      </w:r>
      <w:r>
        <w:rPr>
          <w:rFonts w:ascii="MS PGothic" w:cs="MS PGothic" w:eastAsia="MS PGothic" w:hAnsi="MS PGothic"/>
          <w:sz w:val="16"/>
          <w:szCs w:val="16"/>
          <w:color w:val="auto"/>
        </w:rPr>
        <w:t>‑</w:t>
      </w:r>
      <w:r>
        <w:rPr>
          <w:rFonts w:ascii="Arial" w:cs="Arial" w:eastAsia="Arial" w:hAnsi="Arial"/>
          <w:sz w:val="16"/>
          <w:szCs w:val="16"/>
          <w:color w:val="auto"/>
        </w:rPr>
        <w:t>owned retail lots, a $0.1 million increase in loan loss reserve and a $0.2 million increase in warranty costs. In addition, dealer incentive expense increased $0.2 million in 2019 as compared to 2018.</w:t>
      </w:r>
    </w:p>
    <w:p>
      <w:pPr>
        <w:spacing w:after="0" w:line="176" w:lineRule="exact"/>
        <w:rPr>
          <w:sz w:val="20"/>
          <w:szCs w:val="20"/>
          <w:color w:val="auto"/>
        </w:rPr>
      </w:pPr>
    </w:p>
    <w:p>
      <w:pPr>
        <w:ind w:right="180" w:firstLine="713"/>
        <w:spacing w:after="0" w:line="259" w:lineRule="auto"/>
        <w:rPr>
          <w:sz w:val="20"/>
          <w:szCs w:val="20"/>
          <w:color w:val="auto"/>
        </w:rPr>
      </w:pPr>
      <w:r>
        <w:rPr>
          <w:rFonts w:ascii="Arial" w:cs="Arial" w:eastAsia="Arial" w:hAnsi="Arial"/>
          <w:sz w:val="18"/>
          <w:szCs w:val="18"/>
          <w:color w:val="auto"/>
        </w:rPr>
        <w:t>Other income (expense), net was a loss of $0.1 million during the three months ended June 30, 2019 as compared to a loss of $0.6 million in 2018. This decline was primarily due to a decrease of $46.2 million in our average borrowings outstanding on our lines of credit after the completion of our IPO. Following the completion of our IPO, we paid off over $40.0 million borrowed against our lines of credit.</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Income tax expense during the three months ended June 30, 2019 was $2.8 million compared to $2.0 million for the same period in 2018. The effective tax rate for the three months ended June 30, 2019 was 24.4% and differs from the federal statutory rate of 21% primarily due to state income taxes. The effective tax rate for the three months ended June 30, 2018 was 22.9% and differs from the federal statutory rate of 21% primarily due to state income taxes and other permanent differences between book and tax basis.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Comparison of Six Months ended June 30, 2019 and 2018 (in thousands)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108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71,316</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75,602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(4,286)</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and MHP loans interest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7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sales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Selling, general administrative expenses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12,635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2,661</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Dealer incentive</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33.2 %</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7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20,871</w:t>
            </w:r>
          </w:p>
        </w:tc>
        <w:tc>
          <w:tcPr>
            <w:tcW w:w="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19,398</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Miscellaneous, net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961</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7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0"/>
        </w:trPr>
        <w:tc>
          <w:tcPr>
            <w:tcW w:w="3780" w:type="dxa"/>
            <w:vAlign w:val="bottom"/>
          </w:tcPr>
          <w:p>
            <w:pPr>
              <w:ind w:left="220"/>
              <w:spacing w:after="0"/>
              <w:rPr>
                <w:sz w:val="20"/>
                <w:szCs w:val="20"/>
                <w:color w:val="auto"/>
              </w:rPr>
            </w:pPr>
            <w:r>
              <w:rPr>
                <w:rFonts w:ascii="Arial" w:cs="Arial" w:eastAsia="Arial" w:hAnsi="Arial"/>
                <w:sz w:val="18"/>
                <w:szCs w:val="18"/>
                <w:color w:val="auto"/>
              </w:rPr>
              <w:t>Income before income tax expense</w:t>
            </w:r>
          </w:p>
        </w:tc>
        <w:tc>
          <w:tcPr>
            <w:tcW w:w="7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20,642</w:t>
            </w: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18,284</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1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7"/>
        </w:trPr>
        <w:tc>
          <w:tcPr>
            <w:tcW w:w="3780" w:type="dxa"/>
            <w:vAlign w:val="bottom"/>
          </w:tcPr>
          <w:p>
            <w:pPr>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15,846</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3,598</w:t>
            </w: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Product sales decreased $4.3 million, or 5.7%, during the six months ended June 30, 2019 as compared to the same period in 2018. This change was driven by a 10.1% decrease in volume of homes sold. The first quarter of 2018</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included $8.9 million of sales as a subcontractor operating under a contract with FEMA to provide housing for victims of Hurricane Harvey. Direct sales decreased $10.2 million to $10.0 million in 2019 from $20.2 million in 2018 primarily due to the nonrecurring sales to FEMA. Commercial sales increased $13.9 million to $30.1 million in 2019 from $16.2 million in 2018, and our company</w:t>
      </w:r>
      <w:r>
        <w:rPr>
          <w:rFonts w:ascii="MS PGothic" w:cs="MS PGothic" w:eastAsia="MS PGothic" w:hAnsi="MS PGothic"/>
          <w:sz w:val="17"/>
          <w:szCs w:val="17"/>
          <w:color w:val="auto"/>
        </w:rPr>
        <w:t>‑</w:t>
      </w:r>
      <w:r>
        <w:rPr>
          <w:rFonts w:ascii="Arial" w:cs="Arial" w:eastAsia="Arial" w:hAnsi="Arial"/>
          <w:sz w:val="17"/>
          <w:szCs w:val="17"/>
          <w:color w:val="auto"/>
        </w:rPr>
        <w:t>owned retail stores sales increased $1.3 million to $8.3 million in 2019 from $7.0 million in 2018. These increases were offset by a net $8.1 million decrease in consignment sales to $20.7 million from $28.8 million in 2018 . Other product sales decreased $1.2 million to $2.3 million in 2019 from $3.5 million in 2018 and is primarily due to a decline in direct freight related to the 2018 FEMA sales.</w:t>
      </w:r>
    </w:p>
    <w:p>
      <w:pPr>
        <w:spacing w:after="0" w:line="166"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Net revenue attributable to our factory</w:t>
      </w:r>
      <w:r>
        <w:rPr>
          <w:rFonts w:ascii="MS PGothic" w:cs="MS PGothic" w:eastAsia="MS PGothic" w:hAnsi="MS PGothic"/>
          <w:sz w:val="16"/>
          <w:szCs w:val="16"/>
          <w:color w:val="auto"/>
        </w:rPr>
        <w:t>‑</w:t>
      </w:r>
      <w:r>
        <w:rPr>
          <w:rFonts w:ascii="Arial" w:cs="Arial" w:eastAsia="Arial" w:hAnsi="Arial"/>
          <w:sz w:val="16"/>
          <w:szCs w:val="16"/>
          <w:color w:val="auto"/>
        </w:rPr>
        <w:t>built housing consisted of the following during the six months of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jc w:val="center"/>
              <w:ind w:right="134"/>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jc w:val="center"/>
              <w:ind w:left="300"/>
              <w:spacing w:after="0" w:line="149" w:lineRule="exact"/>
              <w:rPr>
                <w:sz w:val="20"/>
                <w:szCs w:val="20"/>
                <w:color w:val="auto"/>
              </w:rPr>
            </w:pPr>
            <w:r>
              <w:rPr>
                <w:rFonts w:ascii="Arial" w:cs="Arial" w:eastAsia="Arial" w:hAnsi="Arial"/>
                <w:sz w:val="14"/>
                <w:szCs w:val="14"/>
                <w:b w:val="1"/>
                <w:bCs w:val="1"/>
                <w:color w:val="auto"/>
                <w:w w:val="89"/>
              </w:rPr>
              <w:t>June 30,</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340"/>
              <w:spacing w:after="0"/>
              <w:rPr>
                <w:sz w:val="20"/>
                <w:szCs w:val="20"/>
                <w:color w:val="auto"/>
              </w:rPr>
            </w:pPr>
            <w:r>
              <w:rPr>
                <w:rFonts w:ascii="Arial" w:cs="Arial" w:eastAsia="Arial" w:hAnsi="Arial"/>
                <w:sz w:val="14"/>
                <w:szCs w:val="14"/>
                <w:b w:val="1"/>
                <w:bCs w:val="1"/>
                <w:color w:val="auto"/>
                <w:w w:val="89"/>
              </w:rPr>
              <w:t>(in thousands)</w:t>
            </w:r>
          </w:p>
        </w:tc>
        <w:tc>
          <w:tcPr>
            <w:tcW w:w="640" w:type="dxa"/>
            <w:vAlign w:val="bottom"/>
            <w:tcBorders>
              <w:bottom w:val="single" w:sz="8" w:color="auto"/>
            </w:tcBorders>
          </w:tcPr>
          <w:p>
            <w:pPr>
              <w:spacing w:after="0"/>
              <w:rPr>
                <w:sz w:val="14"/>
                <w:szCs w:val="14"/>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6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w w:val="89"/>
              </w:rPr>
              <w:t>2018</w:t>
            </w:r>
          </w:p>
        </w:tc>
        <w:tc>
          <w:tcPr>
            <w:tcW w:w="4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20"/>
              <w:spacing w:after="0"/>
              <w:rPr>
                <w:sz w:val="20"/>
                <w:szCs w:val="20"/>
                <w:color w:val="auto"/>
              </w:rPr>
            </w:pPr>
            <w:r>
              <w:rPr>
                <w:rFonts w:ascii="Arial" w:cs="Arial" w:eastAsia="Arial" w:hAnsi="Arial"/>
                <w:sz w:val="18"/>
                <w:szCs w:val="18"/>
                <w:color w:val="auto"/>
              </w:rPr>
              <w:t>Products sold</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71,316</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75,602</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(4,286)</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products sold</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Net revenue per product sold</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43,013</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40,977</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2,036</w:t>
            </w:r>
          </w:p>
        </w:tc>
        <w:tc>
          <w:tcPr>
            <w:tcW w:w="1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bl>
    <w:p>
      <w:pPr>
        <w:spacing w:after="0" w:line="363" w:lineRule="exact"/>
        <w:rPr>
          <w:sz w:val="20"/>
          <w:szCs w:val="20"/>
          <w:color w:val="auto"/>
        </w:rPr>
      </w:pPr>
    </w:p>
    <w:p>
      <w:pPr>
        <w:ind w:right="100" w:firstLine="648"/>
        <w:spacing w:after="0" w:line="219" w:lineRule="exact"/>
        <w:rPr>
          <w:sz w:val="20"/>
          <w:szCs w:val="20"/>
          <w:color w:val="auto"/>
        </w:rPr>
      </w:pPr>
      <w:r>
        <w:rPr>
          <w:rFonts w:ascii="Arial" w:cs="Arial" w:eastAsia="Arial" w:hAnsi="Arial"/>
          <w:sz w:val="18"/>
          <w:szCs w:val="18"/>
          <w:color w:val="auto"/>
        </w:rPr>
        <w:t>For the six months ended June 30, 2019, our net revenue per product sold increased because of increased sales to manufactured home communities and increased sales through our company</w:t>
      </w:r>
      <w:r>
        <w:rPr>
          <w:rFonts w:ascii="MS PGothic" w:cs="MS PGothic" w:eastAsia="MS PGothic" w:hAnsi="MS PGothic"/>
          <w:sz w:val="18"/>
          <w:szCs w:val="18"/>
          <w:color w:val="auto"/>
        </w:rPr>
        <w:t>‑</w:t>
      </w:r>
      <w:r>
        <w:rPr>
          <w:rFonts w:ascii="Arial" w:cs="Arial" w:eastAsia="Arial" w:hAnsi="Arial"/>
          <w:sz w:val="18"/>
          <w:szCs w:val="18"/>
          <w:color w:val="auto"/>
        </w:rPr>
        <w:t>owned stores, both which carry higher margins than our consignment sales and our direct sales. In addition, there were multiple price increases in the fourth quarter of 2018 to our product prices due to rising material and labor costs, which resulted in higher home sales prices and more revenue generated per home sold.</w:t>
      </w:r>
    </w:p>
    <w:p>
      <w:pPr>
        <w:spacing w:after="0" w:line="16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Consumer and MHP loans interest income grew $1.8 million, or 19.6%, during the six months ended June 30, 2019 as compared to the same period in 2018 and is related to our increase in outstanding MHP Note portfolio and consumer loan portfolio. Between June 30, 2019 and June 30, 2018 our consumer loan portfolio increased by $10.5 million and the MHP Note portfolio increased by $15.9 million.</w:t>
      </w:r>
    </w:p>
    <w:p>
      <w:pPr>
        <w:spacing w:after="0" w:line="16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Other revenue primarily consists of service fees and consignment fees. Other revenue decreased $0.4 million or 19.8% during the six months ended June 30, 2019 as compared to the same period in 2018 due to a $0.2 million decrease in other income, a $0.1 million decrease in setup and service fees and a $0.1 decrease in consignment fees.</w:t>
      </w:r>
    </w:p>
    <w:p>
      <w:pPr>
        <w:spacing w:after="0" w:line="1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cost of product sales decreased $7.2 million, or 12.7%, during the six months ended June 30, 2019 as compared to the same period in 2018. The reduction in costs is primarily related to the declining number of home units sold in 2019 including the decline in FEMA sales.</w:t>
      </w:r>
    </w:p>
    <w:p>
      <w:pPr>
        <w:spacing w:after="0" w:line="141" w:lineRule="exact"/>
        <w:rPr>
          <w:sz w:val="20"/>
          <w:szCs w:val="20"/>
          <w:color w:val="auto"/>
        </w:rPr>
      </w:pPr>
    </w:p>
    <w:p>
      <w:pPr>
        <w:ind w:right="20" w:firstLine="713"/>
        <w:spacing w:after="0" w:line="219" w:lineRule="exact"/>
        <w:rPr>
          <w:sz w:val="20"/>
          <w:szCs w:val="20"/>
          <w:color w:val="auto"/>
        </w:rPr>
      </w:pPr>
      <w:r>
        <w:rPr>
          <w:rFonts w:ascii="Arial" w:cs="Arial" w:eastAsia="Arial" w:hAnsi="Arial"/>
          <w:sz w:val="17"/>
          <w:szCs w:val="17"/>
          <w:color w:val="auto"/>
        </w:rPr>
        <w:t>Selling, general and administrative expenses increased $2.7 million, or 26.7%, during the six months ended June 30, 2019 as compared to the same period in 2018. This increase was primarily due to a $1.2 million increase in salaries and incentive costs related to our operations as a public company, a $1.2 million increase related to the operations of our company</w:t>
      </w:r>
      <w:r>
        <w:rPr>
          <w:rFonts w:ascii="MS PGothic" w:cs="MS PGothic" w:eastAsia="MS PGothic" w:hAnsi="MS PGothic"/>
          <w:sz w:val="17"/>
          <w:szCs w:val="17"/>
          <w:color w:val="auto"/>
        </w:rPr>
        <w:t>‑</w:t>
      </w:r>
      <w:r>
        <w:rPr>
          <w:rFonts w:ascii="Arial" w:cs="Arial" w:eastAsia="Arial" w:hAnsi="Arial"/>
          <w:sz w:val="17"/>
          <w:szCs w:val="17"/>
          <w:color w:val="auto"/>
        </w:rPr>
        <w:t>owned retail lots, and a $0.3 million increase in advertisng and promotions. These increases were partially offset by a $0.5 million decrease in warranty costs related to the decline in product sales to FEMA. In addition, dealer incentive expense increased $0.1 million, or 33.2% in 2019 as compared to 2018.</w:t>
      </w:r>
    </w:p>
    <w:p>
      <w:pPr>
        <w:spacing w:after="0" w:line="176" w:lineRule="exact"/>
        <w:rPr>
          <w:sz w:val="20"/>
          <w:szCs w:val="20"/>
          <w:color w:val="auto"/>
        </w:rPr>
      </w:pPr>
    </w:p>
    <w:p>
      <w:pPr>
        <w:ind w:right="20" w:firstLine="713"/>
        <w:spacing w:after="0" w:line="259" w:lineRule="auto"/>
        <w:rPr>
          <w:sz w:val="20"/>
          <w:szCs w:val="20"/>
          <w:color w:val="auto"/>
        </w:rPr>
      </w:pPr>
      <w:r>
        <w:rPr>
          <w:rFonts w:ascii="Arial" w:cs="Arial" w:eastAsia="Arial" w:hAnsi="Arial"/>
          <w:sz w:val="18"/>
          <w:szCs w:val="18"/>
          <w:color w:val="auto"/>
        </w:rPr>
        <w:t>Other income (expense), net was a loss of $0.2 million during the six months ended June 30, 2019 as compared to a loss of $1.1 million in 2018. This decline was primarily due to a decrease of $44.9 million in our average borrowings outstanding on our lines of credit after the completion of our IPO. Following the completion of our IPO, we paid off over $40.0 million borrowed against our lines of credit.</w:t>
      </w:r>
    </w:p>
    <w:p>
      <w:pPr>
        <w:spacing w:after="0" w:line="146" w:lineRule="exact"/>
        <w:rPr>
          <w:sz w:val="20"/>
          <w:szCs w:val="20"/>
          <w:color w:val="auto"/>
        </w:rPr>
      </w:pPr>
    </w:p>
    <w:p>
      <w:pPr>
        <w:jc w:val="both"/>
        <w:ind w:right="160" w:firstLine="648"/>
        <w:spacing w:after="0" w:line="302" w:lineRule="auto"/>
        <w:rPr>
          <w:sz w:val="20"/>
          <w:szCs w:val="20"/>
          <w:color w:val="auto"/>
        </w:rPr>
      </w:pPr>
      <w:r>
        <w:rPr>
          <w:rFonts w:ascii="Arial" w:cs="Arial" w:eastAsia="Arial" w:hAnsi="Arial"/>
          <w:sz w:val="16"/>
          <w:szCs w:val="16"/>
          <w:color w:val="auto"/>
        </w:rPr>
        <w:t>Income tax expense during the six months ended June 30, 2019 was $4.8 million compared to $6.0 million for the same period in 2018. The effective tax rate for the six months ended June 30, 2019 was 23.2% and differs from the federal statutory rate of 21% primarily due to state income taxes. The effective tax rate for the six months ended June 30, 2018 was 33.0% and differs from the federal statutory rate of 21% due to recognition of a deferred tax expense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the corporate reorganization, state income taxes and other permanent differences between book and tax basis.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consider all cash and highly liquid investments with an original maturity of three months or less to be cash equivalents. We maintain cash balances in bank accounts that may, at times, exceed federally insured limits. We have not incurred any losses from such accounts and management considers the risk of loss to be minimal. We believe that cash and cash equivalents at June 30, 2019, together with cash flow from operations, will be sufficient to fund our operations and provide for growth for the next 12 to 18 months and into the foreseeable future. As of June 30, 2019, we had approximately $2.4 million in cash and cash equivalents, compared to $2.6 million as of December 31, 2018. In January 2019, we received gross proceeds of $7.2 million from the exercise of the underwriters’ option to purchase additional shares to cover over-allotments in connection with the IPO. These proceeds were primarily used for payments to reduce our borrowings under the lines of credit.</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63"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Six Months Ended</w:t>
      </w:r>
    </w:p>
    <w:p>
      <w:pPr>
        <w:ind w:left="7360"/>
        <w:spacing w:after="0" w:line="226" w:lineRule="auto"/>
        <w:rPr>
          <w:sz w:val="20"/>
          <w:szCs w:val="20"/>
          <w:color w:val="auto"/>
        </w:rPr>
      </w:pPr>
      <w:r>
        <w:rPr>
          <w:rFonts w:ascii="Arial" w:cs="Arial" w:eastAsia="Arial" w:hAnsi="Arial"/>
          <w:sz w:val="14"/>
          <w:szCs w:val="14"/>
          <w:b w:val="1"/>
          <w:bCs w:val="1"/>
          <w:color w:val="auto"/>
        </w:rPr>
        <w:t>June 30,</w:t>
      </w:r>
    </w:p>
    <w:p>
      <w:pPr>
        <w:ind w:left="7200"/>
        <w:spacing w:after="0" w:line="232" w:lineRule="auto"/>
        <w:rPr>
          <w:sz w:val="20"/>
          <w:szCs w:val="20"/>
          <w:color w:val="auto"/>
        </w:rPr>
      </w:pPr>
      <w:r>
        <w:rPr>
          <w:rFonts w:ascii="Arial" w:cs="Arial" w:eastAsia="Arial" w:hAnsi="Arial"/>
          <w:sz w:val="14"/>
          <w:szCs w:val="14"/>
          <w:b w:val="1"/>
          <w:bCs w:val="1"/>
          <w:color w:val="auto"/>
        </w:rPr>
        <w:t>(in thousands)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(2,200)</w:t>
            </w:r>
          </w:p>
        </w:tc>
        <w:tc>
          <w:tcPr>
            <w:tcW w:w="240" w:type="dxa"/>
            <w:vAlign w:val="bottom"/>
          </w:tcPr>
          <w:p>
            <w:pPr>
              <w:spacing w:after="0"/>
              <w:rPr>
                <w:sz w:val="18"/>
                <w:szCs w:val="18"/>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300" w:type="dxa"/>
            <w:vAlign w:val="bottom"/>
          </w:tcPr>
          <w:p>
            <w:pPr>
              <w:spacing w:after="0"/>
              <w:rPr>
                <w:sz w:val="18"/>
                <w:szCs w:val="18"/>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2,422</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Comparison of Cash Flow Activities from June 30, 2019 to June 30, 2018</w:t>
      </w:r>
    </w:p>
    <w:p>
      <w:pPr>
        <w:spacing w:after="0" w:line="18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Net cash provided by operating activities increased $0.4 million during the six months ended June 30, 2019, compared to the comparable period in 2018. The increase in operating cash flows was primarily due to cash generated by operating income before non-cash adjustments, a decrease in inventory purchases and an increase in accounts payable and accrued liabilities, primarily as a result of an increase in net working capital used for additional loan originations associated with higher demand for home sales to MHPs and a decrease in cash collections on accounts receivable. These increases in operating cash flows were partially offset by an increase in net working capital used for additional loan originations associated with higher demand for home sales to MHPs and consumers, a decrease in customer deposits and a decrease in cash collections on accounts receivable.</w:t>
      </w:r>
    </w:p>
    <w:p>
      <w:pPr>
        <w:spacing w:after="0" w:line="1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Net cash used in investing activities of $2.2 million in 2019 was primarily attributable to $1.0 million used for the acquisition of land for development, $0.1 million used to purchase consumer loans and $1.5 million used for loans to third parties for the development of manufactured housing parks. In addition, we had capital expenditures of $0.2 million for property plant and equipment and $0.1 million for transportation equipment. These were offset by collections of $0.5 million of loans we made to third parties for the development of manufactured housing parks and collections of $0.4 million from our purchased consumer loans.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financing activities of $1.3 million in 2019 was primarily attributable to net payments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$4.6 million on our lines of credit, $3.1 million for purchase of treasury stock and $0.5 million of payments on our notes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payable, offset by net proceeds of $6.7 million from the issuance of our common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Indebtedness</w:t>
      </w:r>
    </w:p>
    <w:p>
      <w:pPr>
        <w:spacing w:after="0" w:line="194" w:lineRule="exact"/>
        <w:rPr>
          <w:sz w:val="20"/>
          <w:szCs w:val="20"/>
          <w:color w:val="auto"/>
        </w:rPr>
      </w:pPr>
    </w:p>
    <w:p>
      <w:pPr>
        <w:ind w:right="80" w:firstLine="648"/>
        <w:spacing w:after="0" w:line="313" w:lineRule="auto"/>
        <w:rPr>
          <w:sz w:val="20"/>
          <w:szCs w:val="20"/>
          <w:color w:val="auto"/>
        </w:rPr>
      </w:pPr>
      <w:r>
        <w:rPr>
          <w:rFonts w:ascii="Arial" w:cs="Arial" w:eastAsia="Arial" w:hAnsi="Arial"/>
          <w:sz w:val="17"/>
          <w:szCs w:val="17"/>
          <w:b w:val="1"/>
          <w:bCs w:val="1"/>
          <w:color w:val="auto"/>
        </w:rPr>
        <w:t xml:space="preserve">Capital One Revolver. </w:t>
      </w:r>
      <w:r>
        <w:rPr>
          <w:rFonts w:ascii="Arial" w:cs="Arial" w:eastAsia="Arial" w:hAnsi="Arial"/>
          <w:sz w:val="17"/>
          <w:szCs w:val="17"/>
          <w:color w:val="auto"/>
        </w:rPr>
        <w:t>We have a revolving line of credit (“Revolver 1”) with Capital One, N.A. with a maximum</w:t>
      </w:r>
      <w:r>
        <w:rPr>
          <w:rFonts w:ascii="Arial" w:cs="Arial" w:eastAsia="Arial" w:hAnsi="Arial"/>
          <w:sz w:val="17"/>
          <w:szCs w:val="17"/>
          <w:b w:val="1"/>
          <w:bCs w:val="1"/>
          <w:color w:val="auto"/>
        </w:rPr>
        <w:t xml:space="preserve"> </w:t>
      </w:r>
      <w:r>
        <w:rPr>
          <w:rFonts w:ascii="Arial" w:cs="Arial" w:eastAsia="Arial" w:hAnsi="Arial"/>
          <w:sz w:val="17"/>
          <w:szCs w:val="17"/>
          <w:color w:val="auto"/>
        </w:rPr>
        <w:t>credit limit of $45,000,000 as of June 30, 2019. On May 12, 2017, Revolver 1 was amended to extend the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80"/>
        <w:spacing w:after="0" w:line="218" w:lineRule="exact"/>
        <w:rPr>
          <w:sz w:val="20"/>
          <w:szCs w:val="20"/>
          <w:color w:val="auto"/>
        </w:rPr>
      </w:pPr>
      <w:r>
        <w:rPr>
          <w:rFonts w:ascii="Arial" w:cs="Arial" w:eastAsia="Arial" w:hAnsi="Arial"/>
          <w:sz w:val="17"/>
          <w:szCs w:val="17"/>
          <w:color w:val="auto"/>
        </w:rPr>
        <w:t>maturity date to May 11, 2020 and increase the maximum borrowing availability under Revolver 1 to $45,000,000. For the six months ended June 30, 2019 and for the year ended December 31, 2018, Revolver 1 accrued interest at one month LIBOR plus 2.40%. The interest rates in effect as of June 30, 2019 and December 31, 2018 were 4.83% and 4.78%, respectively. Amounts available under Revolver 1 are subject to a formula based on eligible consumer loans and MHP Notes and are secured by all accounts receivable and a percentage of the consumer loans receivable and MHP Notes. The amount of available credit under Revolver 1 was $37,876,000 and $41,321,000 at June 30, 2019 and December 31, 2018, respectively. For the six months ended June 30, 2019 and 2018, interest expense was $139,000 and $858,000, respectively. The outstanding balance as of June 30, 2019 and December 31, 2018 was $7,124,000 and $3,679,000, respectively. We were in compliance with all financial covenants as of June 30, 2019, including that we maintain a tangible net worth of at least $90,000,000 and that we maintain a ratio of debt to EBITDA of 4</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1, or less.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Veritex Community Bank Revolver. </w:t>
      </w:r>
      <w:r>
        <w:rPr>
          <w:rFonts w:ascii="Arial" w:cs="Arial" w:eastAsia="Arial" w:hAnsi="Arial"/>
          <w:sz w:val="16"/>
          <w:szCs w:val="16"/>
          <w:color w:val="auto"/>
        </w:rPr>
        <w:t>In April 2016, we entered into an agreement with Veritex Community Bank</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to secure an additional revolving line of credit of $15,000,000 (“Revolver 2”). Revolver 2 accrues interest at one month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LIBOR plus 2.50% and all unpaid principal and interest is due at maturity on April 4, 2021. Revolver 2 is secured by 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finished goods inventory excluding repossessed homes. Amounts available under Revolver 2 are subject to a formula based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eligible inventory. The interest rates in effect as of June 30, 2019 and December 31, 2018 was 4.94% and 4.85%,</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respectively. On May 12, 2017, we entered into an agreement to increase the maximum borrowing availability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Revolver 2 to $20,000,000. On October 15, 2018, Revolver 2 was amended to extend the maturity date from April 4, 2019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April 4, 2021. The amount of available credit under Revolver 2 was $17,999,000 and $10,000,000 at June 30, 2019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respectively. For the six months ended June 30, 2019 and 2018, interest expense was $86,000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$323,000, respectively. The outstanding balance as of June 30, 2019 and December 31, 2018 was $2,001,000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$10,000,000, respectively. We were in compliance with all financial covenants as of June 30, 2019, including that we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maintain a tangible net worth of at least $80,000,000.</w:t>
      </w:r>
    </w:p>
    <w:p>
      <w:pPr>
        <w:spacing w:after="0" w:line="166" w:lineRule="exact"/>
        <w:rPr>
          <w:sz w:val="20"/>
          <w:szCs w:val="20"/>
          <w:color w:val="auto"/>
        </w:rPr>
      </w:pPr>
    </w:p>
    <w:p>
      <w:pPr>
        <w:ind w:right="60" w:firstLine="648"/>
        <w:spacing w:after="0" w:line="292" w:lineRule="auto"/>
        <w:rPr>
          <w:sz w:val="20"/>
          <w:szCs w:val="20"/>
          <w:color w:val="auto"/>
        </w:rPr>
      </w:pPr>
      <w:r>
        <w:rPr>
          <w:rFonts w:ascii="Arial" w:cs="Arial" w:eastAsia="Arial" w:hAnsi="Arial"/>
          <w:sz w:val="16"/>
          <w:szCs w:val="16"/>
          <w:b w:val="1"/>
          <w:bCs w:val="1"/>
          <w:color w:val="auto"/>
        </w:rPr>
        <w:t xml:space="preserve">Notes Payable. </w:t>
      </w:r>
      <w:r>
        <w:rPr>
          <w:rFonts w:ascii="Arial" w:cs="Arial" w:eastAsia="Arial" w:hAnsi="Arial"/>
          <w:sz w:val="16"/>
          <w:szCs w:val="16"/>
          <w:color w:val="auto"/>
        </w:rPr>
        <w:t>We have a promissory note with Woodhaven Bank. The amount due under the promissory note</w:t>
      </w:r>
      <w:r>
        <w:rPr>
          <w:rFonts w:ascii="Arial" w:cs="Arial" w:eastAsia="Arial" w:hAnsi="Arial"/>
          <w:sz w:val="16"/>
          <w:szCs w:val="16"/>
          <w:b w:val="1"/>
          <w:bCs w:val="1"/>
          <w:color w:val="auto"/>
        </w:rPr>
        <w:t xml:space="preserve"> </w:t>
      </w:r>
      <w:r>
        <w:rPr>
          <w:rFonts w:ascii="Arial" w:cs="Arial" w:eastAsia="Arial" w:hAnsi="Arial"/>
          <w:sz w:val="16"/>
          <w:szCs w:val="16"/>
          <w:color w:val="auto"/>
        </w:rPr>
        <w:t>accrued interest at an annual rate of 3.85% through February 2, 2017 and then at the prime interest rate plus 0.60% through maturity on April 7, 2018. The loan was subsequently renewed through April 7, 2033. The promissory note calls for monthly principal and interest payments of $30,000 with a final payment due at maturity. The interest rates in effect as of June 30, 2019 and December 31, 2018 were 4.25% and 4.25%, respectively. The note is secured by certain of our real property. Interest expense was $76,000 and $81,000 for the six months ended June 30, 2019 and 2018, respectively. The balance outstanding on the note payable at June 30, 2019 and December 31, 2018 was $3,461,000 and $3,552,000, respectively.</w:t>
      </w:r>
    </w:p>
    <w:p>
      <w:pPr>
        <w:spacing w:after="0" w:line="125" w:lineRule="exact"/>
        <w:rPr>
          <w:sz w:val="20"/>
          <w:szCs w:val="20"/>
          <w:color w:val="auto"/>
        </w:rPr>
      </w:pPr>
    </w:p>
    <w:p>
      <w:pPr>
        <w:ind w:right="160" w:firstLine="713"/>
        <w:spacing w:after="0" w:line="297" w:lineRule="auto"/>
        <w:rPr>
          <w:sz w:val="20"/>
          <w:szCs w:val="20"/>
          <w:color w:val="auto"/>
        </w:rPr>
      </w:pPr>
      <w:r>
        <w:rPr>
          <w:rFonts w:ascii="Arial" w:cs="Arial" w:eastAsia="Arial" w:hAnsi="Arial"/>
          <w:sz w:val="16"/>
          <w:szCs w:val="16"/>
          <w:color w:val="auto"/>
        </w:rPr>
        <w:t>On May 24, 2016, we signed a promissory note for $515,000 with Eagle One, LLC collateralized by the purchase of real property located in Oklahoma City, Oklahoma. The amount due under the promissory note accrues interest at an annual rate of 6.00%. The promissory note calls for monthly principal and interest payments of $6,000 until June 1, 2026. Interest expense was $1,000 and $14,000 for the six months ended June 30, 2019 and 2018, respectively. The balance outstanding on the note payable at December 31, 2018 was $414,000. In January 2019, this note was paid in full.</w:t>
      </w:r>
    </w:p>
    <w:p>
      <w:pPr>
        <w:spacing w:after="0" w:line="181"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Notes Payable to an Affiliate. </w:t>
      </w:r>
      <w:r>
        <w:rPr>
          <w:rFonts w:ascii="Arial" w:cs="Arial" w:eastAsia="Arial" w:hAnsi="Arial"/>
          <w:sz w:val="18"/>
          <w:szCs w:val="18"/>
          <w:color w:val="auto"/>
        </w:rPr>
        <w:t>On February 2, 2016, we entered into a $1,500,000 note payable agreement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stated annual interest rates of 3.75% with Shipley &amp; Sons, Ltd., a related party through the common ownership of Kenneth E. Shipley, a significant shareholder of our company and our Chief Executive Officer. The note is due on demand. Interest paid on the note payable was $28,000 for the six months ended June 30, 2018. On October 18, 2018, this note payable was paid in full.</w:t>
      </w:r>
    </w:p>
    <w:p>
      <w:pPr>
        <w:spacing w:after="0" w:line="14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 xml:space="preserve">PILOT Agreement. </w:t>
      </w:r>
      <w:r>
        <w:rPr>
          <w:rFonts w:ascii="Arial" w:cs="Arial" w:eastAsia="Arial" w:hAnsi="Arial"/>
          <w:sz w:val="16"/>
          <w:szCs w:val="16"/>
          <w:color w:val="auto"/>
        </w:rPr>
        <w:t>In December 2016, we entered into a Payment in Lieu of Taxes (“PILOT”)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commonly offered in Georgia by local community development programs to encourage industry development. The net effect of the PILOT agreement is to provide us with incentives through the abatement of local, city and county property taxes and to provide financing for improvements to our Georgia plant (the “Project”). In connection with the PILOT agreement, the Putman County Development Authority provides a credit facility for up to $10,000,000, which can be drawn upon to fund Project improvements and capital expenditures as defined in the agreement. If funds are drawn, we would pay transactions costs and debt service payments. The PILOT agreement requires interest payments of 6.00% per annum on outstanding balances, which are due each December 1 through maturity on December 1, 2021, at which time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all unpaid principal and interest are due. The PILOT agreement is collateralized by the assets of the Project. As of June 30, 2019, we had not drawn down on this credit facility.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contractual cash obligations as of June 30,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Payments Due by Period</w:t>
            </w:r>
          </w:p>
        </w:tc>
        <w:tc>
          <w:tcPr>
            <w:tcW w:w="780" w:type="dxa"/>
            <w:vAlign w:val="bottom"/>
            <w:tcBorders>
              <w:bottom w:val="single" w:sz="8" w:color="auto"/>
            </w:tcBorders>
          </w:tcPr>
          <w:p>
            <w:pPr>
              <w:spacing w:after="0"/>
              <w:rPr>
                <w:sz w:val="14"/>
                <w:szCs w:val="14"/>
                <w:color w:val="auto"/>
              </w:rPr>
            </w:pPr>
          </w:p>
        </w:tc>
      </w:tr>
      <w:tr>
        <w:trPr>
          <w:trHeight w:val="291"/>
        </w:trPr>
        <w:tc>
          <w:tcPr>
            <w:tcW w:w="4280" w:type="dxa"/>
            <w:vAlign w:val="bottom"/>
          </w:tcPr>
          <w:p>
            <w:pPr>
              <w:spacing w:after="0"/>
              <w:rPr>
                <w:sz w:val="20"/>
                <w:szCs w:val="20"/>
                <w:color w:val="auto"/>
              </w:rPr>
            </w:pPr>
            <w:r>
              <w:rPr>
                <w:rFonts w:ascii="Arial" w:cs="Arial" w:eastAsia="Arial" w:hAnsi="Arial"/>
                <w:sz w:val="14"/>
                <w:szCs w:val="14"/>
                <w:b w:val="1"/>
                <w:bCs w:val="1"/>
                <w:color w:val="auto"/>
              </w:rPr>
              <w:t>Contractual Obligations</w:t>
            </w:r>
          </w:p>
        </w:tc>
        <w:tc>
          <w:tcPr>
            <w:tcW w:w="160" w:type="dxa"/>
            <w:vAlign w:val="bottom"/>
          </w:tcPr>
          <w:p>
            <w:pPr>
              <w:spacing w:after="0"/>
              <w:rPr>
                <w:sz w:val="24"/>
                <w:szCs w:val="24"/>
                <w:color w:val="auto"/>
              </w:rPr>
            </w:pP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720" w:type="dxa"/>
            <w:vAlign w:val="bottom"/>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6"/>
              </w:rPr>
              <w:t>2020 - 2021</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0"/>
              </w:rPr>
              <w:t>2022 - 2023</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After 2023</w:t>
            </w: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Lines of credit</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$ 9,125,000</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9,125,000</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Notes payable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3,461,000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93,000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392,000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429,000</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2,547,000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$ 2,924,000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300,000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963,000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692,000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969,000</w:t>
            </w:r>
          </w:p>
        </w:tc>
      </w:tr>
    </w:tbl>
    <w:p>
      <w:pPr>
        <w:spacing w:after="0" w:line="19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202" w:lineRule="exact"/>
        <w:rPr>
          <w:sz w:val="20"/>
          <w:szCs w:val="20"/>
          <w:color w:val="auto"/>
        </w:rPr>
      </w:pPr>
    </w:p>
    <w:p>
      <w:pPr>
        <w:ind w:right="40" w:firstLine="713"/>
        <w:spacing w:after="0" w:line="217" w:lineRule="exact"/>
        <w:rPr>
          <w:sz w:val="20"/>
          <w:szCs w:val="20"/>
          <w:color w:val="auto"/>
        </w:rPr>
      </w:pPr>
      <w:r>
        <w:rPr>
          <w:rFonts w:ascii="Arial" w:cs="Arial" w:eastAsia="Arial" w:hAnsi="Arial"/>
          <w:sz w:val="16"/>
          <w:szCs w:val="16"/>
          <w:color w:val="auto"/>
        </w:rPr>
        <w:t>We did not have any off</w:t>
      </w:r>
      <w:r>
        <w:rPr>
          <w:rFonts w:ascii="MS PGothic" w:cs="MS PGothic" w:eastAsia="MS PGothic" w:hAnsi="MS PGothic"/>
          <w:sz w:val="16"/>
          <w:szCs w:val="16"/>
          <w:color w:val="auto"/>
        </w:rPr>
        <w:t>‑</w:t>
      </w:r>
      <w:r>
        <w:rPr>
          <w:rFonts w:ascii="Arial" w:cs="Arial" w:eastAsia="Arial" w:hAnsi="Arial"/>
          <w:sz w:val="16"/>
          <w:szCs w:val="16"/>
          <w:color w:val="auto"/>
        </w:rPr>
        <w:t>balance sheet arrangements that are reasonably likely to have a current or future effect on our financial condition, net sales, results of operations, liquidity or capital expenditures. However, we do have a repurchase agreement with a financial institution providing inventory financing for independent retailers of our products. Under this agreement, we have agreed to repurchase homes at declining prices over the term of the agreement (24 months). Our obligation under this repurchase agreement ceases upon the purchase of the home by the retail customer. The maximum amount of our contingent obligations under such repurchase agreements was approximately $536,000 and $2,186,000 as of June 30, 2019 and December 31, 2018, respectively, without reduction for the resale value of the homes. We may be required to honor contingent repurchase obligations in the future and may incur additional expense as a consequence of these repurchase agreements. We consider our obligations on current contracts to be immaterial and accordingly we have not recorded any reserve for repurchase commitment as of June 30,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Critical accounting estimates are those that we believe are both significant and that require us to make difficult, subjective or complex judgments, often because we need to estimate the effect of inherently uncertain matters. We base our estimates and judgments on historical experiences and various other factors that we believe to be appropriate under the circumstances. Actual results may differ from these estimates, and we might obtain different estimates if we used different assumptions or conditions. Our critical accounting estimates are identified and described in our annual report on Form 10-K for the year ended December 31, 2018. Other than recent accounting pronouncement adoptions discussed in Note 1 of our condensed financial statements, we had no significant changes in those critical accounting estimates since our last annual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For information regarding recent accounting pronouncements, see Note 1 – Nature of Operations, Recent Accounting Pronouncements to our June 30, 2019 Condensed Financial Statements, included in Part I, Item 1, Financial Statements (Unaudited), of this Quarterly Report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are an “emerging growth company,” as defined in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these exemptions until we are no longer an emerging growth company or until we affirmatively and irrevocably opt out of this exemption.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 for smaller reporting companies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43"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are subject to the periodic reporting requirements of the Exchange Act which requires designing disclosure controls and procedures to provide reasonable assurance that information we disclose in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spacing w:after="0" w:line="15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of the end of the period covered by this Quarterly Report on Form 10-Q, the Company’s management conducted an evaluation, under the supervision and with the participation of the Chief Executive Officer and the Chief Financial Officer, of the effectiveness of the design and operation of the Company’s disclosure controls and procedures (as defined in Rule 13a-15(e) of the Exchange Act). Based on this evaluation, the Chief Executive Officer and the Chief Financial Officer each concluded, as of the end of the period, our disclosure controls and procedures were not effective as of June 30, 2019 due to material weaknesses in internal control over financial reporting that were disclosed in our Annual Report on Form 10-K for the fiscal year ended December 31, 2018, and as described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18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previously disclosed in our Annual report on Form 10-K filed with the SEC on April 9, 2019, we identified material weaknesses in our internal control over financial reporting during the preparation of our financial statements for the year ended December 31, 2018.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material weaknesses in financial reporting as of June 30, 2019 are summarized as follows:</w:t>
      </w:r>
    </w:p>
    <w:p>
      <w:pPr>
        <w:spacing w:after="0" w:line="185" w:lineRule="exact"/>
        <w:rPr>
          <w:sz w:val="20"/>
          <w:szCs w:val="20"/>
          <w:color w:val="auto"/>
        </w:rPr>
      </w:pPr>
    </w:p>
    <w:p>
      <w:pPr>
        <w:ind w:left="980" w:right="80" w:hanging="329"/>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determined that we did not have sufficient accounting processes and procedures in place, particularly in the areas of allowance for loan loss, finished goods inventory costing, revenue recognition, income taxes, and processing of accounts payable and accruals for period end cut-off.</w:t>
      </w:r>
    </w:p>
    <w:p>
      <w:pPr>
        <w:spacing w:after="0" w:line="140" w:lineRule="exact"/>
        <w:rPr>
          <w:rFonts w:ascii="Arial" w:cs="Arial" w:eastAsia="Arial" w:hAnsi="Arial"/>
          <w:sz w:val="18"/>
          <w:szCs w:val="18"/>
          <w:color w:val="auto"/>
        </w:rPr>
      </w:pPr>
    </w:p>
    <w:p>
      <w:pPr>
        <w:ind w:left="980" w:right="600" w:hanging="32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determined that we did not have sufficient experienced personnel to support preparation of financial statements for compliance with U.S. GAAP and SEC rules.</w:t>
      </w:r>
    </w:p>
    <w:p>
      <w:pPr>
        <w:spacing w:after="0" w:line="129" w:lineRule="exact"/>
        <w:rPr>
          <w:rFonts w:ascii="Arial" w:cs="Arial" w:eastAsia="Arial" w:hAnsi="Arial"/>
          <w:sz w:val="18"/>
          <w:szCs w:val="18"/>
          <w:color w:val="auto"/>
        </w:rPr>
      </w:pPr>
    </w:p>
    <w:p>
      <w:pPr>
        <w:ind w:left="980" w:right="80" w:hanging="329"/>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determined that we did not have sufficient policies and procedures to ensure the appropriate review and approval of user access rights to our accounting system; and lack of approval of journal entries and segregation of duties in our financial reporting process.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to Address Previously-Identified Material Weaknesses</w:t>
      </w:r>
    </w:p>
    <w:p>
      <w:pPr>
        <w:spacing w:after="0" w:line="18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previously described in Item 9A of our Annual Report on Form 10-K for the year ended December 31, 2018, we began implementing remediation plans to address the material weaknesses. The weaknesses will not be considered remediated until the applicable controls operate for a sufficient period of time and management has concluded, through testing, that these controls are operating effectively. We expect that the remediation of these material weaknesses will be completed by the end of fiscal 2020.</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right="560" w:firstLine="648"/>
        <w:spacing w:after="0" w:line="312" w:lineRule="auto"/>
        <w:rPr>
          <w:sz w:val="20"/>
          <w:szCs w:val="20"/>
          <w:color w:val="auto"/>
        </w:rPr>
      </w:pPr>
      <w:r>
        <w:rPr>
          <w:rFonts w:ascii="Arial" w:cs="Arial" w:eastAsia="Arial" w:hAnsi="Arial"/>
          <w:sz w:val="16"/>
          <w:szCs w:val="16"/>
          <w:color w:val="auto"/>
        </w:rPr>
        <w:t>There were no changes in our internal control over financial reporting identified in management’s evaluation pursuant to Rules 13a-15(d) or 15d-15(d) of the Exchange Act during the second quarter of fiscal 2019 that materially affected, or are reasonably likely to materially affect, our internal control over financial reporting.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99" w:firstLine="648"/>
        <w:spacing w:after="0" w:line="277" w:lineRule="auto"/>
        <w:rPr>
          <w:sz w:val="20"/>
          <w:szCs w:val="20"/>
          <w:color w:val="auto"/>
        </w:rPr>
      </w:pPr>
      <w:r>
        <w:rPr>
          <w:rFonts w:ascii="Arial" w:cs="Arial" w:eastAsia="Arial" w:hAnsi="Arial"/>
          <w:sz w:val="18"/>
          <w:szCs w:val="18"/>
          <w:color w:val="auto"/>
        </w:rPr>
        <w:t>See Note 12 - Commitments and Contingencies in our June 30, 2019 Condensed Financial Statements, included in Part I, Item 1, Financial Statements (Unaudited), of this Quarterly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gridSpan w:val="2"/>
          </w:tcPr>
          <w:p>
            <w:pPr>
              <w:ind w:left="660"/>
              <w:spacing w:after="0"/>
              <w:rPr>
                <w:sz w:val="20"/>
                <w:szCs w:val="20"/>
                <w:color w:val="auto"/>
              </w:rPr>
            </w:pPr>
            <w:r>
              <w:rPr>
                <w:rFonts w:ascii="Arial" w:cs="Arial" w:eastAsia="Arial" w:hAnsi="Arial"/>
                <w:sz w:val="18"/>
                <w:szCs w:val="18"/>
                <w:color w:val="auto"/>
              </w:rPr>
              <w:t>None</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5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260" w:type="dxa"/>
            <w:vAlign w:val="bottom"/>
          </w:tcPr>
          <w:p>
            <w:pPr>
              <w:spacing w:after="0"/>
              <w:rPr>
                <w:sz w:val="24"/>
                <w:szCs w:val="24"/>
                <w:color w:val="auto"/>
              </w:rPr>
            </w:pPr>
          </w:p>
        </w:tc>
        <w:tc>
          <w:tcPr>
            <w:tcW w:w="522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560" w:type="dxa"/>
            <w:vAlign w:val="bottom"/>
            <w:gridSpan w:val="2"/>
          </w:tcPr>
          <w:p>
            <w:pPr>
              <w:spacing w:after="0"/>
              <w:rPr>
                <w:sz w:val="20"/>
                <w:szCs w:val="20"/>
                <w:color w:val="auto"/>
              </w:rPr>
            </w:pPr>
            <w:r>
              <w:rPr>
                <w:rFonts w:ascii="Arial" w:cs="Arial" w:eastAsia="Arial" w:hAnsi="Arial"/>
                <w:sz w:val="18"/>
                <w:szCs w:val="18"/>
                <w:color w:val="auto"/>
              </w:rPr>
              <w:t>EXHIBIT 31.1 *</w:t>
            </w: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w w:val="93"/>
              </w:rPr>
              <w:t xml:space="preserve">- </w:t>
            </w:r>
            <w:r>
              <w:rPr>
                <w:rFonts w:ascii="Arial" w:cs="Arial" w:eastAsia="Arial" w:hAnsi="Arial"/>
                <w:sz w:val="18"/>
                <w:szCs w:val="18"/>
                <w:color w:val="0000EE"/>
                <w:w w:val="93"/>
              </w:rPr>
              <w:t>Rule 13a—14(a) / 15d—14(a) Certifications — Chief Executive Officer.</w:t>
            </w:r>
          </w:p>
        </w:tc>
      </w:tr>
      <w:tr>
        <w:trPr>
          <w:trHeight w:val="20"/>
        </w:trPr>
        <w:tc>
          <w:tcPr>
            <w:tcW w:w="1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412"/>
        </w:trPr>
        <w:tc>
          <w:tcPr>
            <w:tcW w:w="1560" w:type="dxa"/>
            <w:vAlign w:val="bottom"/>
            <w:gridSpan w:val="2"/>
          </w:tcPr>
          <w:p>
            <w:pPr>
              <w:spacing w:after="0"/>
              <w:rPr>
                <w:sz w:val="20"/>
                <w:szCs w:val="20"/>
                <w:color w:val="auto"/>
              </w:rPr>
            </w:pPr>
            <w:r>
              <w:rPr>
                <w:rFonts w:ascii="Arial" w:cs="Arial" w:eastAsia="Arial" w:hAnsi="Arial"/>
                <w:sz w:val="18"/>
                <w:szCs w:val="18"/>
                <w:color w:val="auto"/>
              </w:rPr>
              <w:t>EXHIBIT 31.2 *</w:t>
            </w: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w w:val="94"/>
              </w:rPr>
              <w:t xml:space="preserve">- </w:t>
            </w:r>
            <w:r>
              <w:rPr>
                <w:rFonts w:ascii="Arial" w:cs="Arial" w:eastAsia="Arial" w:hAnsi="Arial"/>
                <w:sz w:val="18"/>
                <w:szCs w:val="18"/>
                <w:color w:val="0000EE"/>
                <w:w w:val="94"/>
              </w:rPr>
              <w:t>Rule 13a—14(a) / 15d—14(a) Certifications — Chief Financial Officer.</w:t>
            </w:r>
          </w:p>
        </w:tc>
      </w:tr>
      <w:tr>
        <w:trPr>
          <w:trHeight w:val="20"/>
        </w:trPr>
        <w:tc>
          <w:tcPr>
            <w:tcW w:w="1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560" w:type="dxa"/>
            <w:vAlign w:val="bottom"/>
            <w:gridSpan w:val="2"/>
          </w:tcPr>
          <w:p>
            <w:pPr>
              <w:spacing w:after="0"/>
              <w:rPr>
                <w:sz w:val="20"/>
                <w:szCs w:val="20"/>
                <w:color w:val="auto"/>
              </w:rPr>
            </w:pPr>
            <w:r>
              <w:rPr>
                <w:rFonts w:ascii="Arial" w:cs="Arial" w:eastAsia="Arial" w:hAnsi="Arial"/>
                <w:sz w:val="18"/>
                <w:szCs w:val="18"/>
                <w:color w:val="auto"/>
              </w:rPr>
              <w:t>EXHIBIT 32.1 *</w:t>
            </w: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Section 1350 Certification.</w:t>
            </w:r>
          </w:p>
        </w:tc>
      </w:tr>
      <w:tr>
        <w:trPr>
          <w:trHeight w:val="20"/>
        </w:trPr>
        <w:tc>
          <w:tcPr>
            <w:tcW w:w="1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412"/>
        </w:trPr>
        <w:tc>
          <w:tcPr>
            <w:tcW w:w="1560" w:type="dxa"/>
            <w:vAlign w:val="bottom"/>
            <w:gridSpan w:val="2"/>
          </w:tcPr>
          <w:p>
            <w:pPr>
              <w:spacing w:after="0"/>
              <w:rPr>
                <w:sz w:val="20"/>
                <w:szCs w:val="20"/>
                <w:color w:val="auto"/>
              </w:rPr>
            </w:pPr>
            <w:r>
              <w:rPr>
                <w:rFonts w:ascii="Arial" w:cs="Arial" w:eastAsia="Arial" w:hAnsi="Arial"/>
                <w:sz w:val="18"/>
                <w:szCs w:val="18"/>
                <w:color w:val="auto"/>
              </w:rPr>
              <w:t>EXHIBIT 32.2 *</w:t>
            </w: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Section 1350 Certification.</w:t>
            </w:r>
          </w:p>
        </w:tc>
      </w:tr>
      <w:tr>
        <w:trPr>
          <w:trHeight w:val="20"/>
        </w:trPr>
        <w:tc>
          <w:tcPr>
            <w:tcW w:w="1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r>
      <w:tr>
        <w:trPr>
          <w:trHeight w:val="453"/>
        </w:trPr>
        <w:tc>
          <w:tcPr>
            <w:tcW w:w="1560" w:type="dxa"/>
            <w:vAlign w:val="bottom"/>
            <w:gridSpan w:val="2"/>
          </w:tcPr>
          <w:p>
            <w:pPr>
              <w:spacing w:after="0"/>
              <w:rPr>
                <w:sz w:val="20"/>
                <w:szCs w:val="20"/>
                <w:color w:val="auto"/>
              </w:rPr>
            </w:pPr>
            <w:r>
              <w:rPr>
                <w:rFonts w:ascii="Arial" w:cs="Arial" w:eastAsia="Arial" w:hAnsi="Arial"/>
                <w:sz w:val="18"/>
                <w:szCs w:val="18"/>
                <w:color w:val="auto"/>
              </w:rPr>
              <w:t>EXHIBIT 101.INS</w:t>
            </w: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 XBRL Instance Document.</w:t>
            </w:r>
          </w:p>
        </w:tc>
      </w:tr>
      <w:tr>
        <w:trPr>
          <w:trHeight w:val="432"/>
        </w:trPr>
        <w:tc>
          <w:tcPr>
            <w:tcW w:w="1560" w:type="dxa"/>
            <w:vAlign w:val="bottom"/>
            <w:gridSpan w:val="2"/>
          </w:tcPr>
          <w:p>
            <w:pPr>
              <w:spacing w:after="0"/>
              <w:rPr>
                <w:sz w:val="20"/>
                <w:szCs w:val="20"/>
                <w:color w:val="auto"/>
              </w:rPr>
            </w:pPr>
            <w:r>
              <w:rPr>
                <w:rFonts w:ascii="Arial" w:cs="Arial" w:eastAsia="Arial" w:hAnsi="Arial"/>
                <w:sz w:val="18"/>
                <w:szCs w:val="18"/>
                <w:color w:val="auto"/>
              </w:rPr>
              <w:t>EXHIBIT 101.SCH</w:t>
            </w: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 XBRL Taxonomy Extension Schema Document.</w:t>
            </w:r>
          </w:p>
        </w:tc>
      </w:tr>
      <w:tr>
        <w:trPr>
          <w:trHeight w:val="432"/>
        </w:trPr>
        <w:tc>
          <w:tcPr>
            <w:tcW w:w="1560" w:type="dxa"/>
            <w:vAlign w:val="bottom"/>
            <w:gridSpan w:val="2"/>
          </w:tcPr>
          <w:p>
            <w:pPr>
              <w:spacing w:after="0"/>
              <w:rPr>
                <w:sz w:val="20"/>
                <w:szCs w:val="20"/>
                <w:color w:val="auto"/>
              </w:rPr>
            </w:pPr>
            <w:r>
              <w:rPr>
                <w:rFonts w:ascii="Arial" w:cs="Arial" w:eastAsia="Arial" w:hAnsi="Arial"/>
                <w:sz w:val="18"/>
                <w:szCs w:val="18"/>
                <w:color w:val="auto"/>
              </w:rPr>
              <w:t>EXHIBIT 101.CAL</w:t>
            </w: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32"/>
        </w:trPr>
        <w:tc>
          <w:tcPr>
            <w:tcW w:w="1560" w:type="dxa"/>
            <w:vAlign w:val="bottom"/>
            <w:gridSpan w:val="2"/>
          </w:tcPr>
          <w:p>
            <w:pPr>
              <w:spacing w:after="0"/>
              <w:rPr>
                <w:sz w:val="20"/>
                <w:szCs w:val="20"/>
                <w:color w:val="auto"/>
              </w:rPr>
            </w:pPr>
            <w:r>
              <w:rPr>
                <w:rFonts w:ascii="Arial" w:cs="Arial" w:eastAsia="Arial" w:hAnsi="Arial"/>
                <w:sz w:val="18"/>
                <w:szCs w:val="18"/>
                <w:color w:val="auto"/>
              </w:rPr>
              <w:t>EXHIBIT 101.DEF</w:t>
            </w: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 XBRL Taxonomy Extension Definition Linkbase Document.</w:t>
            </w:r>
          </w:p>
        </w:tc>
      </w:tr>
      <w:tr>
        <w:trPr>
          <w:trHeight w:val="432"/>
        </w:trPr>
        <w:tc>
          <w:tcPr>
            <w:tcW w:w="1560" w:type="dxa"/>
            <w:vAlign w:val="bottom"/>
            <w:gridSpan w:val="2"/>
          </w:tcPr>
          <w:p>
            <w:pPr>
              <w:spacing w:after="0"/>
              <w:rPr>
                <w:sz w:val="20"/>
                <w:szCs w:val="20"/>
                <w:color w:val="auto"/>
              </w:rPr>
            </w:pPr>
            <w:r>
              <w:rPr>
                <w:rFonts w:ascii="Arial" w:cs="Arial" w:eastAsia="Arial" w:hAnsi="Arial"/>
                <w:sz w:val="18"/>
                <w:szCs w:val="18"/>
                <w:color w:val="auto"/>
              </w:rPr>
              <w:t>EXHIBIT 101.LAB</w:t>
            </w: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 XBRL Taxonomy Extension Label Linkbase Document.</w:t>
            </w:r>
          </w:p>
        </w:tc>
      </w:tr>
      <w:tr>
        <w:trPr>
          <w:trHeight w:val="432"/>
        </w:trPr>
        <w:tc>
          <w:tcPr>
            <w:tcW w:w="1560" w:type="dxa"/>
            <w:vAlign w:val="bottom"/>
            <w:gridSpan w:val="2"/>
          </w:tcPr>
          <w:p>
            <w:pPr>
              <w:spacing w:after="0"/>
              <w:rPr>
                <w:sz w:val="20"/>
                <w:szCs w:val="20"/>
                <w:color w:val="auto"/>
              </w:rPr>
            </w:pPr>
            <w:r>
              <w:rPr>
                <w:rFonts w:ascii="Arial" w:cs="Arial" w:eastAsia="Arial" w:hAnsi="Arial"/>
                <w:sz w:val="18"/>
                <w:szCs w:val="18"/>
                <w:color w:val="auto"/>
              </w:rPr>
              <w:t>EXHIBIT 101.PRE</w:t>
            </w:r>
          </w:p>
        </w:tc>
        <w:tc>
          <w:tcPr>
            <w:tcW w:w="5480" w:type="dxa"/>
            <w:vAlign w:val="bottom"/>
            <w:gridSpan w:val="5"/>
          </w:tcPr>
          <w:p>
            <w:pPr>
              <w:ind w:left="10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432"/>
        </w:trPr>
        <w:tc>
          <w:tcPr>
            <w:tcW w:w="1560" w:type="dxa"/>
            <w:vAlign w:val="bottom"/>
            <w:gridSpan w:val="2"/>
          </w:tcPr>
          <w:p>
            <w:pPr>
              <w:spacing w:after="0"/>
              <w:rPr>
                <w:sz w:val="20"/>
                <w:szCs w:val="20"/>
                <w:color w:val="auto"/>
              </w:rPr>
            </w:pPr>
            <w:r>
              <w:rPr>
                <w:rFonts w:ascii="Arial" w:cs="Arial" w:eastAsia="Arial" w:hAnsi="Arial"/>
                <w:sz w:val="18"/>
                <w:szCs w:val="18"/>
                <w:color w:val="auto"/>
              </w:rPr>
              <w:t>* Filed herewith</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5960" w:type="dxa"/>
            <w:vAlign w:val="bottom"/>
            <w:gridSpan w:val="2"/>
          </w:tcPr>
          <w:p>
            <w:pPr>
              <w:ind w:left="1460"/>
              <w:spacing w:after="0"/>
              <w:rPr>
                <w:sz w:val="20"/>
                <w:szCs w:val="20"/>
                <w:color w:val="auto"/>
              </w:rPr>
            </w:pPr>
            <w:r>
              <w:rPr>
                <w:rFonts w:ascii="Arial" w:cs="Arial" w:eastAsia="Arial" w:hAnsi="Arial"/>
                <w:sz w:val="18"/>
                <w:szCs w:val="18"/>
                <w:b w:val="1"/>
                <w:bCs w:val="1"/>
                <w:color w:val="auto"/>
              </w:rPr>
              <w:t>LEGACY HOUSING CORPORATION</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Dated: August 14, 2019</w:t>
            </w:r>
          </w:p>
        </w:tc>
        <w:tc>
          <w:tcPr>
            <w:tcW w:w="5960" w:type="dxa"/>
            <w:vAlign w:val="bottom"/>
            <w:gridSpan w:val="2"/>
          </w:tcPr>
          <w:p>
            <w:pPr>
              <w:ind w:left="1460"/>
              <w:spacing w:after="0"/>
              <w:rPr>
                <w:sz w:val="20"/>
                <w:szCs w:val="20"/>
                <w:color w:val="auto"/>
              </w:rPr>
            </w:pPr>
            <w:r>
              <w:rPr>
                <w:rFonts w:ascii="Arial" w:cs="Arial" w:eastAsia="Arial" w:hAnsi="Arial"/>
                <w:sz w:val="18"/>
                <w:szCs w:val="18"/>
                <w:color w:val="auto"/>
              </w:rPr>
              <w:t>By:  /s/ Cornelius Van Den Handel</w:t>
            </w:r>
          </w:p>
        </w:tc>
      </w:tr>
      <w:tr>
        <w:trPr>
          <w:trHeight w:val="195"/>
        </w:trPr>
        <w:tc>
          <w:tcPr>
            <w:tcW w:w="3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Cornelius Van Den Handel</w:t>
            </w:r>
          </w:p>
        </w:tc>
      </w:tr>
      <w:tr>
        <w:trPr>
          <w:trHeight w:val="216"/>
        </w:trPr>
        <w:tc>
          <w:tcPr>
            <w:tcW w:w="3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216"/>
        </w:trPr>
        <w:tc>
          <w:tcPr>
            <w:tcW w:w="3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i w:val="1"/>
                <w:iCs w:val="1"/>
                <w:color w:val="auto"/>
              </w:rPr>
              <w:t>(On behalf of Registrant and as Principal Financial</w:t>
            </w:r>
          </w:p>
        </w:tc>
      </w:tr>
      <w:tr>
        <w:trPr>
          <w:trHeight w:val="230"/>
        </w:trPr>
        <w:tc>
          <w:tcPr>
            <w:tcW w:w="3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i w:val="1"/>
                <w:iCs w:val="1"/>
                <w:color w:val="auto"/>
              </w:rPr>
              <w:t>Officer)</w:t>
            </w:r>
          </w:p>
        </w:tc>
      </w:tr>
      <w:tr>
        <w:trPr>
          <w:trHeight w:val="662"/>
        </w:trPr>
        <w:tc>
          <w:tcPr>
            <w:tcW w:w="3100" w:type="dxa"/>
            <w:vAlign w:val="bottom"/>
          </w:tcPr>
          <w:p>
            <w:pPr>
              <w:spacing w:after="0"/>
              <w:rPr>
                <w:sz w:val="24"/>
                <w:szCs w:val="24"/>
                <w:color w:val="auto"/>
              </w:rPr>
            </w:pPr>
          </w:p>
        </w:tc>
        <w:tc>
          <w:tcPr>
            <w:tcW w:w="1880" w:type="dxa"/>
            <w:vAlign w:val="bottom"/>
          </w:tcPr>
          <w:p>
            <w:pPr>
              <w:jc w:val="right"/>
              <w:ind w:right="270"/>
              <w:spacing w:after="0"/>
              <w:rPr>
                <w:sz w:val="20"/>
                <w:szCs w:val="20"/>
                <w:color w:val="auto"/>
              </w:rPr>
            </w:pPr>
            <w:r>
              <w:rPr>
                <w:rFonts w:ascii="Arial" w:cs="Arial" w:eastAsia="Arial" w:hAnsi="Arial"/>
                <w:sz w:val="18"/>
                <w:szCs w:val="18"/>
                <w:color w:val="auto"/>
              </w:rPr>
              <w:t>32</w:t>
            </w:r>
          </w:p>
        </w:tc>
        <w:tc>
          <w:tcPr>
            <w:tcW w:w="4080" w:type="dxa"/>
            <w:vAlign w:val="bottom"/>
          </w:tcPr>
          <w:p>
            <w:pPr>
              <w:spacing w:after="0"/>
              <w:rPr>
                <w:sz w:val="24"/>
                <w:szCs w:val="24"/>
                <w:color w:val="auto"/>
              </w:rPr>
            </w:pPr>
          </w:p>
        </w:tc>
      </w:tr>
      <w:tr>
        <w:trPr>
          <w:trHeight w:val="561"/>
        </w:trPr>
        <w:tc>
          <w:tcPr>
            <w:tcW w:w="3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Kenneth E. Shipley, certify that:</w:t>
      </w:r>
    </w:p>
    <w:p>
      <w:pPr>
        <w:spacing w:after="0" w:line="225" w:lineRule="exact"/>
        <w:rPr>
          <w:sz w:val="20"/>
          <w:szCs w:val="20"/>
          <w:color w:val="auto"/>
        </w:rPr>
      </w:pPr>
    </w:p>
    <w:p>
      <w:pPr>
        <w:ind w:left="820" w:hanging="17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Legacy Housing Corporation;</w:t>
      </w:r>
    </w:p>
    <w:p>
      <w:pPr>
        <w:spacing w:after="0" w:line="225" w:lineRule="exact"/>
        <w:rPr>
          <w:rFonts w:ascii="Arial" w:cs="Arial" w:eastAsia="Arial" w:hAnsi="Arial"/>
          <w:sz w:val="18"/>
          <w:szCs w:val="18"/>
          <w:color w:val="auto"/>
        </w:rPr>
      </w:pPr>
    </w:p>
    <w:p>
      <w:pPr>
        <w:ind w:right="80" w:firstLine="648"/>
        <w:spacing w:after="0" w:line="264" w:lineRule="auto"/>
        <w:tabs>
          <w:tab w:leader="none" w:pos="82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right="240" w:firstLine="648"/>
        <w:spacing w:after="0" w:line="264" w:lineRule="auto"/>
        <w:tabs>
          <w:tab w:leader="none" w:pos="82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right="640" w:firstLine="648"/>
        <w:spacing w:after="0" w:line="221" w:lineRule="exact"/>
        <w:tabs>
          <w:tab w:leader="none" w:pos="8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01" w:lineRule="exact"/>
        <w:rPr>
          <w:rFonts w:ascii="Arial" w:cs="Arial" w:eastAsia="Arial" w:hAnsi="Arial"/>
          <w:sz w:val="18"/>
          <w:szCs w:val="18"/>
          <w:color w:val="auto"/>
        </w:rPr>
      </w:pPr>
    </w:p>
    <w:p>
      <w:pPr>
        <w:ind w:left="260" w:right="40" w:firstLine="647"/>
        <w:spacing w:after="0" w:line="312" w:lineRule="auto"/>
        <w:tabs>
          <w:tab w:leader="none" w:pos="1198"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260" w:right="220" w:firstLine="647"/>
        <w:spacing w:after="0" w:line="286" w:lineRule="auto"/>
        <w:tabs>
          <w:tab w:leader="none" w:pos="1208"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60" w:firstLine="647"/>
        <w:spacing w:after="0" w:line="264" w:lineRule="auto"/>
        <w:tabs>
          <w:tab w:leader="none" w:pos="1198"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260" w:right="180" w:firstLine="647"/>
        <w:spacing w:after="0" w:line="286" w:lineRule="auto"/>
        <w:tabs>
          <w:tab w:leader="none" w:pos="1208"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380" w:firstLine="648"/>
        <w:spacing w:after="0" w:line="264" w:lineRule="auto"/>
        <w:tabs>
          <w:tab w:leader="none" w:pos="8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260" w:right="140" w:firstLine="647"/>
        <w:spacing w:after="0" w:line="264" w:lineRule="auto"/>
        <w:tabs>
          <w:tab w:leader="none" w:pos="1188"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260" w:right="500" w:firstLine="647"/>
        <w:spacing w:after="0" w:line="277" w:lineRule="auto"/>
        <w:tabs>
          <w:tab w:leader="none" w:pos="1198"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Date: August 14, 2019</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E. Shipley</w:t>
            </w:r>
          </w:p>
        </w:tc>
      </w:tr>
      <w:tr>
        <w:trPr>
          <w:trHeight w:val="195"/>
        </w:trPr>
        <w:tc>
          <w:tcPr>
            <w:tcW w:w="50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Name: Kenneth E. Shipley</w:t>
            </w:r>
          </w:p>
        </w:tc>
      </w:tr>
      <w:tr>
        <w:trPr>
          <w:trHeight w:val="230"/>
        </w:trPr>
        <w:tc>
          <w:tcPr>
            <w:tcW w:w="50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777"/>
        </w:trPr>
        <w:tc>
          <w:tcPr>
            <w:tcW w:w="50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Cornelius Van Den Handel, certify that:</w:t>
      </w:r>
    </w:p>
    <w:p>
      <w:pPr>
        <w:spacing w:after="0" w:line="225" w:lineRule="exact"/>
        <w:rPr>
          <w:sz w:val="20"/>
          <w:szCs w:val="20"/>
          <w:color w:val="auto"/>
        </w:rPr>
      </w:pPr>
    </w:p>
    <w:p>
      <w:pPr>
        <w:ind w:left="820" w:hanging="17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Legacy Housing Corporation;</w:t>
      </w:r>
    </w:p>
    <w:p>
      <w:pPr>
        <w:spacing w:after="0" w:line="225" w:lineRule="exact"/>
        <w:rPr>
          <w:rFonts w:ascii="Arial" w:cs="Arial" w:eastAsia="Arial" w:hAnsi="Arial"/>
          <w:sz w:val="18"/>
          <w:szCs w:val="18"/>
          <w:color w:val="auto"/>
        </w:rPr>
      </w:pPr>
    </w:p>
    <w:p>
      <w:pPr>
        <w:ind w:right="80" w:firstLine="648"/>
        <w:spacing w:after="0" w:line="264" w:lineRule="auto"/>
        <w:tabs>
          <w:tab w:leader="none" w:pos="82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right="240" w:firstLine="648"/>
        <w:spacing w:after="0" w:line="264" w:lineRule="auto"/>
        <w:tabs>
          <w:tab w:leader="none" w:pos="82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right="640" w:firstLine="648"/>
        <w:spacing w:after="0" w:line="221" w:lineRule="exact"/>
        <w:tabs>
          <w:tab w:leader="none" w:pos="8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01" w:lineRule="exact"/>
        <w:rPr>
          <w:rFonts w:ascii="Arial" w:cs="Arial" w:eastAsia="Arial" w:hAnsi="Arial"/>
          <w:sz w:val="18"/>
          <w:szCs w:val="18"/>
          <w:color w:val="auto"/>
        </w:rPr>
      </w:pPr>
    </w:p>
    <w:p>
      <w:pPr>
        <w:ind w:left="260" w:right="40" w:firstLine="647"/>
        <w:spacing w:after="0" w:line="312" w:lineRule="auto"/>
        <w:tabs>
          <w:tab w:leader="none" w:pos="1198"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260" w:right="220" w:firstLine="647"/>
        <w:spacing w:after="0" w:line="286" w:lineRule="auto"/>
        <w:tabs>
          <w:tab w:leader="none" w:pos="1208"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60" w:firstLine="647"/>
        <w:spacing w:after="0" w:line="264" w:lineRule="auto"/>
        <w:tabs>
          <w:tab w:leader="none" w:pos="1198"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260" w:right="180" w:firstLine="647"/>
        <w:spacing w:after="0" w:line="286" w:lineRule="auto"/>
        <w:tabs>
          <w:tab w:leader="none" w:pos="1208"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380" w:firstLine="648"/>
        <w:spacing w:after="0" w:line="264" w:lineRule="auto"/>
        <w:tabs>
          <w:tab w:leader="none" w:pos="82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260" w:right="140" w:firstLine="647"/>
        <w:spacing w:after="0" w:line="264" w:lineRule="auto"/>
        <w:tabs>
          <w:tab w:leader="none" w:pos="1188"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260" w:right="500" w:firstLine="647"/>
        <w:spacing w:after="0" w:line="277" w:lineRule="auto"/>
        <w:tabs>
          <w:tab w:leader="none" w:pos="119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Date: August 14, 2019</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Cornelius Van Den Handel</w:t>
            </w:r>
          </w:p>
        </w:tc>
      </w:tr>
      <w:tr>
        <w:trPr>
          <w:trHeight w:val="195"/>
        </w:trPr>
        <w:tc>
          <w:tcPr>
            <w:tcW w:w="50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Name: Cornelius Van Den Handel</w:t>
            </w:r>
          </w:p>
        </w:tc>
      </w:tr>
      <w:tr>
        <w:trPr>
          <w:trHeight w:val="230"/>
        </w:trPr>
        <w:tc>
          <w:tcPr>
            <w:tcW w:w="50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777"/>
        </w:trPr>
        <w:tc>
          <w:tcPr>
            <w:tcW w:w="50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color w:val="auto"/>
        </w:rPr>
        <w:t>In connection with the quarterly report of Legacy Housing Corporation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 ended June 30, 2019, as filed with the Securities and Exchange Commission on the date hereof (the “Report”), I, Kenneth E. Shipley, President and Chief Executive Officer of the Company, certify, pursuant to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w:t>
      </w:r>
    </w:p>
    <w:p>
      <w:pPr>
        <w:spacing w:after="0" w:line="204" w:lineRule="exact"/>
        <w:rPr>
          <w:sz w:val="20"/>
          <w:szCs w:val="20"/>
          <w:color w:val="auto"/>
        </w:rPr>
      </w:pPr>
    </w:p>
    <w:p>
      <w:pPr>
        <w:ind w:left="1300" w:right="100" w:hanging="652"/>
        <w:spacing w:after="0" w:line="277" w:lineRule="auto"/>
        <w:tabs>
          <w:tab w:leader="none" w:pos="127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300" w:right="440" w:hanging="652"/>
        <w:spacing w:after="0" w:line="277" w:lineRule="auto"/>
        <w:tabs>
          <w:tab w:leader="none" w:pos="127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Date: August 14, 2019</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E. Shipley</w:t>
            </w:r>
          </w:p>
        </w:tc>
      </w:tr>
      <w:tr>
        <w:trPr>
          <w:trHeight w:val="195"/>
        </w:trPr>
        <w:tc>
          <w:tcPr>
            <w:tcW w:w="50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Name: Kenneth E. Shipley</w:t>
            </w:r>
          </w:p>
        </w:tc>
      </w:tr>
      <w:tr>
        <w:trPr>
          <w:trHeight w:val="230"/>
        </w:trPr>
        <w:tc>
          <w:tcPr>
            <w:tcW w:w="50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777"/>
        </w:trPr>
        <w:tc>
          <w:tcPr>
            <w:tcW w:w="50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color w:val="auto"/>
        </w:rPr>
        <w:t>In connection with the quarterly report of Legacy Housing Corporation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 ended June 30, 2019, as filed with the Securities and Exchange Commission on the date hereof (the “Report”), I, Cornelius Van Den Handel, Chief Financial Officer of the Company, certify, pursuant to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w:t>
      </w:r>
    </w:p>
    <w:p>
      <w:pPr>
        <w:spacing w:after="0" w:line="204" w:lineRule="exact"/>
        <w:rPr>
          <w:sz w:val="20"/>
          <w:szCs w:val="20"/>
          <w:color w:val="auto"/>
        </w:rPr>
      </w:pPr>
    </w:p>
    <w:p>
      <w:pPr>
        <w:ind w:left="1300" w:right="100" w:hanging="652"/>
        <w:spacing w:after="0" w:line="277" w:lineRule="auto"/>
        <w:tabs>
          <w:tab w:leader="none" w:pos="127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300" w:right="440" w:hanging="652"/>
        <w:spacing w:after="0" w:line="277" w:lineRule="auto"/>
        <w:tabs>
          <w:tab w:leader="none" w:pos="127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Date: August 14, 2019</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Cornelius Van Den Handel</w:t>
            </w:r>
          </w:p>
        </w:tc>
      </w:tr>
      <w:tr>
        <w:trPr>
          <w:trHeight w:val="195"/>
        </w:trPr>
        <w:tc>
          <w:tcPr>
            <w:tcW w:w="50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Name: Cornelius Van Den Handel</w:t>
            </w:r>
          </w:p>
        </w:tc>
      </w:tr>
      <w:tr>
        <w:trPr>
          <w:trHeight w:val="230"/>
        </w:trPr>
        <w:tc>
          <w:tcPr>
            <w:tcW w:w="50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777"/>
        </w:trPr>
        <w:tc>
          <w:tcPr>
            <w:tcW w:w="50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37" w:name="page38"/>
    <w:bookmarkEnd w:id="37"/>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9"/>
    </w:lvl>
  </w:abstractNum>
  <w:abstractNum w:abstractNumId="4">
    <w:nsid w:val="7545E146"/>
    <w:multiLevelType w:val="hybridMultilevel"/>
    <w:lvl w:ilvl="0">
      <w:lvlJc w:val="left"/>
      <w:lvlText w:val="%1."/>
      <w:numFmt w:val="decimal"/>
      <w:start w:val="13"/>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2019-12-21T04:57:31Z</dcterms:created>
  <dcterms:modified xsi:type="dcterms:W3CDTF">2019-12-21T04:57:31Z</dcterms:modified>
</cp:coreProperties>
</file>