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163195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74930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4" w:lineRule="exact"/>
        <w:rPr>
          <w:sz w:val="24"/>
          <w:szCs w:val="24"/>
          <w:color w:val="auto"/>
        </w:rPr>
      </w:pPr>
    </w:p>
    <w:p>
      <w:pPr>
        <w:ind w:left="450" w:right="180" w:hanging="450"/>
        <w:spacing w:after="0" w:line="270" w:lineRule="auto"/>
        <w:tabs>
          <w:tab w:leader="none" w:pos="45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7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2" w:lineRule="exact"/>
        <w:rPr>
          <w:sz w:val="24"/>
          <w:szCs w:val="24"/>
          <w:color w:val="auto"/>
        </w:rPr>
      </w:pPr>
    </w:p>
    <w:p>
      <w:pPr>
        <w:ind w:left="450" w:right="160" w:hanging="450"/>
        <w:spacing w:after="0" w:line="270" w:lineRule="auto"/>
        <w:tabs>
          <w:tab w:leader="none" w:pos="45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 w:lineRule="exact"/>
        <w:rPr>
          <w:sz w:val="24"/>
          <w:szCs w:val="24"/>
          <w:color w:val="auto"/>
        </w:rPr>
      </w:pPr>
    </w:p>
    <w:p>
      <w:pPr>
        <w:ind w:left="3770"/>
        <w:spacing w:after="0"/>
        <w:tabs>
          <w:tab w:leader="none" w:pos="62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1"/>
          <w:szCs w:val="31"/>
          <w:b w:val="1"/>
          <w:bCs w:val="1"/>
          <w:color w:val="auto"/>
        </w:rPr>
        <w:t>Legacy Housing Corporation</w:t>
      </w:r>
    </w:p>
    <w:p>
      <w:pPr>
        <w:spacing w:after="0" w:line="4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p>
      <w:pPr>
        <w:spacing w:after="0" w:line="296" w:lineRule="exact"/>
        <w:rPr>
          <w:sz w:val="24"/>
          <w:szCs w:val="24"/>
          <w:color w:val="auto"/>
        </w:rPr>
      </w:pPr>
    </w:p>
    <w:p>
      <w:pPr>
        <w:ind w:left="239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8" w:lineRule="exact"/>
        <w:rPr>
          <w:sz w:val="24"/>
          <w:szCs w:val="24"/>
          <w:color w:val="auto"/>
        </w:rPr>
      </w:pPr>
    </w:p>
    <w:p>
      <w:pPr>
        <w:ind w:left="165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161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20-2897516</w:t>
      </w:r>
    </w:p>
    <w:p>
      <w:pPr>
        <w:spacing w:after="0" w:line="2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30" w:lineRule="exact"/>
        <w:rPr>
          <w:sz w:val="24"/>
          <w:szCs w:val="24"/>
          <w:color w:val="auto"/>
        </w:rPr>
      </w:pPr>
    </w:p>
    <w:p>
      <w:pPr>
        <w:sectPr>
          <w:pgSz w:w="11900" w:h="16838" w:orient="portrait"/>
          <w:cols w:equalWidth="0" w:num="2">
            <w:col w:w="6370" w:space="720"/>
            <w:col w:w="3140"/>
          </w:cols>
          <w:pgMar w:left="830" w:top="661" w:right="839" w:bottom="1440" w:gutter="0" w:footer="0" w:header="0"/>
          <w:type w:val="continuous"/>
        </w:sect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1600 Airport Freeway, #100</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(Zip Code)</w:t>
      </w:r>
    </w:p>
    <w:p>
      <w:pPr>
        <w:sectPr>
          <w:pgSz w:w="11900" w:h="16838" w:orient="portrait"/>
          <w:cols w:equalWidth="0" w:num="1">
            <w:col w:w="10230"/>
          </w:cols>
          <w:pgMar w:left="830" w:top="661" w:right="839" w:bottom="1440" w:gutter="0" w:footer="0" w:header="0"/>
          <w:type w:val="continuous"/>
        </w:sectPr>
      </w:pP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(817) 799-4900</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2" w:lineRule="exact"/>
        <w:rPr>
          <w:sz w:val="24"/>
          <w:szCs w:val="24"/>
          <w:color w:val="auto"/>
        </w:rPr>
      </w:pPr>
    </w:p>
    <w:p>
      <w:pPr>
        <w:ind w:left="10" w:right="3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10" w:right="4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52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type w:val="continuous"/>
        </w:sectPr>
      </w:pPr>
    </w:p>
    <w:p>
      <w:pPr>
        <w:spacing w:after="0" w:line="2" w:lineRule="exact"/>
        <w:rPr>
          <w:sz w:val="24"/>
          <w:szCs w:val="24"/>
          <w:color w:val="auto"/>
        </w:rPr>
      </w:pPr>
    </w:p>
    <w:p>
      <w:pPr>
        <w:ind w:left="169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1" w:right="839" w:bottom="1440" w:gutter="0" w:footer="0" w:header="0"/>
          <w:type w:val="continuous"/>
        </w:sectPr>
      </w:pPr>
    </w:p>
    <w:p>
      <w:pPr>
        <w:spacing w:after="0" w:line="21" w:lineRule="exact"/>
        <w:rPr>
          <w:sz w:val="24"/>
          <w:szCs w:val="24"/>
          <w:color w:val="auto"/>
        </w:rPr>
      </w:pPr>
    </w:p>
    <w:p>
      <w:pPr>
        <w:ind w:left="173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ectPr>
          <w:pgSz w:w="11900" w:h="16838" w:orient="portrait"/>
          <w:cols w:equalWidth="0" w:num="2">
            <w:col w:w="6190" w:space="720"/>
            <w:col w:w="3320"/>
          </w:cols>
          <w:pgMar w:left="830" w:top="661" w:right="839" w:bottom="1440" w:gutter="0" w:footer="0" w:header="0"/>
          <w:type w:val="continuous"/>
        </w:sectPr>
      </w:pPr>
    </w:p>
    <w:p>
      <w:pPr>
        <w:ind w:left="10" w:right="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ind w:left="1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173"/>
        </w:trPr>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54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32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jc w:val="center"/>
              <w:ind w:right="448"/>
              <w:spacing w:after="0"/>
              <w:rPr>
                <w:sz w:val="20"/>
                <w:szCs w:val="20"/>
                <w:color w:val="auto"/>
              </w:rPr>
            </w:pPr>
            <w:r>
              <w:rPr>
                <w:rFonts w:ascii="Times New Roman" w:cs="Times New Roman" w:eastAsia="Times New Roman" w:hAnsi="Times New Roman"/>
                <w:sz w:val="14"/>
                <w:szCs w:val="14"/>
                <w:color w:val="auto"/>
              </w:rPr>
              <w:t>LEGH</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4"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6"/>
          <w:szCs w:val="16"/>
          <w:color w:val="auto"/>
        </w:rPr>
        <w:t>There were 23,781,601 shares of Common Stock ($0.001 par value) outstanding as of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577850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140335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5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LEGACY HOUSING CORPORATION</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PART I - FINANCIAL INFORMATION</w:t>
            </w:r>
          </w:p>
        </w:tc>
        <w:tc>
          <w:tcPr>
            <w:tcW w:w="4580" w:type="dxa"/>
            <w:vAlign w:val="bottom"/>
            <w:gridSpan w:val="3"/>
          </w:tcPr>
          <w:p>
            <w:pPr>
              <w:spacing w:after="0"/>
              <w:rPr>
                <w:sz w:val="17"/>
                <w:szCs w:val="17"/>
                <w:color w:val="auto"/>
              </w:rPr>
            </w:pPr>
          </w:p>
        </w:tc>
        <w:tc>
          <w:tcPr>
            <w:tcW w:w="1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Financial Statements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640" w:type="dxa"/>
            <w:vAlign w:val="bottom"/>
            <w:tcBorders>
              <w:top w:val="single" w:sz="8" w:color="0000EE"/>
            </w:tcBorders>
            <w:gridSpan w:val="7"/>
          </w:tcPr>
          <w:p>
            <w:pPr>
              <w:ind w:left="80"/>
              <w:spacing w:after="0"/>
              <w:rPr>
                <w:sz w:val="20"/>
                <w:szCs w:val="20"/>
                <w:color w:val="auto"/>
              </w:rPr>
            </w:pPr>
            <w:r>
              <w:rPr>
                <w:rFonts w:ascii="Times New Roman" w:cs="Times New Roman" w:eastAsia="Times New Roman" w:hAnsi="Times New Roman"/>
                <w:sz w:val="18"/>
                <w:szCs w:val="18"/>
                <w:color w:val="0000EE"/>
              </w:rPr>
              <w:t>Legal Proceedings</w:t>
            </w:r>
          </w:p>
        </w:tc>
        <w:tc>
          <w:tcPr>
            <w:tcW w:w="4900" w:type="dxa"/>
            <w:vAlign w:val="bottom"/>
            <w:gridSpan w:val="5"/>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Mine Safety Disclosures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Other Information</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65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0000EE"/>
              </w:rPr>
              <w:t>Exhibits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5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675"/>
        </w:trPr>
        <w:tc>
          <w:tcPr>
            <w:tcW w:w="2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2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BALANCE SHEETS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980" w:type="dxa"/>
            <w:vAlign w:val="bottom"/>
          </w:tcPr>
          <w:p>
            <w:pPr>
              <w:ind w:left="3220"/>
              <w:spacing w:after="0" w:line="147" w:lineRule="exact"/>
              <w:rPr>
                <w:sz w:val="20"/>
                <w:szCs w:val="20"/>
                <w:color w:val="auto"/>
              </w:rPr>
            </w:pPr>
            <w:r>
              <w:rPr>
                <w:rFonts w:ascii="Times New Roman" w:cs="Times New Roman" w:eastAsia="Times New Roman" w:hAnsi="Times New Roman"/>
                <w:sz w:val="14"/>
                <w:szCs w:val="14"/>
                <w:b w:val="1"/>
                <w:bCs w:val="1"/>
                <w:color w:val="auto"/>
              </w:rPr>
              <w:t>(in thousands, except share and per value data)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80" w:type="dxa"/>
            <w:vAlign w:val="bottom"/>
          </w:tcPr>
          <w:p>
            <w:pPr>
              <w:ind w:left="68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280" w:type="dxa"/>
            <w:vAlign w:val="bottom"/>
            <w:gridSpan w:val="3"/>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2026 (unaudited)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ind w:left="31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14,111</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receivable loan portfolios,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refund receivable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Dealer financed receivables,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Consumer loans receivable,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Notes receivable from mobile home parks (“MHP”),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notes receivable,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Inventories,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174,292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Consumer loans receivable,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189,689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Notes receivable from mobile home parks (“MHP”),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136,613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notes receivable,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 - leased mobile homes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assets - operating leases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591,472</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gridSpan w:val="2"/>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580,337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shd w:val="clear" w:color="auto" w:fill="CCEEFF"/>
          </w:tcPr>
          <w:p>
            <w:pPr>
              <w:ind w:left="214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Customer deposits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Escrow liability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obligation</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46,858</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obligation, less current portion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Lines of credit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Dealer incentive liability</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52,479</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 shares issued or outstanding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$.001 par value, 90,000,000 shares authorized; 24,866,342 and 24,866,342 issued and</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23,781,601 and 23,812,341 outstanding at March 31, 2026 and December 31, 2025, respectively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Treasury stock at cost, 1,084,741 and 1,054,001 shares at March 31, 2026 and December 31, 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182,881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374,137</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538,993</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591,472</w:t>
            </w:r>
          </w:p>
        </w:tc>
        <w:tc>
          <w:tcPr>
            <w:tcW w:w="2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580,337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40"/>
        <w:spacing w:after="0"/>
        <w:rPr>
          <w:sz w:val="20"/>
          <w:szCs w:val="20"/>
          <w:color w:val="auto"/>
        </w:rPr>
      </w:pPr>
      <w:r>
        <w:rPr>
          <w:rFonts w:ascii="Times New Roman" w:cs="Times New Roman" w:eastAsia="Times New Roman" w:hAnsi="Times New Roman"/>
          <w:sz w:val="16"/>
          <w:szCs w:val="16"/>
          <w:color w:val="auto"/>
        </w:rPr>
        <w:t>See accompanying notes to unaudited interim financial statements</w:t>
      </w:r>
      <w:r>
        <w:rPr>
          <w:rFonts w:ascii="Times New Roman" w:cs="Times New Roman" w:eastAsia="Times New Roman" w:hAnsi="Times New Roman"/>
          <w:sz w:val="14"/>
          <w:szCs w:val="14"/>
          <w:color w:val="auto"/>
        </w:rPr>
        <w:t>.</w:t>
      </w:r>
    </w:p>
    <w:p>
      <w:pPr>
        <w:sectPr>
          <w:pgSz w:w="11900" w:h="16838" w:orient="portrait"/>
          <w:cols w:equalWidth="0" w:num="1">
            <w:col w:w="9380"/>
          </w:cols>
          <w:pgMar w:left="1260" w:top="513" w:right="12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380"/>
          </w:cols>
          <w:pgMar w:left="1260" w:top="513" w:right="1259"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other sales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23,808,350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23,838,330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color w:val="auto"/>
        </w:rPr>
        <w:t>See accompanying notes to unaudited interim financial statements.</w:t>
      </w:r>
    </w:p>
    <w:p>
      <w:pPr>
        <w:spacing w:after="0" w:line="200" w:lineRule="exact"/>
        <w:rPr>
          <w:sz w:val="20"/>
          <w:szCs w:val="20"/>
          <w:color w:val="auto"/>
        </w:rPr>
      </w:pPr>
    </w:p>
    <w:p>
      <w:pPr>
        <w:spacing w:after="0" w:line="39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513" w:right="1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gridSpan w:val="2"/>
            <w:vMerge w:val="restart"/>
          </w:tcPr>
          <w:p>
            <w:pPr>
              <w:ind w:left="35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220" w:type="dxa"/>
            <w:vAlign w:val="bottom"/>
            <w:gridSpan w:val="3"/>
            <w:vMerge w:val="continue"/>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8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24,158,311</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$ 321,400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$ 493,956</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24,129,362</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(10,550)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$ 331,676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$ 503,728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20" w:type="dxa"/>
            <w:vAlign w:val="bottom"/>
          </w:tcPr>
          <w:p>
            <w:pPr>
              <w:spacing w:after="0"/>
              <w:rPr>
                <w:sz w:val="24"/>
                <w:szCs w:val="24"/>
                <w:color w:val="auto"/>
              </w:rPr>
            </w:pPr>
          </w:p>
        </w:tc>
        <w:tc>
          <w:tcPr>
            <w:tcW w:w="3620" w:type="dxa"/>
            <w:vAlign w:val="bottom"/>
            <w:gridSpan w:val="2"/>
            <w:vMerge w:val="restart"/>
          </w:tcPr>
          <w:p>
            <w:pPr>
              <w:ind w:left="35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paid-in-capital</w:t>
            </w:r>
            <w:r>
              <w:rPr>
                <w:rFonts w:ascii="Times New Roman" w:cs="Times New Roman" w:eastAsia="Times New Roman" w:hAnsi="Times New Roman"/>
                <w:sz w:val="14"/>
                <w:szCs w:val="14"/>
                <w:color w:val="auto"/>
              </w:rPr>
              <w:t xml:space="preserve"> ​​​</w:t>
            </w: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8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2025</w:t>
            </w: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23,812,341</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(17,484)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$ 363,209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$ 528,614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(30,740)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23,781,601</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(18,057)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$ 374,137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$ 538,993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Shares are net of treasury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LEGACY HOUSING CORPORATION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760" w:type="dxa"/>
            <w:vAlign w:val="bottom"/>
            <w:gridSpan w:val="2"/>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revenue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amortization,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lines of credit cost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accounts and notes receivable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or Loss from sale of property</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inventories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receivable,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loans activity,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MHP activity,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Dealer inventory loan activity,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 leased mobile homes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activity,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Escrow liability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Dealer incentive liability</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notes receivable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receivable collections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Collections from purchased loans</w:t>
            </w: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lines of credit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lines of credit</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5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7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5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interim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ind w:left="60" w:right="119" w:firstLine="713"/>
        <w:spacing w:after="0" w:line="261" w:lineRule="auto"/>
        <w:rPr>
          <w:sz w:val="20"/>
          <w:szCs w:val="20"/>
          <w:color w:val="auto"/>
        </w:rPr>
      </w:pPr>
      <w:r>
        <w:rPr>
          <w:rFonts w:ascii="Times New Roman" w:cs="Times New Roman" w:eastAsia="Times New Roman" w:hAnsi="Times New Roman"/>
          <w:sz w:val="18"/>
          <w:szCs w:val="18"/>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39" w:lineRule="exact"/>
        <w:rPr>
          <w:sz w:val="20"/>
          <w:szCs w:val="20"/>
          <w:color w:val="auto"/>
        </w:rPr>
      </w:pPr>
    </w:p>
    <w:p>
      <w:pPr>
        <w:ind w:left="60" w:right="99" w:firstLine="713"/>
        <w:spacing w:after="0" w:line="256" w:lineRule="auto"/>
        <w:rPr>
          <w:sz w:val="20"/>
          <w:szCs w:val="20"/>
          <w:color w:val="auto"/>
        </w:rPr>
      </w:pPr>
      <w:r>
        <w:rPr>
          <w:rFonts w:ascii="Times New Roman" w:cs="Times New Roman" w:eastAsia="Times New Roman" w:hAnsi="Times New Roman"/>
          <w:sz w:val="18"/>
          <w:szCs w:val="18"/>
          <w:color w:val="auto"/>
        </w:rPr>
        <w:t>The Company (1) manufactures and provides for the transport of manufactured homes, (2) provides wholesale financing to dealers and mobile home parks, (3) provides retail financing to consumers and (4) is involved in financing and developing new manufactured home communities. The Company manufactures its homes at plants located in Fort Worth, Texas, Commerce, Texas and Eatonton, Georgia. The Company relies on a network of dealers to market and sell its manufactured homes. The Company also sells homes directly to consumers, through its own retail stores, and to dealers and mobile home parks.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The accompanying unaudited interim financial statements have been prepared in accordance with accounting principles generally accepted in the United States of America ("GAAP") for interim financial information and pursuant to the rules and regulations of the U.S. Securities and Exchange Commission ("SEC") as required by Regulation S-X, Rule 8-</w:t>
      </w:r>
    </w:p>
    <w:p>
      <w:pPr>
        <w:spacing w:after="0" w:line="2" w:lineRule="exact"/>
        <w:rPr>
          <w:sz w:val="20"/>
          <w:szCs w:val="20"/>
          <w:color w:val="auto"/>
        </w:rPr>
      </w:pPr>
    </w:p>
    <w:p>
      <w:pPr>
        <w:ind w:left="60" w:right="219" w:hanging="10"/>
        <w:spacing w:after="0" w:line="251" w:lineRule="auto"/>
        <w:tabs>
          <w:tab w:leader="none" w:pos="3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management, the unaudited interim financial statements have been prepared on the same basis as the audited annual financial statements, and include all adjustments, consisting only of normal recurring adjustments, necessary for the fair statement of the Company's financial position for the periods presented. The results for the three months ending March 31, 2026 are not necessarily indicative of the results to be expected for the year ending December 31, 2026, or any other period. The accompanying balance sheet as of December 31, 2025 was derived from audited financial statements included in the Company's Annual Report on Form 10-K for the year ended December 31, 2025 (the “Form 10-K”), filed on March 12, 2026. The accompanying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Significant estimates made in connection with the accompanying financial statements primarily relate to the determination and valuation of notes receivable from mobile home parks, consumer loans receivable, other notes receivable, dealer financed receivables and fair value of financial instruments. Actual results could differ from these estimates.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89"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Company has one reportable segment. All of our activities are interrelated, and each activity is dependent and assessed based on how each of the activities of the Company supports the others. For example, the sale of manufactured homes includes providing transportation for dealers. We also provide financing options for customers to facilitate home sales. Accordingly, all significant operating and strategic decisions by the co-chief operating decision makers, the Executive Chairman and Chief Executive Officer, are based upon analyses of our company as one operating segment.</w:t>
      </w:r>
    </w:p>
    <w:p>
      <w:pPr>
        <w:spacing w:after="0" w:line="141" w:lineRule="exact"/>
        <w:rPr>
          <w:sz w:val="20"/>
          <w:szCs w:val="20"/>
          <w:color w:val="auto"/>
        </w:rPr>
      </w:pPr>
    </w:p>
    <w:p>
      <w:pPr>
        <w:ind w:left="60" w:right="399" w:firstLine="648"/>
        <w:spacing w:after="0" w:line="277" w:lineRule="auto"/>
        <w:rPr>
          <w:sz w:val="20"/>
          <w:szCs w:val="20"/>
          <w:color w:val="auto"/>
        </w:rPr>
      </w:pPr>
      <w:r>
        <w:rPr>
          <w:rFonts w:ascii="Times New Roman" w:cs="Times New Roman" w:eastAsia="Times New Roman" w:hAnsi="Times New Roman"/>
          <w:sz w:val="17"/>
          <w:szCs w:val="17"/>
          <w:color w:val="auto"/>
        </w:rPr>
        <w:t>We generate revenues through the manufacture and sales of manufactured homes and “Tiny Houses” and the related interest income associated with financing these homes sales. We define the segment primarily based on how internally reported financial and operating information is regularly reviewed by our co-chief operating decision makers (“co-CODMs”) to evaluate financial performance, make decisions and allocate resources. Our co-CODMs are our Executive Chairman and Chief Executive Officer. The co-CODMs assess performance for the segment based on net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income and total assets that are also reported on the statements of income and balance sheet as net income and total assets, respectively. The accounting policies of the segment are the same as those described in the summary of significant accounting policies. The co-CODMs assess our operating and financial performance on a company-wide or consolidated basis.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jc w:val="both"/>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Product sales primarily consist of sales of manufactured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w:t>
      </w:r>
    </w:p>
    <w:p>
      <w:pPr>
        <w:spacing w:after="0" w:line="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Consumer, MHP and dealer loans interest includes interest income from the consumer, MHP and dealer finance loan portfolios. Other revenue consists of contract deposit forfeitures, consignment fees, commercial lease rents, land sales, service fees and other miscellaneous income.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Net accounts receivable includes receivables from direct sales of manufactured homes, sales of parts and supplies to customers, inventory finance fees and interest.</w:t>
      </w:r>
    </w:p>
    <w:p>
      <w:pPr>
        <w:spacing w:after="0" w:line="121"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related to inventory finance fees and interest generally are due upon receipt, and all other accounts receivable generally are due within 30 days. Accounts receivable is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March 31, 2026, December 31, 2025, and December 31, 2024, the allowance for doubtful accounts totaled $1.7 million, $1.5 million, and $0.6 million, respectively. At March 31, 2026, December 31, 2025, and December 31, 2024 accounts receivable, net was $5.1 million, $5.5 million, and $4.0 million, respectively.</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Receivable Loan Portfolios</w:t>
      </w:r>
    </w:p>
    <w:p>
      <w:pPr>
        <w:spacing w:after="0" w:line="18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Interest receivable loan portfolios, net relates to accrued interest for consumer loans receivable, notes receivable from mobile home parks, and other notes receivable. The interest accrual is calculated within the Company’s loan management system from the date of last customer payment received through the end of the period. Separately an interest receivable allowance is established for all interest payments past due more than 90 days. The interest receivable is stated net of the allowance. At March 31, 2026, December 31, 2025, and December 31, 2024 the interest receivable, net was $3.7 million, $3.5 million, and $3.3 million, respectively.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Leased Property</w:t>
      </w:r>
    </w:p>
    <w:p>
      <w:pPr>
        <w:spacing w:after="0" w:line="20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offers mobile home park operators the opportunity to lease manufactured homes for rent in lieu of purchasing the homes for cash or under a longer-term financing agreement. In this arrangement, the title for the manufactured homes remains with the Company, and the lease is accounted for as an operating lease.</w:t>
      </w:r>
    </w:p>
    <w:p>
      <w:pPr>
        <w:spacing w:after="0" w:line="1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typical lease agreement is for 96 months or 120 months. It requires the lessee to maintain the home and to return the home to us at the end of the lease in good condition. It provides the lessee with a termination option for a fee, an option to extend the lease and a purchase option at fair market value.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leased manufactured homes are included in other assets on the Company’s balance sheet, capitalized at manufactured cost and depreciated over a 15 year useful life. Homes returned to the Company upon expiration of the lease or in the event of default are sold by the Company through its standard sales and distribution channels.</w:t>
      </w:r>
    </w:p>
    <w:p>
      <w:pPr>
        <w:spacing w:after="0" w:line="1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income under all operating leases for each of the next five years at March 31, 2026, is as follows (in thousands):</w:t>
      </w:r>
    </w:p>
    <w:p>
      <w:pPr>
        <w:spacing w:after="0" w:line="85"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18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retail home buyers with a one-year warranty from the date of purchase on manufactured inventory. At this time, we do not provide any warranties with respect to “Tiny Houses”.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the warranty liability balance is included as part of accrued liabilities in the Company’s balance sheet.</w:t>
      </w:r>
    </w:p>
    <w:p>
      <w:pPr>
        <w:spacing w:after="0" w:line="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activity within the warranty liability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38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liability, beginning of period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reserve accrued</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0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liability, end of period</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02" w:lineRule="exact"/>
        <w:rPr>
          <w:sz w:val="20"/>
          <w:szCs w:val="20"/>
          <w:color w:val="auto"/>
        </w:rPr>
      </w:pPr>
    </w:p>
    <w:p>
      <w:pPr>
        <w:ind w:left="60" w:right="219" w:firstLine="648"/>
        <w:spacing w:after="0" w:line="257" w:lineRule="auto"/>
        <w:rPr>
          <w:sz w:val="20"/>
          <w:szCs w:val="20"/>
          <w:color w:val="auto"/>
        </w:rPr>
      </w:pPr>
      <w:r>
        <w:rPr>
          <w:rFonts w:ascii="Times New Roman" w:cs="Times New Roman" w:eastAsia="Times New Roman" w:hAnsi="Times New Roman"/>
          <w:sz w:val="18"/>
          <w:szCs w:val="18"/>
          <w:color w:val="auto"/>
        </w:rPr>
        <w:t>Our intangible assets consist of trade name, internally developed software, customer contracts, and non-compete agreements, are considered finite-lived, and are amortized over their useful lives. Finite-lived intangibles are generally amortized over 1 to 15 years on a straight-line depreciation basis and are reviewed for possible impairment</w:t>
      </w:r>
    </w:p>
    <w:p>
      <w:pPr>
        <w:spacing w:after="0" w:line="1" w:lineRule="exact"/>
        <w:rPr>
          <w:sz w:val="20"/>
          <w:szCs w:val="20"/>
          <w:color w:val="auto"/>
        </w:rPr>
      </w:pPr>
    </w:p>
    <w:p>
      <w:pPr>
        <w:ind w:left="60" w:right="419"/>
        <w:spacing w:after="0" w:line="255"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amounts may not be recoverable. Amortization expenses recognized on intangible assets was $0.2 million for the three months ended March 31, 2026. Finite-lived intangible have a weighted average remaining life of 10.1 years.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intangible asset amortization expense (in thousands):</w:t>
      </w:r>
    </w:p>
    <w:p>
      <w:pPr>
        <w:spacing w:after="0" w:line="220"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2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73"/>
        </w:trPr>
        <w:tc>
          <w:tcPr>
            <w:tcW w:w="220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9"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Company accounts for share-based compensation in accordance with the provisions of Accounting Standards Codification (“ASC”) 718, Compensation—Stock Compensation. Share-based compensation expense is recognized based on an award’s estimated grant date fair value in order to recognize compensation cost for those shares expected to vest.</w:t>
      </w:r>
    </w:p>
    <w:p>
      <w:pPr>
        <w:spacing w:after="0" w:line="2"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Compensation cost is recognized on a straight-line basis over the vesting period of the awards and adjusted as forfeitures occur. The fair value of each option grant with only service-based conditions is estimated using the Black-Scholes pricing model. The fair value of each restricted stock grant with only service-based conditions is calculated based on the closing price of the Company’s common stock on the grant date.</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 estimated based on the historical volatility of the Company’s common stock. The expected life of awards granted represents the period during which the awards are expected to remain outstanding, based on the “simplified” method, which is allowed for companies that cannot reasonably estimate the expected life of options based on their historical award exercise experience. The Company does not expect to pay dividends on its common stock.</w:t>
      </w:r>
    </w:p>
    <w:p>
      <w:pPr>
        <w:spacing w:after="0" w:line="148" w:lineRule="exact"/>
        <w:rPr>
          <w:sz w:val="20"/>
          <w:szCs w:val="20"/>
          <w:color w:val="auto"/>
        </w:rPr>
      </w:pPr>
    </w:p>
    <w:p>
      <w:pPr>
        <w:jc w:val="both"/>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Pursuant to the Legacy Housing Corporation 2018 Incentive Compensation Plan (the “Plan”), the Company may issue up to 10.0 million equity awards to employees, directors, consultants, and nonemployee service providers in the form of stock options, stock, restricted stock, and stock appreciation rights. Stock options may be granted with a contractual life of up to ten years. At March 31, 2026, the Company had 9.2 million shares available for grant under the Plan.</w:t>
      </w:r>
    </w:p>
    <w:p>
      <w:pPr>
        <w:spacing w:after="0" w:line="16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stock options to purchase approximately 50,000 shares of common stock were outstanding under the Plan at an exercise price of $19.85, and expire on dates ranging from December 2030 to December 2035, none of which are currently exercisable. Unrecognized compensation expense related to these options at March 31, 2026 was $0.4 million and is expected to be recognized over 7.7 years. Total share-based compensation expense was immaterial for the three months ended March 31, 2026 and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Income Statement Reporting -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 Disaggregation Disclosures (Subtopic 220-40), Disaggregation of Income Statement Expenses</w:t>
      </w:r>
      <w:r>
        <w:rPr>
          <w:rFonts w:ascii="Times New Roman" w:cs="Times New Roman" w:eastAsia="Times New Roman" w:hAnsi="Times New Roman"/>
          <w:sz w:val="18"/>
          <w:szCs w:val="18"/>
          <w:color w:val="auto"/>
        </w:rPr>
        <w:t>. The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improves the disclosures about a public business entity’s expenses by requiring more detailed information about certain types of costs and expenses in the notes to the financial statements.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the disclosure requirements related to the new standard on its financial statements.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02" w:lineRule="exact"/>
        <w:rPr>
          <w:sz w:val="20"/>
          <w:szCs w:val="20"/>
          <w:color w:val="auto"/>
        </w:rPr>
      </w:pPr>
    </w:p>
    <w:p>
      <w:pPr>
        <w:jc w:val="both"/>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Product sales primarily consist of sales of manufactured homes to consumers and mobile home parks through various sales channels, which include Direct Sales, Commercial Sales, Inventory Finance Sales, and Retail Store Sales. Direct Sales include homes sold directly to independent retailers or customers that are not financed by the Company and are not sold under an inventory finance arrangement. These types of homes are generally paid for prior to shipment.</w:t>
      </w:r>
    </w:p>
    <w:p>
      <w:pPr>
        <w:spacing w:after="0" w:line="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Commercial Sales include homes sold to mobile home parks under commercial loan programs or paid for upfront. Inventory Finance Sales include sales of homes to independent retailers, or dealers, who then resell the homes to consumers. Retail Store Sales are homes sold through Company-owned retail locations. Inventory Finance Sales and Retail Store Sales of homes may be financed by the Company or a third party, or they may be paid in cash.</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when the performance obligation under the terms of a contract with our customer is satisfied, which typically occurs upon delivery and transfer of title of the home, as this depicts when control of the promised good is transferred to our customers.</w:t>
      </w:r>
    </w:p>
    <w:p>
      <w:pPr>
        <w:spacing w:after="0" w:line="13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For inventory financed sales, the independent dealer enters into a financing arrangement with the Company and is required to make monthly interest payments. Interest income is recorded separately in the statement of income. For other financed sales by the Company, the individual customer enters into a sales and financing contract and is required to make a down payment. These financed sales contain a significant financing component and any interest income is recorded separately in the statement of income.</w:t>
      </w:r>
    </w:p>
    <w:p>
      <w:pPr>
        <w:spacing w:after="0" w:line="156"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Warranty costs are included in selling, general, and administrative expenses, in the statements of income. Warranty and contract costs were $0.3 million and $0.5 million for the three months ended March 31, 2026 and 2025, respectively.</w:t>
      </w:r>
    </w:p>
    <w:p>
      <w:pPr>
        <w:spacing w:after="0" w:line="138"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2026 and 2025, total cost of product sales included $1.7 million for both comparison periods consisting of costs relating to </w:t>
      </w:r>
      <w:r>
        <w:rPr>
          <w:rFonts w:ascii="Times New Roman" w:cs="Times New Roman" w:eastAsia="Times New Roman" w:hAnsi="Times New Roman"/>
          <w:sz w:val="18"/>
          <w:szCs w:val="18"/>
          <w:color w:val="222222"/>
        </w:rPr>
        <w:t>subcontracted production for commercial sales, transportation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delivery costs, and certain other costs incurred for retail store and commercial sales.</w:t>
      </w:r>
    </w:p>
    <w:p>
      <w:pPr>
        <w:spacing w:after="0" w:line="12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Other revenue consists of contract deposit forfeitures, consignment fees, commercial lease rents, land sales, service fees and other 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 Land sales revenue is comprised of sales of land (real property) that was acquired as a result of maintaining or furthering our primary business of producing, selling, and financing manufactured homes. Land sale revenue for the three months ended March 31, 2026 and 2025 were $1.1 million and $0.1 million, respectively.</w:t>
      </w:r>
    </w:p>
    <w:p>
      <w:pPr>
        <w:spacing w:after="0" w:line="13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there was one mobile home park (“MHP”) customer that accounted for more than 5.0% of our total product sales. Their MHP sales accounted for $1.4 million or 6.6% of our total product sales. For the three months ended March 31, 2025, there were no MHP customers that accounted for more than 5.0% of our total product sales.</w:t>
      </w:r>
    </w:p>
    <w:p>
      <w:pPr>
        <w:spacing w:after="0" w:line="12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received a non-refundable advance deposit of approximately $7.1 million from a single customer in connection with a large order of manufactured homes intended for use as workforce housing. Production of the related units commenced during the first quarter of 2026, however no units had shipped and no revenue had been recognized in respect of the deposit as of March 31, 2026. The deposit is included in customer deposits on the accompanying balance sheet. Deliveries are expected to begin during the second quarter of 2026, and the Company expects to recognize substantially all of the related product sales revenue during the remainder of 2026 upon delivery and transfer of title of the units.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Disaggregation of Revenue. The following table summarizes customer contract revenues disaggregated by the source of the revenue (in thousands):</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48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sales</w:t>
            </w:r>
          </w:p>
        </w:tc>
        <w:tc>
          <w:tcPr>
            <w:tcW w:w="1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520" w:type="dxa"/>
            <w:vAlign w:val="bottom"/>
            <w:gridSpan w:val="4"/>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sales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finance sales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store sales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product sales (1)</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sales</w:t>
            </w:r>
          </w:p>
        </w:tc>
        <w:tc>
          <w:tcPr>
            <w:tcW w:w="1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Loan portfolio interest:</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 consumer installment notes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 MHP notes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 dealer finance notes</w:t>
            </w:r>
          </w:p>
        </w:tc>
        <w:tc>
          <w:tcPr>
            <w:tcW w:w="1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loan portfolio interest</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40" w:hanging="315"/>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 sales revenue from ancillary products and services including parts, freight and other services</w:t>
      </w:r>
    </w:p>
    <w:p>
      <w:pPr>
        <w:spacing w:after="0" w:line="180" w:lineRule="exact"/>
        <w:rPr>
          <w:rFonts w:ascii="Times New Roman" w:cs="Times New Roman" w:eastAsia="Times New Roman" w:hAnsi="Times New Roman"/>
          <w:sz w:val="18"/>
          <w:szCs w:val="18"/>
          <w:color w:val="auto"/>
        </w:rPr>
      </w:pPr>
    </w:p>
    <w:p>
      <w:pPr>
        <w:ind w:left="240" w:hanging="190"/>
        <w:spacing w:after="0"/>
        <w:tabs>
          <w:tab w:leader="none" w:pos="2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CONSUMER LOANS RECEIVABLE</w:t>
      </w:r>
    </w:p>
    <w:p>
      <w:pPr>
        <w:spacing w:after="0" w:line="189"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Consumer loans receivable result from financing transactions entered into with retail consumers of manufactured homes sold through independent retailers and company-owned retail locations. Consumer loans receivable generally consists of the sales price and any additional financing fees, less the buyer’s down payment. Interest income is recognized monthly per the terms of the financing agreement. The average contractual interest rate per loan was approximately 13.1% for March 31, 2026 and December 31, 2025. Consumer loans receivable have maturities that range from 3 to 30 years.</w:t>
      </w:r>
    </w:p>
    <w:p>
      <w:pPr>
        <w:spacing w:after="0" w:line="141"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loan applications in an underwriting process which considers credit history, among other things, to evaluate credit risk of the consumer and determines interest rates on approved loans based on consumer credit score, payment ability and down payment amount.</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uses payment history to monitor the credit quality of the consumer loans on an ongoing basis.</w:t>
      </w:r>
    </w:p>
    <w:p>
      <w:pPr>
        <w:spacing w:after="0" w:line="18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receive escrow payments for property taxes and insurance included in its consumer loan collections. The liabilities associated with these escrow collections totaled $13.5 million and $13.1 million as of March 31, 2026 and December 31, 2025, respectively, and are included in escrow liability in the accompanying balance sheets.</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Allowance for Loan Losses—Consumer Loans Receivable</w:t>
      </w:r>
    </w:p>
    <w:p>
      <w:pPr>
        <w:spacing w:after="0" w:line="187"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comprised of two components: the general reserve and specific reserves. The Company’s calculation of the general reserve considers the historical loan default rates and collateral recovery rates for the last three years and any qualitative factors both internal and external to the Company. Specific reserves are determined based on probable losses on specific classified impaired loans.</w:t>
      </w:r>
    </w:p>
    <w:p>
      <w:pPr>
        <w:spacing w:after="0" w:line="13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Company’s policy is to place a loan on nonaccrual status when there is a clear indication that the borrower’s cash flow may not be sufficient to meet payments as they become due, which generally is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Impaired loans are those loans for which it is probable that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include: (1) the length of time the unit remained unsold after construction; (2) the amount of time the house was occupied; (3) the cooperation level of the borrowers (for example, loans requiring legal action or extensive field collection efforts may have a reduced value); (4) the physical location of the home; (5) the length of time the borrower has lived in the house without making payments; (6) the size of the home and market conditions; and (7) the experience and expertise of the particular dealer assisting in collection efforts.</w:t>
      </w:r>
    </w:p>
    <w:p>
      <w:pPr>
        <w:spacing w:after="0" w:line="15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Collateral for repossessed loans is acquired through foreclosure or similar proceedings and is recorded at the estimated fair value of the home, less the costs to sell. At repossession, the collateral is recorded at the same amount as the principal balance of the loan. The fair value of the collateral is then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from the consumer loan portfolio totaled $10.6 million and $8.4 million as of March 31, 2026 and December 31, 2025, respectively, and are included in other assets in the accompanying balance sheets.</w:t>
      </w:r>
    </w:p>
    <w:p>
      <w:pPr>
        <w:spacing w:after="0" w:line="151"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Consumer loans receivable, net of allowance for loan losses and deferred financing fees, consists of the following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94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loans receivable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177,289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Consumer loans receivable, net</w:t>
            </w:r>
          </w:p>
        </w:tc>
        <w:tc>
          <w:tcPr>
            <w:tcW w:w="8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199,325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198,814</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174,105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80" w:type="dxa"/>
            <w:vAlign w:val="bottom"/>
            <w:vMerge w:val="restart"/>
          </w:tcPr>
          <w:p>
            <w:pPr>
              <w:jc w:val="right"/>
              <w:ind w:right="399"/>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5"/>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1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offs) recoveries</w:t>
            </w:r>
          </w:p>
        </w:tc>
        <w:tc>
          <w:tcPr>
            <w:tcW w:w="1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10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80" w:type="dxa"/>
            <w:vAlign w:val="bottom"/>
            <w:gridSpan w:val="2"/>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detailed aging of consumer loans receivable that are past due is as follows (in thousands):</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00" w:type="dxa"/>
            <w:vAlign w:val="bottom"/>
            <w:tcBorders>
              <w:bottom w:val="single" w:sz="8" w:color="CCEEFF"/>
            </w:tcBorders>
          </w:tcPr>
          <w:p>
            <w:pPr>
              <w:spacing w:after="0"/>
              <w:rPr>
                <w:sz w:val="15"/>
                <w:szCs w:val="15"/>
                <w:color w:val="auto"/>
              </w:rPr>
            </w:pPr>
          </w:p>
        </w:tc>
        <w:tc>
          <w:tcPr>
            <w:tcW w:w="26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 receivable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w:t>
            </w:r>
            <w:r>
              <w:rPr>
                <w:rFonts w:ascii="Times New Roman" w:cs="Times New Roman" w:eastAsia="Times New Roman" w:hAnsi="Times New Roman"/>
                <w:sz w:val="18"/>
                <w:szCs w:val="18"/>
                <w:u w:val="single" w:color="auto"/>
                <w:color w:val="auto"/>
                <w:w w:val="98"/>
              </w:rPr>
              <w:t>0</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Past due consumer loans:</w:t>
            </w: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290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31</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 days past due</w:t>
            </w:r>
          </w:p>
        </w:tc>
        <w:tc>
          <w:tcPr>
            <w:tcW w:w="8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61</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- 90 days past due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91</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- 120 days past due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Greater than 120 days past due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evaluate the credit quality of our consumer loan portfolio based on the aging status of the loan and by payment activity. Loan delinquency reporting generally is based on borrower payment activity relative to the contractual terms of the loan. The following table disaggregates the outstanding principal balance of consumer loans receivable by credit quality indicator based on delinquency status and fiscal year of origination and is presented as of March 31, 2026:</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2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gridSpan w:val="2"/>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70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2"/>
                <w:szCs w:val="12"/>
                <w:color w:val="auto"/>
              </w:rPr>
            </w:pPr>
          </w:p>
        </w:tc>
        <w:tc>
          <w:tcPr>
            <w:tcW w:w="8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10"/>
        </w:trPr>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 30 days past due</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$ 8,732</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$ 46,539</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$ 29,323</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$ 24,515</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$ 19,160</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$ 71,624</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$ 199,893</w:t>
            </w: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30-90 days past due</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90 days past due</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$ 8,732</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$ 47,815</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$ 30,064</w:t>
            </w:r>
          </w:p>
        </w:tc>
        <w:tc>
          <w:tcPr>
            <w:tcW w:w="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$ 24,871</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$ 19,917</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$ 73,423</w:t>
            </w: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$ 204,822</w:t>
            </w:r>
          </w:p>
        </w:tc>
        <w:tc>
          <w:tcPr>
            <w:tcW w:w="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NOTES RECEIVABLE FROM MOBILE HOME PARKS</w:t>
      </w:r>
    </w:p>
    <w:p>
      <w:pPr>
        <w:spacing w:after="0" w:line="189" w:lineRule="exact"/>
        <w:rPr>
          <w:sz w:val="20"/>
          <w:szCs w:val="20"/>
          <w:color w:val="auto"/>
        </w:rPr>
      </w:pPr>
    </w:p>
    <w:p>
      <w:pPr>
        <w:ind w:left="60" w:right="159" w:firstLine="324"/>
        <w:spacing w:after="0" w:line="274" w:lineRule="auto"/>
        <w:rPr>
          <w:sz w:val="20"/>
          <w:szCs w:val="20"/>
          <w:color w:val="auto"/>
        </w:rPr>
      </w:pPr>
      <w:r>
        <w:rPr>
          <w:rFonts w:ascii="Times New Roman" w:cs="Times New Roman" w:eastAsia="Times New Roman" w:hAnsi="Times New Roman"/>
          <w:sz w:val="17"/>
          <w:szCs w:val="17"/>
          <w:color w:val="auto"/>
        </w:rPr>
        <w:t>The notes receivable from mobile home parks (“MHP Notes”) relate to manufactured homes sold to mobile home parks and financed through notes receivable. The MHP Notes have varying maturity dates and require monthly principal and interest payments. The interest rate on the MHP Notes can be fixed or variable, and the interest rates range from 4.9% to 17.5%. The average interest rate per loan was approximately 8.2% as of March 31, 2026 and 8.1% as of December 31, 2025, with maturities that range from 1 to 10 years. The collateral underlying the MHP Notes are individual manufactured homes which can be repossessed and resold. The MHP Notes are generally personally guaranteed by borrowers.</w:t>
      </w:r>
    </w:p>
    <w:p>
      <w:pPr>
        <w:spacing w:after="0" w:line="173"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concentrations of MHP Notes with three independent third parties and their respective affiliates that equated to 24.3%, 11.1%, and 8.7% of the principal balance outstanding, all of which were secured by the manufactured homes. As of December 31, 2025, the Company had concentrations of MHP Notes with three independent third-parties and their respective affiliates that equated to 24.7%, 9.6%, and 7.4% of the principal balance outstanding, all of which were secured by the manufactured homes.</w:t>
      </w:r>
    </w:p>
    <w:p>
      <w:pPr>
        <w:spacing w:after="0" w:line="15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composed of specific and general reserve amounts. As of March 31, 2026 and December 31, 2025, the MHP Notes balance is presented net of unamortized finance fees of $1.0 million and $1.1 million, respectively. The finance fees are amortized over the life of the MHP Notes. As of March 31, 2026, there were past due balances of $0.2 million on MHP Notes. As of December 31, 2025, there were past due balances of $0.6 million on the MHP Notes.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Settlement Agreement</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2024, the Company and various borrowers and guarantors (the “Makers”) entered into a Settlement Agreement and Release (the “Agreement”) to resolve disputes related to previously existing promissory notes with an aggregate principal balance of approximately $55.0 million, of which approximately $37.0 million had been accelerated following default. As consideration under the Agreement, the Makers conveyed to the Company clear title to the Forest Hollow Mobile Home Community in Beaumont, Texas and the Cleveland Mobile Home Community in Richland, Mississippi, together with related personal property and intangible assets, and the parties executed a new $48.6 million promissory note (the “New Note”) bearing a fixed interest rate of 7.9%, requiring monthly interest-only payments for twenty-four months and maturing in July 2026. The New Note is secured by a first-priority interest in more than 1,000 manufactured homes and two mobile-home parks located in Louisiana and is personally guaranteed by the individual borrowers.</w:t>
      </w:r>
    </w:p>
    <w:p>
      <w:pPr>
        <w:spacing w:after="0" w:line="8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Company evaluated the recoverability of the New Note and based on an analysis of the fair value of the underlying collateral, the current payment status of the borrowers, and other relevant credit quality indicators, determined that a provision for expected loan losses on the New Note was not necessary.</w:t>
      </w:r>
    </w:p>
    <w:p>
      <w:pPr>
        <w:spacing w:after="0" w:line="17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Notes receivable from mobile home parks, net of allowance for loan losses and deferred financing fees, consisted of the following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196,994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196,538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3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7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(in thousands):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6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evaluate the credit quality of our MHP portfolio based on the aging status of the loan and by payment activity. Loan delinquency reporting is generally based upon borrower payment activity relative to the contractual terms of the loan. The following table disaggregates the outstanding principal balance of MHP receivable by credit quality indicator based on delinquency status and fiscal year of origination and is presented as of March 31, 2026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Year of Origination</w:t>
            </w: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2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gridSpan w:val="2"/>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70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2"/>
                <w:szCs w:val="12"/>
                <w:color w:val="auto"/>
              </w:rPr>
            </w:pPr>
          </w:p>
        </w:tc>
        <w:tc>
          <w:tcPr>
            <w:tcW w:w="86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 30 days past due</w:t>
            </w:r>
          </w:p>
        </w:tc>
        <w:tc>
          <w:tcPr>
            <w:tcW w:w="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$ 10,849</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$ 61,409</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$ 76,824</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$ 11,938</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$ 18,502</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$ 14,480</w:t>
            </w: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$ 194,002</w:t>
            </w: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30-90 days past due</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90 days past due</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$ 10,849</w:t>
            </w: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$ 64,495</w:t>
            </w: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$ 79,142</w:t>
            </w:r>
          </w:p>
        </w:tc>
        <w:tc>
          <w:tcPr>
            <w:tcW w:w="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$ 11,938</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$ 18,502</w:t>
            </w: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$ 14,616</w:t>
            </w: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$ 199,542</w:t>
            </w:r>
          </w:p>
        </w:tc>
        <w:tc>
          <w:tcPr>
            <w:tcW w:w="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OTHER NOTES RECEIVABLE</w:t>
      </w:r>
    </w:p>
    <w:p>
      <w:pPr>
        <w:spacing w:after="0" w:line="18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Other notes receivable relate to notes issued to mobile home park owners and dealers and are not directly tied to the sale of manufactured homes. These other notes have varying maturity dates and generally require monthly principal and interest payments. They are collateralized by mortgages on real estate, manufactured homes that we have financed for which the borrower uses as offices, as well as vehicles. These notes typically are personally guaranteed by the borrowers. The interest rates on the other notes generally are fixed and range from 5.0% to 17.5%. The Company reserves for estimated losses on the other notes based on current economic conditions that may affect the borrower’s ability to pay, the borrower’s financial strength, and historical loss experience.</w:t>
      </w:r>
    </w:p>
    <w:p>
      <w:pPr>
        <w:spacing w:after="0" w:line="14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concentrations of other notes receivable with three independent third-parties and their respective affiliates that equated to 53.0%, 10.2%, and 9.0% of the principal balance outstanding, all of which were secured by the manufactured homes. As of December 31, 2025, the Company had concentrations of other notes receivable with three independent third-parties and their respective affiliates that equated to 54.9%, 10.6%, and 9.2% of the principal balance outstanding, all of which were secured by the manufactured homes.</w:t>
      </w:r>
    </w:p>
    <w:p>
      <w:pPr>
        <w:spacing w:after="0" w:line="156"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were past due balances of $0.2 million on other notes. As of December 31, 2025, there were past due balances of $0.2 million on other notes.</w:t>
      </w:r>
    </w:p>
    <w:p>
      <w:pPr>
        <w:spacing w:after="0" w:line="12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there were no charge offs recorded for other notes. Allowance for loan loss for the other notes was $0.2 million as of March 31, 2026 and December 31, 2025. As of March 31, 2026 and December 31, 2025, the impaired balance of other notes was $0.1 million. Collateral for repossessed loans is acquired through foreclosure or similar proceedings and is recorded at the estimated fair value of the home, less the costs to sell.</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Other notes receivable, net of allowance for loan losses and deferred financing fees, consisted of the following (in thousands):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Loan discount and deferred financing fees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0"/>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6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(in thousands):</w:t>
      </w:r>
    </w:p>
    <w:p>
      <w:pPr>
        <w:spacing w:after="0" w:line="19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74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0"/>
        </w:trPr>
        <w:tc>
          <w:tcPr>
            <w:tcW w:w="6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We evaluate the credit quality of our Other notes receivable portfolio based on the aging status of the loan and by payment activity. Loan delinquency reporting generally is based on borrower payment activity relative to the contractual terms of the loan. The following table disaggregates the outstanding principal balance of Other notes receivable by credit quality indicator based on delinquency status and fiscal year of origination and is presented as of March 31, 2026 (in thousands):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 30 days past due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30-90 days past due</w:t>
            </w:r>
          </w:p>
        </w:tc>
        <w:tc>
          <w:tcPr>
            <w:tcW w:w="12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90 days past due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DEALER FINANCED RECEIVABLES</w:t>
      </w:r>
    </w:p>
    <w:p>
      <w:pPr>
        <w:spacing w:after="0" w:line="20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Dealer financed receivables are receivables for loans that we make to independent retailers, or dealers, for the purchase of manufactured homes so that dealers can then market them for sale to consumers. The loans are part of our inventory finance program. In late 2022 and early 2023, the Company transitioned many of its dealers from a traditional consignment arrangement to an inventory finance arrangement. The terms of the financing typically include a three year term, a monthly interest payment, an annual curtailment payment and require the retailer to pay the principal amount of the loan to the Company upon the earlier of the sale of the home by the retailer to its customer or the end of the term.</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Dealer financed notes receivable, net of allowance for loan losses, consisted of the following at March 31, 2026,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and December 31, 2024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w:t>
            </w:r>
          </w:p>
        </w:tc>
        <w:tc>
          <w:tcPr>
            <w:tcW w:w="22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28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principal balance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(1,843)</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3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2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a detail of the activity in the allowance for loan losses (in thousands):</w:t>
      </w:r>
    </w:p>
    <w:p>
      <w:pPr>
        <w:spacing w:after="0" w:line="19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4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9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allowance for loan losses reflects management’s estimate of losses inherent in the dealer loans that may be uncollectible based on review and evaluation of the dealer loan portfolio as of the date of the balance sheet. An allowance for loan losses is determined after considering, among other things, the loan characteristics, the financial condition of the dealer and the value and liquidity of collateral.</w:t>
      </w:r>
    </w:p>
    <w:p>
      <w:pPr>
        <w:spacing w:after="0" w:line="153"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We evaluate the credit quality of our dealer financed receivables based on the length of time the Company’s collateral has remained unsold by the dealer in dealer inventory. This table reflects the age of the loan receivable due (in thousands):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2026</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3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2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Portfolio</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 on lot</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$ 12,523</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years on lot</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 years on lot</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 3 years on lot</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$ 26,461</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7. INVENTORIES, NET</w:t>
            </w: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6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82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w w:val="99"/>
              </w:rPr>
              <w:t>Inventories, net consisted of the following (in thousands):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7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84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80" w:type="dxa"/>
            <w:vAlign w:val="bottom"/>
            <w:gridSpan w:val="7"/>
          </w:tcPr>
          <w:p>
            <w:pPr>
              <w:jc w:val="right"/>
              <w:ind w:right="85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13,759</w:t>
            </w: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net</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35,932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50,383</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39,853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99" w:firstLine="648"/>
        <w:spacing w:after="0" w:line="282" w:lineRule="auto"/>
        <w:rPr>
          <w:sz w:val="20"/>
          <w:szCs w:val="20"/>
          <w:color w:val="auto"/>
        </w:rPr>
      </w:pPr>
      <w:r>
        <w:rPr>
          <w:rFonts w:ascii="Times New Roman" w:cs="Times New Roman" w:eastAsia="Times New Roman" w:hAnsi="Times New Roman"/>
          <w:sz w:val="18"/>
          <w:szCs w:val="18"/>
          <w:color w:val="auto"/>
        </w:rPr>
        <w:t>Finished goods includes an allowance of $534 and $559 as of March 31, 2026 and December 31, 2025, respectively.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PROPERTY, PLANT AND EQUIPMENT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$0.4 million for the three months ended March 31, 2026 and 2025, and includes depreciation expense for leased manufactured homes. Depreciation expense also includes $0.3 million and $0.2 million as a component of cost of product sales for the three months ended March 31, 2026 and 2025, respectively.</w:t>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OTHER ASSETS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51"/>
        </w:trPr>
        <w:tc>
          <w:tcPr>
            <w:tcW w:w="4360" w:type="dxa"/>
            <w:vAlign w:val="bottom"/>
          </w:tcPr>
          <w:p>
            <w:pPr>
              <w:spacing w:after="0"/>
              <w:rPr>
                <w:sz w:val="21"/>
                <w:szCs w:val="21"/>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As of March 31,</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As of December 31,</w:t>
            </w:r>
          </w:p>
        </w:tc>
      </w:tr>
      <w:tr>
        <w:trPr>
          <w:trHeight w:val="199"/>
        </w:trPr>
        <w:tc>
          <w:tcPr>
            <w:tcW w:w="436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Repossessed homes</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Corpus AmeriCasa</w:t>
            </w:r>
          </w:p>
        </w:tc>
        <w:tc>
          <w:tcPr>
            <w:tcW w:w="2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200" w:type="dxa"/>
            <w:vAlign w:val="bottom"/>
            <w:gridSpan w:val="2"/>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w:t>
            </w:r>
          </w:p>
        </w:tc>
      </w:tr>
      <w:tr>
        <w:trPr>
          <w:trHeight w:val="20"/>
        </w:trPr>
        <w:tc>
          <w:tcPr>
            <w:tcW w:w="4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Repossessed homes, net of allowances, as of March 31, 2026 include $10.6 million for homes repossessed from the consumer loan portfolio, $1.8 million for homes repossessed from the MHP loan portfolio, and $2.2 million for homes repossessed from dealers. Repossessed homes, net of allowances, as of December 31, 2025 include $8.4 million for homes repossessed from the consumer loan portfolio, $1.8 million for homes repossessed from the MHP loan portfolio, and $2.4 million for homes repossessed from dealers.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Portfolio taxes and title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Dealer rebates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Federal and state income taxes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Unclaimed Property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LINES OF CREDIT</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has a Credit Agreement (the “Revolver”), by and among the Company as borrower, the financial institutions from time to time party thereto, as lenders, and Prosperity Bank as administrative agent. The Revolver provides for a four-year senior secured revolving credit facility with an initial commitment of $50.0 million and an additional $25.0 million commitment under an accordion feature. The Revolver is secured by the Company’s consumer loans receivables and all escrow accounts associated with the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$0.3 million, which were capitalized as unamortized debt issuance costs and included within prepaids and other current assets in the accompanying balance sheets and are amortized to interest expense over the life of the Revolver. The Revolver matures July 28, 2027.</w:t>
      </w:r>
    </w:p>
    <w:p>
      <w:pPr>
        <w:spacing w:after="0" w:line="19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2026 and 2025, interest expense under the Revolver was $11 thousand and $0 respectively. The outstanding balance of the Revolver as of March 31, 2026 and December 31, 2025 was $0.9 million and $0 respectively. The interest rate in effect as of March 31, 2026 and December 31, 2025 for the Revolver was 6.13% and 6.69%, respectively. The amount of available credit under the Revolver was $49.1 million and $50 million as of March 31, 2026 and December 31, 2025, respectively. The Revolver requires the Company to comply with certain financial and non-financial covenants. As of March 31, 2026, the Company was in compliance with all financial covenants, including that it maintains a maximum leverage ratio of no more than 1.00 to 1.00 and a minimum fixed charge coverage ratio of no less than 1.75 to 1.00.</w:t>
      </w:r>
    </w:p>
    <w:p>
      <w:pPr>
        <w:spacing w:after="0" w:line="151"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part of the acquisition of AmeriCasa, we assumed a line of credit with 21st Mortgage in the amount of $1.3 million at the time of the acquisition. As of December 31, 2025, the balance of the line of credit was $1.2 million which we paid off in January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 expense for the three months ended March 31, 2026 and 2025 was $2.1 million and $2.5 million respectively. The Company's effective tax rate for the three month period ended March 31, 2026 was 16.1%. The primary drivers of the variance from the federal statutory tax rate of 21.0% were the Federal Energy Efficient Home Improvement credit and a discount for transferable tax credits purchased during the quarter ended March</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jc w:val="both"/>
        <w:ind w:left="60" w:right="359"/>
        <w:spacing w:after="0" w:line="281" w:lineRule="auto"/>
        <w:rPr>
          <w:sz w:val="20"/>
          <w:szCs w:val="20"/>
          <w:color w:val="auto"/>
        </w:rPr>
      </w:pPr>
      <w:r>
        <w:rPr>
          <w:rFonts w:ascii="Times New Roman" w:cs="Times New Roman" w:eastAsia="Times New Roman" w:hAnsi="Times New Roman"/>
          <w:sz w:val="17"/>
          <w:szCs w:val="17"/>
          <w:color w:val="auto"/>
        </w:rPr>
        <w:t>31, 2026. The Company's effective tax rate for the three month period ended March 31, 2025 was 19.3%. The primary driver of the variance from the federal statutory tax rate of 21.0% was the Federal Energy Efficient Home Improvement credit, which was partially offset by state income taxes. The §45L tax credit was initially established under the Federal Energy Policy Act of 2005 and ends June 30, 2026 pursuant to the One, Big, Beautiful Bill Act of 2025.</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March 31, 2026 and December 31, 2025, the Company accrued a $0.2 million and $0.8 million liability for incurred but not reported claims, respectively. These accrued amounts are included in accrued liabilities on the accompanying balance sheet.</w:t>
      </w:r>
    </w:p>
    <w:p>
      <w:pPr>
        <w:spacing w:after="0" w:line="16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Company believes that risk of loss is mitigated due to the resale value of the repurchased homes and the fact that the agreements are spread over many retailers. The maximum amount for which the Company was liable under such agreements approximated $1.4 million and $0.8 million at March 31, 2026 and December 31, 2025 respectively without reduction for the resale value of the homes. The Company considers its obligations on current contracts to be immaterial and accordingly has not recorded any reserve for repurchase commitment as of March 31, 2026 and December 31, 2025.</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leases facilities under operating leases that typically have 10 year terms. These leases usually offer the Company a right of first refusal that affords the Company the option to purchase the leased premises under certain terms in the event the landlord attempts to sell the leased premises to a third party. Rent expense for the three months ended March 31, 2026 and 2025 was $0.2 million and $0.1 million respectively. The Company also subleases properties to third parties, ranging from 3-year to 11-year terms with various renewal options. Rental income from the subleased properties for the three months ended March 31, 2026 and 2025 was immaterial.</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is party to certain legal proceedings that arise in the ordinary course of business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such claims. The Company has included legal reserves of $1.0 million as of March 31, 2026 and December 31, 2025, in accrued liabilities on the accompanying balance sheets. Although litigation is inherently uncertain, based on past experience and the information currently available, management does not believe that the currently pending and threatened ordinary course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AmeriCasa Litigation</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On March 13, 2026, the Company filed an Original Petition in the District Court of Tarrant County, Texas against the seller entities and certain individuals related to the Company's November 2025 acquisition of substantially all</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of the assets of AmeriCasa Solutions, LLC and its affiliates. The Company's claims relate principally to alleged misrepresentations and omissions made in connection with the acquisition and to the alleged post-closing misappropriation of receipts attributable to the acquired assets. A description of the proceeding is included in Part II, Item 1, Legal Proceedings, of this Quarterly Report on Form 10-Q. For information regarding events occurring subsequent to March 31, 2026 related to this matter, see Note 17 — Subsequent Events.</w:t>
      </w:r>
    </w:p>
    <w:p>
      <w:pPr>
        <w:spacing w:after="0" w:line="14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litigation is not material to the Company's financial position, liquidity, or results of operations. The Company has not accrued a loss contingency with respect to this matter. The acquired assets remain within the measurement period under ASC 805, Business Combinations, and the Company continues to evaluate the facts and circumstances surrounding the acquisition, including information that may become available through the litigation, for purposes of finalizing its acquisition accounting and assessing recoverability of the acquired assets. An adverse outcome in the litigation, or further developments concerning the underlying facts, could result in an adjustment to the provisional amounts recorded in connection with the acquisition, or both, in a future period. For information regarding receivables and payables between the Company and the Seller arising from post-closing operations of the acquired business, see Note 16 — Related Party Transactions.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its investments and derivative instruments in accordance with the provisions of “ASC 820-10, Fair Value Measurement, which among other things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Fair Value Measurement, are as follows:</w:t>
      </w:r>
    </w:p>
    <w:p>
      <w:pPr>
        <w:spacing w:after="0" w:line="160" w:lineRule="exact"/>
        <w:rPr>
          <w:sz w:val="20"/>
          <w:szCs w:val="20"/>
          <w:color w:val="auto"/>
        </w:rPr>
      </w:pPr>
    </w:p>
    <w:p>
      <w:pPr>
        <w:ind w:left="1520" w:right="219" w:hanging="84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Level I</w:t>
      </w:r>
      <w:r>
        <w:rPr>
          <w:sz w:val="20"/>
          <w:szCs w:val="20"/>
          <w:color w:val="auto"/>
        </w:rPr>
        <w:tab/>
      </w:r>
      <w:r>
        <w:rPr>
          <w:rFonts w:ascii="Times New Roman" w:cs="Times New Roman" w:eastAsia="Times New Roman" w:hAnsi="Times New Roman"/>
          <w:sz w:val="18"/>
          <w:szCs w:val="18"/>
          <w:color w:val="auto"/>
        </w:rPr>
        <w:t>Quoted prices are available in active markets for identical assets or liabilities that the reporting entity has the ability to access at the measurement date.</w:t>
      </w:r>
    </w:p>
    <w:p>
      <w:pPr>
        <w:spacing w:after="0" w:line="121" w:lineRule="exact"/>
        <w:rPr>
          <w:sz w:val="20"/>
          <w:szCs w:val="20"/>
          <w:color w:val="auto"/>
        </w:rPr>
      </w:pPr>
    </w:p>
    <w:p>
      <w:pPr>
        <w:ind w:left="1540" w:right="379" w:hanging="841"/>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Level II</w:t>
        <w:tab/>
        <w:t>Significant observable inputs other than quoted prices in active markets for which inputs to the valuation methodology include: (1) Quoted prices for similar assets or liabilities in active markets;</w:t>
      </w:r>
    </w:p>
    <w:p>
      <w:pPr>
        <w:ind w:left="1540" w:right="199" w:firstLine="1"/>
        <w:spacing w:after="0" w:line="253" w:lineRule="auto"/>
        <w:tabs>
          <w:tab w:leader="none" w:pos="1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146" w:lineRule="exact"/>
        <w:rPr>
          <w:sz w:val="20"/>
          <w:szCs w:val="20"/>
          <w:color w:val="auto"/>
        </w:rPr>
      </w:pPr>
    </w:p>
    <w:p>
      <w:pPr>
        <w:ind w:left="1540" w:right="539" w:hanging="841"/>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Level III</w:t>
        <w:tab/>
        <w:t>Significant unobservable inputs that reflect an entity’s own assumptions that market participants would use in pricing the assets or liabilities.</w:t>
      </w:r>
    </w:p>
    <w:p>
      <w:pPr>
        <w:spacing w:after="0" w:line="135"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asset or liability fair value measurement level within the fair value hierarchy is based on the lowest level of any input that is significant to the fair value measurement.</w:t>
      </w:r>
    </w:p>
    <w:p>
      <w:pPr>
        <w:spacing w:after="0" w:line="121"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accounts receivable, consumer loans, MHP Notes, other notes, accounts payable, and lines of credit. The carrying amounts of cash, accounts receivable, and accounts payable approximate their respective fair values because of the short-term maturities or expected settlement dates of these instruments. This is considered a Level I valuation technique. The following table shows the estimated fair</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market value and book value of our consumer loan portfolio, MHP Notes and other notes, net of allowances, loan discount fees and deferred financing fees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loan portfolio, fair value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185,985</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loan portfolio, book value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198,814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MHP Notes, fair value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182,298</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MHP Notes, book value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MHP Notes, book value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other notes, fair value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other notes, book value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 other notes, book value</w:t>
            </w:r>
          </w:p>
        </w:tc>
        <w:tc>
          <w:tcPr>
            <w:tcW w:w="2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Part of the MHP Notes, part of the other notes receivable, and our line of credit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notes receivable with fixed rates based on the discounted value of the remaining principal and interest cash flows. This is considered a Level III valuation technique.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Basic earnings per common share (“EPS”) is computed based on the weighted-average number of common shares outstanding during the reporting period. Basic weighted average common shares outstanding do not include shares of restricted stock that have not yet vested, although such shares are included as outstanding shares in the Company’s balance sheets.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(in 000's)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23,808,350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24,133,253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661,451</w:t>
            </w:r>
          </w:p>
        </w:tc>
        <w:tc>
          <w:tcPr>
            <w:tcW w:w="1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23,838,330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24,794,928</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repurchased 29,385 shares of common stock for $0.7 million in the open market during the three months ended March 31, 2025. We repurchased 346,406 shares of common stock for $7.6 million in the open market during the year ended December 31, 2025. The November 2022 share repurchase program expired on October 31,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33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On February 6, 2026, the Board of Directors authorized a stock repurchase program (the "Repurchase Program") under which the Company may repurchase up to $10.0 million of its outstanding common stock from time to time through February 28, 2029. Repurchases may be made in the open market or through privately negotiated transactions, with the timing, manner, price and volume of any repurchases determined by the Company's Executive Chairman and Chief Executive Officer, or either of them, in their sole discretion, based on market conditions, the Company's cash reserves and cash flow, and the relative attractiveness of alternative uses of capital for operations, growth and share repurchases.</w:t>
      </w:r>
    </w:p>
    <w:p>
      <w:pPr>
        <w:spacing w:after="0" w:line="187"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repurchased 30,740 shares of its common stock under the Repurchase Program at an aggregate cost of approximately $0.6 million, or an average price of $18.63 per share, leaving approximately $9.4 million available for future repurchases under the Repurchase Program.</w:t>
      </w:r>
    </w:p>
    <w:p>
      <w:pPr>
        <w:spacing w:after="0" w:line="21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Open market repurchases under the Repurchase Program are intended to be made in compliance with the non-exclusive safe harbor conditions of Rule 10b-18 under the Securities Exchange Act of 1934, as amended. The Repurchase Program does not obligate the Company to acquire any particular amount of common stock, has no expiration date prior to February 28, 2029, and may be suspended, modified or discontinued at any time without prior notice. Shares repurchased under the program will be held as treasury shares. The Company has determined that repurchases under the Repurchase Program are permitted under the terms of its existing bank credit facilities and other indebtedness.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0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Bell Mobile Homes (“Bell”), a retailer owned by one of the Company’s significant stockholders, purchases manufactured homes from the Company. Accounts receivable balances due from Bell were $0.2 million and $0.6 million as of March 31, 2026 and December 31, 2025, respectively. Accounts payable balances due to Bell were immaterial as of March 31, 2026 and December 31, 2025, respectively. Home sales to Bell were $1.0 million and $0.4 million for the three months ended March 31, 2026 and 2025, respectively.</w:t>
      </w:r>
    </w:p>
    <w:p>
      <w:pPr>
        <w:spacing w:after="0" w:line="14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Shipley Bros., Ltd. and Crazy Red’s Mobile Homes (together, “Shipley”), retailers owned by one of the Company’s significant shareholders, purchase manufactured homes from the Company. Accounts receivable balances due from Shipley were $0.1 million as of March 31, 2026 and December 31, 2025, respectively. Accounts payable balances due to Shipley were immaterial as of March 31, 2026 and December 31, 2025, respectively. Home sales to Shipley were $0.1 million and $0.4 million for the three months ended March 31, 2026 and 2025, respectively.</w:t>
      </w:r>
    </w:p>
    <w:p>
      <w:pPr>
        <w:spacing w:after="0" w:line="183"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AmeriCasa Solutions, LLC and its affiliates ("AmeriCasa") are the seller entities from which the Company acquired substantially all of the assets of AmeriCasa's business in November 2025 pursuant to the Asset and Membership Interest Purchase Agreement dated October 30, 2025, as amended. The Company and AmeriCasa continue to reconcile amounts arising from operations of the acquired business between the November 1, 2025 effective date and March 31, 2026. As of March 31, 2026, the Company had recorded approximately $1.0 million in accounts receivable from AmeriCasa, included in accounts receivable, net, and approximately $0.8 million payable to AmeriCasa, included in accrued liabilities, on the accompanying balance sheet. These amounts do not include any amounts held in escrow or subject to purchase-price holdbacks under the Asset and Membership Interest Purchase Agreement. Realization of the recorded receivable and the ultimate amount of any payable to AmeriCasa are subject to the matters described in Note 13 — Commitments and Contingencies and Part II, Item 1 — Legal Proceedings of this Quarterly Report.</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70"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May 7, 2026, the date these unaudited financial statements were available to be issued. Other than the matter described below, the Company is not aware of any subsequent events that would require recognition or disclosure in these unaudited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(UNAUDITED)</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AmeriCasa Litigation — Subsequent Developments</w:t>
      </w:r>
    </w:p>
    <w:p>
      <w:pPr>
        <w:spacing w:after="0" w:line="18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As described in Note 13 — Commitments and Contingencies and in Part II, Item 1, Legal Proceedings, of this Quarterly Report on Form 10-Q, on March 13, 2026, the Company filed an action in the District Court of Tarrant County, Texas against the seller entities and certain individuals related to the Company's November 2025 acquisition of substantially all of the assets of AmeriCasa Solutions, LLC and its affiliates.</w:t>
      </w:r>
    </w:p>
    <w:p>
      <w:pPr>
        <w:spacing w:after="0" w:line="180" w:lineRule="exact"/>
        <w:rPr>
          <w:sz w:val="20"/>
          <w:szCs w:val="20"/>
          <w:color w:val="auto"/>
        </w:rPr>
      </w:pPr>
    </w:p>
    <w:p>
      <w:pPr>
        <w:ind w:left="60" w:right="399" w:firstLine="324"/>
        <w:spacing w:after="0" w:line="261" w:lineRule="auto"/>
        <w:rPr>
          <w:sz w:val="20"/>
          <w:szCs w:val="20"/>
          <w:color w:val="auto"/>
        </w:rPr>
      </w:pPr>
      <w:r>
        <w:rPr>
          <w:rFonts w:ascii="Times New Roman" w:cs="Times New Roman" w:eastAsia="Times New Roman" w:hAnsi="Times New Roman"/>
          <w:sz w:val="18"/>
          <w:szCs w:val="18"/>
          <w:color w:val="auto"/>
        </w:rPr>
        <w:t>On April 7, 2026, the Company filed an Amended Petition and Application for Temporary Restraining Order, Temporary Injunction, and Permanent Injunction. On April 10, 2026, the District Court declined to issue the temporary restraining order, citing the availability of an adequate remedy at law. The Company's application for temporary and permanent injunctive relief, along with its claims for damages and other relief, remains pending.</w:t>
      </w:r>
    </w:p>
    <w:p>
      <w:pPr>
        <w:spacing w:after="0" w:line="18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April 16, 2026, the seller defendants removed the matter to the Texas Business Court, Eighth Division (Cause No. 26-BC08B-0013), where it is now pending. On April 20, 2026, the seller defendants filed an answer asserting affirmative defenses and counterclaims against the Company. The counterclaims allege breach of contract (including alleged underpayment of the purchase price under the Asset and Membership Interest Purchase Agreement and alleged failure to honor assumed contracts), unjust enrichment, constructive termination of Norman Newton’s employment, and fraud, and seek monetary damages stated as $1.0 million or more, exemplary damages, and attorneys' fees. The Company believes the counterclaims are without merit and intends to defend against them.</w:t>
      </w:r>
    </w:p>
    <w:p>
      <w:pPr>
        <w:spacing w:after="0" w:line="18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the counterclaims, even if resolved adversely to the Company, would result in a loss that is material to the Company's financial position, liquidity, or results of operations. The Company has not accrued a loss contingency with respect to the counterclaims.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60" w:right="59" w:firstLine="713"/>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financial statements and accompanying notes and the information contained in other sections of this Form 10-Q. It contains forward 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 looking statements as a result of various factors, including those discussed in this Form 10-Q and our Annual Report on Form 10-K for the year ended December 31, 2025, particularly under the heading “Risk Factors.” Dollar amounts are in thousands unless otherwise noted.</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We build, sell and finance manufactured homes and “Tiny Houses” that are distributed through a network of independent retailers and company-owned stores and are sold directly to manufactured housing communities. We are one of the largest producers of manufactured homes in the United States. With current operations focused primarily in the southern United States, we offer our customers an array of quality homes ranging in size from approximately 395 to 2,667 square feet consisting of 1 to 5 bedrooms, with 1 to 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bathrooms. Our homes range in price, at retail, from approximately $47,000 to $200,000. For the three months ended March 31, 2026 and 2025 we sold 312 (consisting of 364 floors) and 350 units (consisting of 427 floors) (which are entire homes or single floors that are combined to create complete homes), respectively.</w:t>
      </w:r>
    </w:p>
    <w:p>
      <w:pPr>
        <w:spacing w:after="0" w:line="162"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We have one reportable segment. All of our activities are interrelated, and each activity is dependent and assessed based on how each of the activities of our company supports the others. For example, the sale of manufactured homes includes coordinating or providing transportation for dealers. We also provide financing options for customers to facilitate home sales. Accordingly, all significant operating and strategic decisions by the co-chief operating decision makers, the Executive Chairman and Chief Executive Officer, are based upon analyses of our company as one operating segment.</w:t>
      </w:r>
    </w:p>
    <w:p>
      <w:pPr>
        <w:spacing w:after="0" w:line="14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believe our company is one of the most vertically integrated in the manufactured housing industry, allowing us to offer a complete solution to our customers. We manufacture custom-made homes using quality materials, distribute those homes through our expansive network of independent retailers and company-owned distribution locations and provide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up to, on average, approximately 70 home sections, or 60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features such as fireplaces, central air conditioning and state-of-the-art kitchens.</w:t>
      </w:r>
    </w:p>
    <w:p>
      <w:pPr>
        <w:spacing w:after="0" w:line="15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homes are marketed under our premier “Legacy” brand name and currently are sold primarily across 15 states through a large network of independent retail locations, 14 company-owned retail locations and through direct sales to owners of manufactured home communities. Our 14 company-owned retail locations, including 13 Heritage Housing stores and one Tiny House Outlet store exclusively sell our homes. One company-owned location operates under the AmeriCasa name and sells both our homes and those of several other manufacturers.</w:t>
      </w:r>
    </w:p>
    <w:p>
      <w:pPr>
        <w:spacing w:after="0" w:line="143"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approximately 42% of our manufactured homes were sold in Texas, followed by 7% per-state in North Carolina, Kentucky, and Ohio, 6% in Florida, and 4% per-state in Oklahoma, Georgia, and New Mexico.</w:t>
      </w:r>
    </w:p>
    <w:p>
      <w:pPr>
        <w:spacing w:after="0" w:line="14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offer three types of financing solutions to our customers. We provide inventory financing for our independent retailers who purchase homes from us and then sell them to consumers. We provide consumer financing for our products which are sold to end-users through both independent and company-owned retail locations. We also provide financing solutions to manufactured housing community owners that buy our products for use in their manufactured housing communities. Our ability to offer competitive financing options at our retail locations provides us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with several competitive advantages and allows us to capture sales which may not have otherwise occurred without our ability to offer consumer financing.</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depend on various opportunities, challenges, trends and other factors, including the following:</w:t>
      </w:r>
    </w:p>
    <w:p>
      <w:pPr>
        <w:spacing w:after="0" w:line="135" w:lineRule="exact"/>
        <w:rPr>
          <w:sz w:val="20"/>
          <w:szCs w:val="20"/>
          <w:color w:val="auto"/>
        </w:rPr>
      </w:pPr>
    </w:p>
    <w:p>
      <w:pPr>
        <w:jc w:val="both"/>
        <w:ind w:left="1040" w:right="179" w:hanging="315"/>
        <w:spacing w:after="0" w:line="312"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acquired several properties in our market area for the purpose of developing manufactured housing communities and subdivisions. As of March 31, 2026, these properties include the following (in thousands):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Description</w:t>
            </w:r>
          </w:p>
        </w:tc>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Date of Acquisition</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Land</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Improvements</w:t>
            </w:r>
          </w:p>
        </w:tc>
        <w:tc>
          <w:tcPr>
            <w:tcW w:w="36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Bastrop County, Texas</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368 Acres</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30,329</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Bexar County, Texas</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​​​69 Acres</w:t>
            </w:r>
          </w:p>
        </w:tc>
        <w:tc>
          <w:tcPr>
            <w:tcW w:w="2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​​​​November 2018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842</w:t>
            </w:r>
          </w:p>
        </w:tc>
        <w:tc>
          <w:tcPr>
            <w:tcW w:w="140" w:type="dxa"/>
            <w:vAlign w:val="bottom"/>
          </w:tcPr>
          <w:p>
            <w:pPr>
              <w:spacing w:after="0"/>
              <w:rPr>
                <w:sz w:val="18"/>
                <w:szCs w:val="18"/>
                <w:color w:val="auto"/>
              </w:rPr>
            </w:pP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Horseshoe Bay, Texas</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 Acres</w:t>
            </w:r>
          </w:p>
        </w:tc>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Various 2018-2019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Johnson County, Texas</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91.5 Acres</w:t>
            </w:r>
          </w:p>
        </w:tc>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July 2019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Venus, Texas</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 Acres</w:t>
            </w:r>
          </w:p>
        </w:tc>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August 2019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Wise County, Texas</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81.5 Acres</w:t>
            </w:r>
          </w:p>
        </w:tc>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September 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Bexar County, Texas</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233 Acres</w:t>
            </w:r>
          </w:p>
        </w:tc>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February 2021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Richland, Mississippi (1)</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 Acres</w:t>
            </w:r>
          </w:p>
        </w:tc>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February 2024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Bonham, Texas</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124.71 Acres</w:t>
            </w:r>
          </w:p>
        </w:tc>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2024 &amp; Sept 2025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Balch Springs, Texas (2)</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7.47 Acres</w:t>
            </w:r>
          </w:p>
        </w:tc>
        <w:tc>
          <w:tcPr>
            <w:tcW w:w="2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December 2024 &amp; July 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Austin, Texas (Travis County)</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1.52 Acres</w:t>
            </w:r>
          </w:p>
        </w:tc>
        <w:tc>
          <w:tcPr>
            <w:tcW w:w="2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2025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28"/>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40" w:type="dxa"/>
            <w:vAlign w:val="bottom"/>
          </w:tcPr>
          <w:p>
            <w:pPr>
              <w:spacing w:after="0"/>
              <w:rPr>
                <w:sz w:val="19"/>
                <w:szCs w:val="19"/>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40" w:type="dxa"/>
            <w:vAlign w:val="bottom"/>
          </w:tcPr>
          <w:p>
            <w:pPr>
              <w:spacing w:after="0"/>
              <w:rPr>
                <w:sz w:val="19"/>
                <w:szCs w:val="19"/>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44,991</w:t>
            </w:r>
          </w:p>
        </w:tc>
      </w:tr>
    </w:tbl>
    <w:p>
      <w:pPr>
        <w:spacing w:after="0" w:line="179"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and improvement values do not include the value of Company owned homes located in this community.</w:t>
      </w:r>
    </w:p>
    <w:p>
      <w:pPr>
        <w:spacing w:after="0" w:line="184"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total land is due to a partial land sale.</w:t>
      </w:r>
    </w:p>
    <w:p>
      <w:pPr>
        <w:spacing w:after="0" w:line="198" w:lineRule="exact"/>
        <w:rPr>
          <w:rFonts w:ascii="Times New Roman" w:cs="Times New Roman" w:eastAsia="Times New Roman" w:hAnsi="Times New Roman"/>
          <w:sz w:val="18"/>
          <w:szCs w:val="18"/>
          <w:color w:val="auto"/>
        </w:rPr>
      </w:pPr>
    </w:p>
    <w:p>
      <w:pPr>
        <w:ind w:left="1040" w:right="79" w:hanging="315"/>
        <w:spacing w:after="0" w:line="258" w:lineRule="auto"/>
        <w:tabs>
          <w:tab w:leader="none" w:pos="1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may provide financing solutions to certain manufactured housing community-owner customers in a manner that includes developing new sites for products in or near urban locations where there is a shortage of sites to place our products. These solutions are structured to give us an attractive return on investment when coupled with the gross margin we expect to make on products specifically targeted for sale to these new manufactured housing communities.</w:t>
      </w:r>
    </w:p>
    <w:p>
      <w:pPr>
        <w:spacing w:after="0" w:line="183" w:lineRule="exact"/>
        <w:rPr>
          <w:rFonts w:ascii="Times New Roman" w:cs="Times New Roman" w:eastAsia="Times New Roman" w:hAnsi="Times New Roman"/>
          <w:sz w:val="18"/>
          <w:szCs w:val="18"/>
          <w:color w:val="auto"/>
        </w:rPr>
      </w:pPr>
    </w:p>
    <w:p>
      <w:pPr>
        <w:ind w:left="1040" w:right="179" w:hanging="315"/>
        <w:spacing w:after="0" w:line="253" w:lineRule="auto"/>
        <w:tabs>
          <w:tab w:leader="none" w:pos="1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U.S. inflation remained above the Federal Reserve's long-term target. The annual rate of inflation reached 3.3% in March 2026, up from 2.4% in February, due in significant part to a sharp rise in energy prices following geopolitical events in the Middle East, with core inflation (excluding food and energy) at 2.6%. Our ability to maintain gross margins can be adversely impacted by sudden increases in specific costs, such as raw materials, transportation, and labor. The Federal Reserve held its benchmark interest rate steady at its March 2026 meeting following three rate cuts in late 2025, and average 30-year mortgage rates remained above 6%. Although chattel financing rates for manufactured homes generally move independently of mortgage rates, sustained elevated borrowing costs can affect the ability of home buyers to obtain affordable financing. We continue to explore opportunities to minimize the impact of inflation and elevated borrowing costs on our future profitability.</w:t>
      </w:r>
    </w:p>
    <w:p>
      <w:pPr>
        <w:spacing w:after="0" w:line="194" w:lineRule="exact"/>
        <w:rPr>
          <w:rFonts w:ascii="Times New Roman" w:cs="Times New Roman" w:eastAsia="Times New Roman" w:hAnsi="Times New Roman"/>
          <w:sz w:val="18"/>
          <w:szCs w:val="18"/>
          <w:color w:val="auto"/>
        </w:rPr>
      </w:pPr>
    </w:p>
    <w:p>
      <w:pPr>
        <w:ind w:left="1040" w:right="159" w:hanging="315"/>
        <w:spacing w:after="0" w:line="256" w:lineRule="auto"/>
        <w:tabs>
          <w:tab w:leader="none" w:pos="1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depends on how well we can fulfill orders from dealers and customers for our manufactured homes. Our Georgia facility has room to grow, and with additional investment, we can expand capacity to produce more homes. Sustained growth requires accurate forecasting across several dimensions: the volume of business we pursue and accept, our product mix, production scheduling, and the management of inventory, equipment, and staffing levels. We continue to evaluate both organic expansion and acquisition opportunities to add capacity in regions where demand is strongest.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right="79" w:hanging="315"/>
        <w:spacing w:after="0" w:line="254"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the Company received a non-refundable advance deposit of approximately $7.1 million from a single customer in connection with a large order of manufactured homes intended for use as workforce housing. Production of the related units commenced during the first quarter of 2026 and no units had shipped as of March 31, 2026. Deliveries are expected to begin during the second quarter of 2026, with substantially all of the related product sales expected to be recognized during the remainder of 2026 upon delivery and transfer of title of the units. The Company's ability to fulfill this order on schedule depends on production capacity, raw material availability, and other factors discussed elsewhere in this Quarterly Report.</w:t>
      </w:r>
    </w:p>
    <w:p>
      <w:pPr>
        <w:spacing w:after="0" w:line="191" w:lineRule="exact"/>
        <w:rPr>
          <w:rFonts w:ascii="Times New Roman" w:cs="Times New Roman" w:eastAsia="Times New Roman" w:hAnsi="Times New Roman"/>
          <w:sz w:val="18"/>
          <w:szCs w:val="18"/>
          <w:color w:val="auto"/>
        </w:rPr>
      </w:pPr>
    </w:p>
    <w:p>
      <w:pPr>
        <w:ind w:left="1040" w:right="79" w:hanging="315"/>
        <w:spacing w:after="0" w:line="25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the Company continued to experience elevated input costs attributable in part to tariffs on imported goods, including goods imported from China. Certain materials and components used in the manufacture of our homes — including electrical fixtures, hardware, appliances, and other finished products — are sourced either directly from China or through domestic suppliers affected by these tariffs. The U.S. tariff environment evolved significantly during the quarter and shortly thereafter. In February 2026, the U.S. Supreme Court held that the International Emergency Economic Powers Act ("IEEPA") did not authorize certain of the emergency tariffs imposed in 2025, and U.S. Customs and Border Protection began winding down collection of those duties. The U.S. Trade Representative subsequently initiated new Section 301 investigations in March 2026 that could provide an alternative legal basis for tariffs on imports from China and other trading partners. In addition, effective April 6, 2026, additional Section 232 duties were imposed on aluminum, steel, and copper products and their derivatives, which are inputs used by certain of our suppliers. Pursuant to the November 2025 U.S.–China understanding, the lowered reciprocal tariff rate on Chinese imports has been extended through November 10, 2026, but combined effective rates on most Chinese-origin goods remain materially above pre-2025 levels. The resulting cost pressures have continued to weigh on our gross margins and may continue to do so depending on how these legal and trade-policy developments evolve. Management is taking steps to mitigate these effects through supplier diversification, increased domestic sourcing where practical, and selective price adjustments. The Company is also evaluating its eligibility for refunds of IEEPA duties previously paid in light of the Supreme Court's ruling and the refund procedures recently announced by U.S. Customs and Border Protection. The full impact of the current tariff environment, the outcome of pending Section 301 investigations, and the resolution of refund and litigation matters remain uncertain and could affect our cost structure and profitability in future periods.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information set forth in the financial statements and the accompanying notes appearing elsewhere in this Form 10-Q.</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and 2025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7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38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 change</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9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MHP and dealer loans interest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106.6 %</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7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other sales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133.2 %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interest income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460.0 %</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Product sales primarily consist of direct sales, commercial sales, inventory finance sales and retail store sales. Product sales decreased $2.7 million, or 11.3%, during the three months ended March 31, 2026 as compared to the same period in 2025. This decrease was driven by a decrease in unit volumes shipped, primarily in inventory finance sales.</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revenue attributable to our factory-built housing consisted of the following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4"/>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    ​​​</w:t>
            </w:r>
          </w:p>
        </w:tc>
        <w:tc>
          <w:tcPr>
            <w:tcW w:w="96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gridSpan w:val="2"/>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(2,740)</w:t>
            </w:r>
          </w:p>
        </w:tc>
        <w:tc>
          <w:tcPr>
            <w:tcW w:w="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units sold</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 per unit sold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2026, our total product sales decreased by 11.3% as compared to the same period in 2025. The decrease was driven by a decline in unit volume of 10.9% (from 350 units in Q1 2025 to 312 units in Q1 2026), while net revenue per unit (in thousands) was essentially flat at $69.1, compared to $69.4 in Q1 2025. The shift in mix toward retail store sales — which generally carry higher per-unit prices — substantially offset the volume decline. We had increases in direct, commercial, retail, and other product sales, which were more than offset by decreases in inventory finance sales. Inventory finance sales decreased $7.6 million, or 68.3% during the three months ended March 31, 2026 as compared to the same period in 2025. Retail sales increased $2.7 million, or 81.1% during the three months ended March 31, 2026 as compared to the same period in 2025. Mobile home park sales increased $0.8 million, or 12.4% during the three months ended March 31, 2026 as compared to the same period in 2025. Direct sales increased $1.2 million, or 80.2% during the three months ended March 31, 2026 as compared to the same period in 2025.</w:t>
      </w:r>
    </w:p>
    <w:p>
      <w:pPr>
        <w:sectPr>
          <w:pgSz w:w="11900" w:h="16838" w:orient="portrait"/>
          <w:cols w:equalWidth="0" w:num="1">
            <w:col w:w="9019"/>
          </w:cols>
          <w:pgMar w:left="1440" w:top="513" w:right="1440"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Other product sales increased $0.1 million, or 7.5% during the three months ended March 31, 2026 as compared to the same period in 2025. Our revenue decreased primarily due to a lower volume of unit sales partially offset by an increase in net revenue per unit sold.</w:t>
      </w:r>
    </w:p>
    <w:p>
      <w:pPr>
        <w:spacing w:after="0" w:line="13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Consumer, MHP and dealer loans interest income increased $0.6 million, or 6.2% during the three months ended March 31, 2026 as compared to the same period in 2025, with essentially all of the gain coming from consumer loan portfolio interest as MHP and dealer interest gradually decreased.</w:t>
      </w:r>
    </w:p>
    <w:p>
      <w:pPr>
        <w:spacing w:after="0" w:line="135"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Other revenue primarily consists of contract deposit forfeitures, consignment fees, commercial lease rents, land sales, portfolio service revenue, park rental income, storage fees, and other miscellaneous income which increased $0.8 million, or 106.6%, during the three months ended March 31, 2026 as compared to the same period in 2025. This increase was primarily due to a $1 million increase in land sales.</w:t>
      </w:r>
    </w:p>
    <w:p>
      <w:pPr>
        <w:spacing w:after="0" w:line="153" w:lineRule="exact"/>
        <w:rPr>
          <w:sz w:val="20"/>
          <w:szCs w:val="20"/>
          <w:color w:val="auto"/>
        </w:rPr>
      </w:pPr>
    </w:p>
    <w:p>
      <w:pPr>
        <w:jc w:val="both"/>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The cost of product sales decreased $2.3 million, or 13.1%, during the three months ended March 31, 2026 as compared to the same period in 2025. The decrease in costs is primarily related to the 11.3% decrease in product sales specifically in the Inventory Finance category. The cost of other sales was $1.2 million during the three months ended March 31, 2026.</w:t>
      </w:r>
    </w:p>
    <w:p>
      <w:pPr>
        <w:spacing w:after="0" w:line="13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Inventories, net increased $10.5 million from $39.9 million at December 31, 2025 to $50.4 million at March 31, 2026, driven primarily by an increase in finished goods inventory. The increase in finished goods inventory reflects, in part, units produced during the first quarter of 2026 in connection with the workforce-housing customer order described above for which deliveries are expected to begin during the second quarter of 2026.</w:t>
      </w:r>
    </w:p>
    <w:p>
      <w:pPr>
        <w:spacing w:after="0" w:line="139" w:lineRule="exact"/>
        <w:rPr>
          <w:sz w:val="20"/>
          <w:szCs w:val="20"/>
          <w:color w:val="auto"/>
        </w:rPr>
      </w:pPr>
    </w:p>
    <w:p>
      <w:pPr>
        <w:ind w:left="60" w:right="99" w:firstLine="71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$0.5 million, or 8.3%, during the three months ended March 31, 2026 as compared to the same period in 2025. We had a $0.6 million increase in loan portfolio loss expense, and a $0.1 million increase in property tax expense offset by a $0.7 million decrease in payroll health benefit expense, $0.6 million decrease in payroll corp &amp; general expense, and a $0.2 million decrease in legal expense.</w:t>
      </w:r>
    </w:p>
    <w:p>
      <w:pPr>
        <w:spacing w:after="0" w:line="153" w:lineRule="exact"/>
        <w:rPr>
          <w:sz w:val="20"/>
          <w:szCs w:val="20"/>
          <w:color w:val="auto"/>
        </w:rPr>
      </w:pPr>
    </w:p>
    <w:p>
      <w:pPr>
        <w:ind w:left="60" w:right="239" w:firstLine="713"/>
        <w:spacing w:after="0" w:line="266" w:lineRule="auto"/>
        <w:rPr>
          <w:sz w:val="20"/>
          <w:szCs w:val="20"/>
          <w:color w:val="auto"/>
        </w:rPr>
      </w:pPr>
      <w:r>
        <w:rPr>
          <w:rFonts w:ascii="Times New Roman" w:cs="Times New Roman" w:eastAsia="Times New Roman" w:hAnsi="Times New Roman"/>
          <w:sz w:val="18"/>
          <w:szCs w:val="18"/>
          <w:color w:val="auto"/>
        </w:rPr>
        <w:t>Other income decreased $0.5 million, or 44.2%, during the three months ended March 31, 2026 as compared to the same period in 2025. The majority of the decrease came from a $0.3 million fee a customer paid during the three months ended March 31, 2025 for breaking a contract by not purchasing homes.</w:t>
      </w:r>
    </w:p>
    <w:p>
      <w:pPr>
        <w:spacing w:after="0" w:line="13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Income tax decreased $0.4 million during the three months ended March 31, 2026 as compared to the same period in 2025 due to a decrease in income before tax as well as the purchase of tax credits at a discount during the three months ended March 31, 2026. The effective tax rate for the three months ended March 31, 2026 was 16.1% and differs from the federal statutory rate of 21% primarily due to a federal tax credit for energy efficient construction and federal tax credits purchased at a discount by the Company in the three months ending March 31, 2026. The effective tax rate for the three months ended March 31, 2025 was 19.3%.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cash flow from operations and cash at March 31, 2026, and availability on our lines of credit will be sufficient to fund our operations and provide for growth for the next 12 to 18 months and into the foreseeable future. See </w:t>
      </w:r>
      <w:r>
        <w:rPr>
          <w:rFonts w:ascii="Times New Roman" w:cs="Times New Roman" w:eastAsia="Times New Roman" w:hAnsi="Times New Roman"/>
          <w:sz w:val="18"/>
          <w:szCs w:val="18"/>
          <w:b w:val="1"/>
          <w:bCs w:val="1"/>
          <w:i w:val="1"/>
          <w:iCs w:val="1"/>
          <w:color w:val="auto"/>
        </w:rPr>
        <w:t>Lines of Credit</w:t>
      </w:r>
      <w:r>
        <w:rPr>
          <w:rFonts w:ascii="Times New Roman" w:cs="Times New Roman" w:eastAsia="Times New Roman" w:hAnsi="Times New Roman"/>
          <w:sz w:val="18"/>
          <w:szCs w:val="18"/>
          <w:color w:val="auto"/>
        </w:rPr>
        <w:t>, below, for additional information.</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175"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maintain cash balances in bank accounts that may, at times, exceed federally insured limits. We have not incurred any losses from such accounts, and management considers the risk of loss to be minimal. As of March 31, 2026, we had approximately $14.1 million in cash, compared to $8.5 million as of December 31, 2025. We consider all cash and highly liquid investments with an original maturity of three months or less to be cash equivalents.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00" w:type="dxa"/>
            <w:vAlign w:val="bottom"/>
            <w:gridSpan w:val="5"/>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4"/>
          </w:tcPr>
          <w:p>
            <w:pPr>
              <w:jc w:val="center"/>
              <w:ind w:left="45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120" w:type="dxa"/>
            <w:vAlign w:val="bottom"/>
            <w:vMerge w:val="restart"/>
          </w:tcPr>
          <w:p>
            <w:pPr>
              <w:ind w:left="59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620" w:type="dxa"/>
            <w:vAlign w:val="bottom"/>
            <w:gridSpan w:val="2"/>
          </w:tcPr>
          <w:p>
            <w:pPr>
              <w:jc w:val="center"/>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w:t>
            </w:r>
          </w:p>
        </w:tc>
        <w:tc>
          <w:tcPr>
            <w:tcW w:w="6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w:t>
            </w:r>
          </w:p>
        </w:tc>
        <w:tc>
          <w:tcPr>
            <w:tcW w:w="6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Comparison of Cash Flow Activities from March 31, 2025 to March 31, 2026</w:t>
      </w:r>
    </w:p>
    <w:p>
      <w:pPr>
        <w:spacing w:after="0" w:line="20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was $7.0 million during the three months ended March 31, 2026, compared to net cash of $4.9 million provided by operating activities during the three months ended March 31, 2025, an increase of approximately $2.1 million. This change was primarily a result of cash provided from net income of $10.9 million augmented by positive non cash adjustments of $1.4 million. Non-cash adjustments included increases to operating cash due to increased depreciation and amortization expense, provision for accounts and notes receivable, and loss from sale of property offset by decreases to operating cash from amortization of deferred revenue and deferred income taxes. Changes in assets and liabilities reduced net cash provided by operations by $5.4 million. Decreases to net cash provided by operations from changes in assets and liabilities were primarily the result of increases to the consumer loan portfolio, notes receivable MHP portfolio, inventories, and other assets, as well as decreases to accounts payable and accrued liabilities and dealer incentive liability. These were offset by a $5.6 million decrease in accounts receivable primarily related to a federal income tax refund, a decrease in the dealer inventory loan portfolio, and a $9.3 million increase in customer deposits. Approximately $7.1 million of the increase in customer deposits was attributable to a non-refundable advance deposit received during the first quarter of 2026 from a single customer in connection with a large order of manufactured homes intended for use as workforce housing. Production of the related units commenced during the first quarter of 2026, no units had shipped as of March 31, 2026, and deliveries are expected to begin during the second quarter of 2026.</w:t>
      </w:r>
    </w:p>
    <w:p>
      <w:pPr>
        <w:spacing w:after="0" w:line="15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$0.7 million for the three months ended March 31, 2026 compared to $2.0 million net cash used in investing activities for the three months ended March 31, 2025. Net cash used in investing activities for the three months ended March 31, 2026 was primarily attributable to $1.5 million used in development of property and purchases of machinery and equipment as well as $0.4 million related to the issuance and modification of notes receivable. This was offset by increases to net cash from investing activities of $1.0 million from the sale of property, $0.2 million from notes receivable collections, and $0.1 million from purchased loan collections.</w:t>
      </w:r>
    </w:p>
    <w:p>
      <w:pPr>
        <w:spacing w:after="0" w:line="147"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$0.7 million for the three months ended March 31, 2026 compared to $0.7 million net cash used in financing activities for the three months ended March 31, 2025. Net cash used in financing</w:t>
      </w:r>
    </w:p>
    <w:p>
      <w:pPr>
        <w:sectPr>
          <w:pgSz w:w="11900" w:h="16838" w:orient="portrait"/>
          <w:cols w:equalWidth="0" w:num="1">
            <w:col w:w="9019"/>
          </w:cols>
          <w:pgMar w:left="1440" w:top="513" w:right="1440"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activities for the three months ended March 31, 2026 was primarily attributable to $0.6 million of stock repurchases and net payments of $0.1 million on lines of credit.</w:t>
      </w:r>
    </w:p>
    <w:p>
      <w:pPr>
        <w:spacing w:after="0" w:line="121"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On February 6, 2026, our Board of Directors authorized a new stock repurchase program under which the Company may repurchase up to $10.0 million of its outstanding common stock, par value $0.001 per share, from time to time through February 28, 2029. Repurchases may be made in the open market or through privately negotiated transactions, with the timing, manner, price and volume of any repurchases determined by the Company's Executive Chairman and Chief Executive Officer, or either of them, in their sole discretion, based on market conditions, the Company's cash reserves and cash flow, and the relative attractiveness of alternative uses of capital for operations, growth and share repurchases. Open market repurchases under the program are intended to be made in compliance with the non-exclusive safe harbor conditions of Rule 10b-18 under the Securities Exchange Act of 1934, as amended. Shares repurchased under the program will be held as treasury shares. The program does not obligate the Company to acquire any particular amount of common stock, has no expiration date prior to February 28, 2029, and may be suspended, modified or discontinued at any time without prior notice. The Company has determined that repurchases under the program are permitted under the terms of its existing bank credit facilities and other indebtedness. During the three months ended March 31, 2026, the Company repurchased 30,740 shares of common stock for $573 under this program. As of March 31, 2026, the Company had a remaining authorization of approximately $9.4 million under this program.</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Lines of Credit</w:t>
      </w:r>
    </w:p>
    <w:p>
      <w:pPr>
        <w:spacing w:after="0" w:line="20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On July 28, 2023, the Company entered into a Credit Agreement (the “Revolver”), by and among the Company as borrower, the financial institutions from time to time party thereto, as lenders, and Prosperity Bank as administrative agent. The Revolver provides for a four-year senior secured revolving credit facility with an initial commitment of $50 million and an additional $25 million commitment under an accordion feature. The Revolver is secured by the Company’s consumer loans receivables. At the Company's option, borrowings will bear interest at a per annum rate equal to, (i) Term Secured Overnight Financing Rate (“SOFR”) plus an applicable margin of 2.5% or 2.75% based upon the Company's average quarterly borrowings under the Revolver or (ii) a base rate plus an applicable margin of 2.5% or 2.75% based upon the Company's average quarterly borrowings under the Revolver. The Company paid certain arrangement fees and other fees in connection with the Revolver of approximately $271, which were capitalized as unamortized debt issuance costs and included in Prepaid Expenses and Other Current Assets in the accompanying balance sheets and are amortized to interest expense over the life of the Revolver. The Revolver matures July 28, 2027.</w:t>
      </w:r>
    </w:p>
    <w:p>
      <w:pPr>
        <w:spacing w:after="0" w:line="21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2026 and 2025, interest expense under the Revolver was $11 and $0, respectively. The outstanding balance of the Revolver as of March 31, 2026 and December 31, 2025 was $0.9 million and $0, respectively. The interest rate in effect as of March 31, 2026 and December 31, 2025 for the Revolver was 6.13% and 6.69%, respectively. The amount of available credit under the Revolver was $49.1 million and $50 million as of March 31, 2026 and December 31, 2025, respectively. The Revolver requires the Company to comply with certain financial and non-financial covenants. As of March 31, 2026, the Company was in compliance with all financial covenants, including that it maintain a maximum leverage ratio of no more than 1.00 to 1.00 and a minimum fixed charge coverage ratio of no less than 1.75 to 1.00.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is a summary of contractual cash obligations as of March 31, 2026:</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29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2026</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​​​2027 - 2028 ​​​2029 - 2030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​​​​After 2030</w:t>
            </w:r>
          </w:p>
        </w:tc>
      </w:tr>
      <w:tr>
        <w:trPr>
          <w:trHeight w:val="209"/>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Lines of credit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02" w:lineRule="exact"/>
        <w:rPr>
          <w:sz w:val="20"/>
          <w:szCs w:val="20"/>
          <w:color w:val="auto"/>
        </w:rPr>
      </w:pPr>
    </w:p>
    <w:p>
      <w:pPr>
        <w:ind w:left="60" w:right="79" w:firstLine="713"/>
        <w:spacing w:after="0" w:line="253" w:lineRule="auto"/>
        <w:rPr>
          <w:sz w:val="20"/>
          <w:szCs w:val="20"/>
          <w:color w:val="auto"/>
        </w:rPr>
      </w:pPr>
      <w:r>
        <w:rPr>
          <w:rFonts w:ascii="Times New Roman" w:cs="Times New Roman" w:eastAsia="Times New Roman" w:hAnsi="Times New Roman"/>
          <w:sz w:val="18"/>
          <w:szCs w:val="18"/>
          <w:color w:val="auto"/>
        </w:rPr>
        <w:t>We did not have any off-balance sheet arrangements that are reasonably likely to have a current or future effect on our financial condition, net sales, results of operations, liquidity or capital expenditures. However, we do have repurchase agreements with financial institutions providing inventory financing for independent retailers of our products. Under these agreements, we have agreed to repurchase homes at declining prices over the term of the agreement. Our obligation under these repurchase agreements ceases upon the purchase of the home by the retail customer. The maximum amount of our contingent obligations under such repurchase agreements was approximately $1.4 million and $0.8 million as of March 31, 2026 and December 31, 2025, respectively, without reduction for the resale value of the homes. We may be required to honor contingent repurchase obligations in the future and may incur additional expenses as a consequence of these repurchase agreements. We consider our obligations on current contracts to be immaterial and accordingly we have not recorded any reserve for repurchase commitment as of March 31, 2026.</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Critical accounting estimates are those that we believe are both significant and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2025.</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 Nature of Operations, Recent Accounting Pronouncements to our March 31, 2026 Financial Statements, included in Part I, Item 1, Financial Statements (Unaudited), of this Quarterly Report.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the evaluation of our disclosure controls and procedures as of March 31, 2026, our Chief Executive Officer and Chief Financial Officer have concluded that our disclosure controls and procedures were not effective as of such date due to material weaknesses in internal control over financial reporting.</w:t>
      </w:r>
    </w:p>
    <w:p>
      <w:pPr>
        <w:spacing w:after="0" w:line="147" w:lineRule="exact"/>
        <w:rPr>
          <w:sz w:val="20"/>
          <w:szCs w:val="20"/>
          <w:color w:val="auto"/>
        </w:rPr>
      </w:pPr>
    </w:p>
    <w:p>
      <w:pPr>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In light of the conclusion that our disclosure controls and procedures were not effective as of March 31, 2026, we have applied procedures and processes as necessary to ensure the reliability of our financial reporting in regard to this quarterly report. Accordingly, the Company believes, based on its knowledge, that: (i) this quarterly report does not contain any untrue statement of a material fact or omit to state a material fact necessary to make the statements made, in light of the circumstances under which they were made, not misleading with respect to the period covered by this report; and (ii) the financial statements, and other financial information included in this quarterly report, fairly present in all material respects our financial condition, results of operations and cash flows as of and for the periods presented in this quarterly report.</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0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our Annual Report on Form 10-K filed with the SEC for the year ended December 31, 2025, we identified material weaknesses in our internal control over financial reporting during the preparation of our financial statements.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material weaknesses in financial reporting as of March 31, 2026 are summarized as follows:</w:t>
      </w:r>
    </w:p>
    <w:p>
      <w:pPr>
        <w:spacing w:after="0" w:line="185" w:lineRule="exact"/>
        <w:rPr>
          <w:sz w:val="20"/>
          <w:szCs w:val="20"/>
          <w:color w:val="auto"/>
        </w:rPr>
      </w:pPr>
    </w:p>
    <w:p>
      <w:pPr>
        <w:ind w:left="1380" w:right="119" w:hanging="331"/>
        <w:spacing w:after="0" w:line="266"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have not sufficiently designed, implemented, monitored or tested control activities, and we have not adequately maintained documentation or performed reviews and approvals of certain of these control activities;</w:t>
      </w:r>
    </w:p>
    <w:p>
      <w:pPr>
        <w:spacing w:after="0" w:line="148" w:lineRule="exact"/>
        <w:rPr>
          <w:rFonts w:ascii="Times New Roman" w:cs="Times New Roman" w:eastAsia="Times New Roman" w:hAnsi="Times New Roman"/>
          <w:sz w:val="18"/>
          <w:szCs w:val="18"/>
          <w:color w:val="auto"/>
        </w:rPr>
      </w:pPr>
    </w:p>
    <w:p>
      <w:pPr>
        <w:ind w:left="1380" w:right="219" w:hanging="331"/>
        <w:spacing w:after="0" w:line="282"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we do not have sufficient qualified accounting personnel to support the preparation of financial statements that comply with U.S. GAAP and SEC reporting requirements; and</w:t>
      </w:r>
    </w:p>
    <w:p>
      <w:pPr>
        <w:spacing w:after="0" w:line="121" w:lineRule="exact"/>
        <w:rPr>
          <w:rFonts w:ascii="Times New Roman" w:cs="Times New Roman" w:eastAsia="Times New Roman" w:hAnsi="Times New Roman"/>
          <w:sz w:val="18"/>
          <w:szCs w:val="18"/>
          <w:color w:val="auto"/>
        </w:rPr>
      </w:pPr>
    </w:p>
    <w:p>
      <w:pPr>
        <w:ind w:left="1380" w:right="819" w:hanging="331"/>
        <w:spacing w:after="0" w:line="312" w:lineRule="auto"/>
        <w:tabs>
          <w:tab w:leader="none" w:pos="1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determined that we have not sufficiently designed, implemented or maintained information technology general controls over in-scope business processes and financial reporting systems.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first quarter of fiscal 2026 that materially affected, or are reasonably likely to materially affect, our internal control over financial reporting.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errors, mistakes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March 13, 2026, Legacy Housing Corporation (the "Company") filed an Original Petition in the District Court of Tarrant County, Texas, captioned Legacy Housing Corporation v. AmeriCasa Solutions, LLC, et al. (Cause No. 342-375661-26). The defendants are AmeriCasa Solutions, LLC, AmeriCasa Dream Homes, Inc. (f/k/a Mobile Housing of Texas, Inc.), First Home Financial, LLC (f/k/a MHOT Financial, LLC), MHOT Insurance Agency LLC, AmeriCasa Communities LLC, AmeriCasa Asset Management, LLC, and Newton Visioncorp2, LLC (collectively, the "Seller Entities"); Norman Newton, the former principal of the Seller Entities, who served as the Company's Chief Revenue Officer following the closing and resigned from that position effective February 11, 2026; and Gregg T. Reyes. The action arises out of the Company's November 17, 2025 acquisition of substantially all of the assets of the Seller Entities pursuant to an Asset and Membership Interest Purchase Agreement dated October 30, 2025, as amended (the "APA").</w:t>
      </w:r>
    </w:p>
    <w:p>
      <w:pPr>
        <w:spacing w:after="0" w:line="148"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On April 7, 2026, the Company filed an Amended Petition and Application for Temporary Restraining Order, Temporary Injunction, and Permanent Injunction (the "Amended Petition"). The Amended Petition added AmeriCasa IP Holdings, LLC as a defendant and seeks, among other things, an order requiring certain of the defendants to account for and segregate specified categories of funds attributable to the acquired assets, including escrow balances, consumer loan payments received on or after November 1, 2025, sales proceeds from inventory at the Houston dealership, insurance commissions, and operational credits.</w:t>
      </w:r>
    </w:p>
    <w:p>
      <w:pPr>
        <w:spacing w:after="0" w:line="14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Amended Petition asserts claims for fraudulent inducement and fraud, fraud by omission, statutory fraud in a real estate and stock transaction, breach of contract (under both the APA and Mr. Newton's employment agreement with the Company), conversion, money had and received, tortious interference with employment relationships, and declaratory judgment. The Company's claims relate principally to alleged misrepresentations and omissions made in connection with the APA regarding the historical performance and financial condition of the acquired assets and to the alleged post-closing misappropriation of receipts attributable to the acquired assets. The Company seeks monetary damages in excess of $1.0 million, exemplary damages, attorneys' fees, pre- and post-judgment interest, declaratory and injunctive relief, and, in the alternative, specific performance.</w:t>
      </w:r>
    </w:p>
    <w:p>
      <w:pPr>
        <w:spacing w:after="0" w:line="165"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On April 10, 2026, the District Court declined to issue the temporary restraining order requested by the Company, citing the availability of an adequate remedy at law. The Company's application for temporary and permanent injunctive relief, along with its claims for damages and other relief, remains pending.</w:t>
      </w:r>
    </w:p>
    <w:p>
      <w:pPr>
        <w:spacing w:after="0" w:line="135" w:lineRule="exact"/>
        <w:rPr>
          <w:sz w:val="20"/>
          <w:szCs w:val="20"/>
          <w:color w:val="auto"/>
        </w:rPr>
      </w:pPr>
    </w:p>
    <w:p>
      <w:pPr>
        <w:ind w:left="60" w:right="139" w:firstLine="324"/>
        <w:spacing w:after="0" w:line="274" w:lineRule="auto"/>
        <w:rPr>
          <w:sz w:val="20"/>
          <w:szCs w:val="20"/>
          <w:color w:val="auto"/>
        </w:rPr>
      </w:pPr>
      <w:r>
        <w:rPr>
          <w:rFonts w:ascii="Times New Roman" w:cs="Times New Roman" w:eastAsia="Times New Roman" w:hAnsi="Times New Roman"/>
          <w:sz w:val="17"/>
          <w:szCs w:val="17"/>
          <w:color w:val="auto"/>
        </w:rPr>
        <w:t>On April 16, 2026, the seller defendants removed the matter to the Texas Business Court, Eighth Division (Cause No. 26-BC08B-0013). On April 20, 2026, the seller defendants filed an answer asserting affirmative defenses and counterclaims against the Company. The counterclaims allege breach of contract (including alleged underpayment of the purchase price under the APA and alleged failure to honor assumed contracts), unjust enrichment, constructive termination of Mr. Newton's employment, and fraud, and seek monetary damages stated as $1.0 million or more, exemplary damages, and attorneys' fees. The Company believes the counterclaims are without merit and intends to defend against them.</w:t>
      </w:r>
    </w:p>
    <w:p>
      <w:pPr>
        <w:spacing w:after="0" w:line="13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 believes its claims are meritorious and intends to pursue them. The litigation is in its early stages, and the Company is unable at this time to predict the outcome or to reasonably estimate the amount or range of any potential loss or recovery. An adverse outcome in the litigation, or further developments concerning the underlying facts, could result in an adjustment to the provisional amounts recorded in connection with the acquisition, or both, in a future period. For additional information, see Note 13 — Commitments and Contingencies, Note 16 — Related Party Transactions, and Note 17 — Subsequent Events to the Company's unaudited financial statements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200" w:firstLine="648"/>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factors discussed under the section entitled “Risk Factors” in our Annual Report on Form 10-K for the year ended December 31, 2025 filed with the SEC on March 12, 2026, as such factors could materially affect our business, financial condition and future results. The risks described in our Annual Report are not the only risks that we face. Additional risks and uncertainties not currently known to us, or that we currently deem to be immaterial, also may have a material adverse impact on our business, financial condition or results of operations. There have been no material changes to the risk factors identified in our most recent Annual Report on Form 10-K.</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189" w:lineRule="exact"/>
        <w:rPr>
          <w:sz w:val="20"/>
          <w:szCs w:val="20"/>
          <w:color w:val="auto"/>
        </w:rPr>
      </w:pPr>
    </w:p>
    <w:p>
      <w:pPr>
        <w:ind w:left="60" w:right="7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purchases of our common stock by us during the three months ended March 31, 2026:</w:t>
      </w:r>
    </w:p>
    <w:tbl>
      <w:tblPr>
        <w:tblLayout w:type="fixed"/>
        <w:tblInd w:w="40" w:type="dxa"/>
        <w:tblCellMar>
          <w:top w:w="0" w:type="dxa"/>
          <w:left w:w="0" w:type="dxa"/>
          <w:bottom w:w="0" w:type="dxa"/>
          <w:right w:w="0" w:type="dxa"/>
        </w:tblCellMar>
      </w:tblPr>
      <w:tr>
        <w:trPr>
          <w:trHeight w:val="200"/>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 purchased as</w:t>
            </w:r>
          </w:p>
        </w:tc>
        <w:tc>
          <w:tcPr>
            <w:tcW w:w="120" w:type="dxa"/>
            <w:vAlign w:val="bottom"/>
          </w:tcPr>
          <w:p>
            <w:pPr>
              <w:spacing w:after="0"/>
              <w:rPr>
                <w:sz w:val="17"/>
                <w:szCs w:val="17"/>
                <w:color w:val="auto"/>
              </w:rPr>
            </w:pPr>
          </w:p>
        </w:tc>
        <w:tc>
          <w:tcPr>
            <w:tcW w:w="15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shares that may</w:t>
            </w:r>
          </w:p>
        </w:tc>
      </w:tr>
      <w:tr>
        <w:trPr>
          <w:trHeight w:val="203"/>
        </w:trPr>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 under</w:t>
            </w:r>
          </w:p>
        </w:tc>
      </w:tr>
      <w:tr>
        <w:trPr>
          <w:trHeight w:val="215"/>
        </w:trPr>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purchased (1)</w:t>
            </w:r>
          </w:p>
        </w:tc>
        <w:tc>
          <w:tcPr>
            <w:tcW w:w="22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program</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the plans or programs</w:t>
            </w:r>
          </w:p>
        </w:tc>
      </w:tr>
      <w:tr>
        <w:trPr>
          <w:trHeight w:val="199"/>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1-31, 2026</w:t>
            </w:r>
          </w:p>
        </w:tc>
        <w:tc>
          <w:tcPr>
            <w:tcW w:w="2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1-28, 2026</w:t>
            </w: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1-31, 2026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2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ind w:left="60" w:right="280" w:hanging="10"/>
        <w:spacing w:after="0" w:line="272" w:lineRule="auto"/>
        <w:tabs>
          <w:tab w:leader="none" w:pos="3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30,740 shares repurchased during March 2026 were repurchased pursuant to a stock repurchase program approved by the Board of Directors on February 6, 2026 authorizing the repurchase of up to $10.0 million of the Company's outstanding common stock through February 28, 2029. The Repurchase Program had not been publicly announced as</w:t>
      </w:r>
    </w:p>
    <w:p>
      <w:pPr>
        <w:spacing w:after="0" w:line="1" w:lineRule="exact"/>
        <w:rPr>
          <w:rFonts w:ascii="Times New Roman" w:cs="Times New Roman" w:eastAsia="Times New Roman" w:hAnsi="Times New Roman"/>
          <w:sz w:val="17"/>
          <w:szCs w:val="17"/>
          <w:color w:val="auto"/>
        </w:rPr>
      </w:pPr>
    </w:p>
    <w:p>
      <w:pPr>
        <w:jc w:val="both"/>
        <w:ind w:left="60" w:right="2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March 31, 2026. As of March 31, 2026, approximately $9.4 million remained available for future repurchases under the Repurchase Program. For additional information, see Note 15 — Earnings Per Share to the unaudited financial statements included in Part I, Item 1 of this Quarterly Report.</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89" w:lineRule="exact"/>
        <w:rPr>
          <w:sz w:val="20"/>
          <w:szCs w:val="20"/>
          <w:color w:val="auto"/>
        </w:rPr>
      </w:pPr>
    </w:p>
    <w:p>
      <w:pPr>
        <w:jc w:val="both"/>
        <w:ind w:left="60"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officers or directors adopted, modified, or terminated trading plans intended to satisfy the affirmative defense conditions of Rule 10b5-1(c) under the Securities Exchange Act of 1934, as amended.</w:t>
      </w:r>
    </w:p>
    <w:p>
      <w:pPr>
        <w:spacing w:after="0" w:line="3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40"/>
          </w:cols>
          <w:pgMar w:left="1440" w:top="513" w:right="131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952"/>
        </w:trPr>
        <w:tc>
          <w:tcPr>
            <w:tcW w:w="12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860" w:type="dxa"/>
            <w:vAlign w:val="bottom"/>
            <w:gridSpan w:val="2"/>
          </w:tcPr>
          <w:p>
            <w:pPr>
              <w:spacing w:after="0"/>
              <w:rPr>
                <w:sz w:val="24"/>
                <w:szCs w:val="24"/>
                <w:color w:val="auto"/>
              </w:rPr>
            </w:pPr>
          </w:p>
        </w:tc>
        <w:tc>
          <w:tcPr>
            <w:tcW w:w="694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3.3</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Bylaws of Legacy Housing Corporation (formerly Legacy Housing Merger Sub, Inc.). (1)</w:t>
              </w:r>
            </w:hyperlink>
          </w:p>
        </w:tc>
      </w:tr>
      <w:tr>
        <w:trPr>
          <w:trHeight w:val="39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3.4</w:t>
            </w:r>
          </w:p>
        </w:tc>
        <w:tc>
          <w:tcPr>
            <w:tcW w:w="280" w:type="dxa"/>
            <w:vAlign w:val="bottom"/>
          </w:tcPr>
          <w:p>
            <w:pPr>
              <w:spacing w:after="0"/>
              <w:rPr>
                <w:sz w:val="24"/>
                <w:szCs w:val="24"/>
                <w:color w:val="auto"/>
              </w:rPr>
            </w:pPr>
          </w:p>
        </w:tc>
        <w:tc>
          <w:tcPr>
            <w:tcW w:w="64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Amendment No. 1 to the Bylaws of Legacy Housing Corporation. (1)</w:t>
              </w:r>
            </w:hyperlink>
          </w:p>
        </w:tc>
        <w:tc>
          <w:tcPr>
            <w:tcW w:w="200" w:type="dxa"/>
            <w:vAlign w:val="bottom"/>
            <w:gridSpan w:val="2"/>
          </w:tcPr>
          <w:p>
            <w:pPr>
              <w:spacing w:after="0"/>
              <w:rPr>
                <w:sz w:val="24"/>
                <w:szCs w:val="24"/>
                <w:color w:val="auto"/>
              </w:rPr>
            </w:pPr>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3.5</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Amendment No. 2 to the Bylaws of Legacy Housing Corporation. (1)</w:t>
              </w:r>
            </w:hyperlink>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3.6</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Amendment No. 3 to the Bylaws of Legacy Housing Corporation. (1)</w:t>
              </w:r>
            </w:hyperlink>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3.7</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Formation of Legacy Housing Corporation (formerly Legacy Housing Merger</w:t>
              </w:r>
            </w:hyperlink>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Sub, Inc.), a Texas for-profit corporation. (3)</w:t>
              </w:r>
            </w:hyperlink>
          </w:p>
        </w:tc>
        <w:tc>
          <w:tcPr>
            <w:tcW w:w="40" w:type="dxa"/>
            <w:vAlign w:val="bottom"/>
          </w:tcPr>
          <w:p>
            <w:pPr>
              <w:spacing w:after="0"/>
              <w:rPr>
                <w:sz w:val="17"/>
                <w:szCs w:val="17"/>
                <w:color w:val="auto"/>
              </w:rPr>
            </w:pPr>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3.8</w:t>
            </w:r>
          </w:p>
        </w:tc>
        <w:tc>
          <w:tcPr>
            <w:tcW w:w="280" w:type="dxa"/>
            <w:vAlign w:val="bottom"/>
          </w:tcPr>
          <w:p>
            <w:pPr>
              <w:spacing w:after="0"/>
              <w:rPr>
                <w:sz w:val="24"/>
                <w:szCs w:val="24"/>
                <w:color w:val="auto"/>
              </w:rPr>
            </w:pPr>
          </w:p>
        </w:tc>
        <w:tc>
          <w:tcPr>
            <w:tcW w:w="66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Certificate of Merger of Legacy Housing Corporation with and into Legacy Housing Merger</w:t>
              </w:r>
            </w:hyperlink>
          </w:p>
        </w:tc>
      </w:tr>
      <w:tr>
        <w:trPr>
          <w:trHeight w:val="196"/>
        </w:trPr>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4">
              <w:r>
                <w:rPr>
                  <w:rFonts w:ascii="Times New Roman" w:cs="Times New Roman" w:eastAsia="Times New Roman" w:hAnsi="Times New Roman"/>
                  <w:sz w:val="18"/>
                  <w:szCs w:val="18"/>
                  <w:color w:val="0000EE"/>
                  <w:w w:val="97"/>
                </w:rPr>
                <w:t>Sub, Inc. (3)</w:t>
              </w:r>
            </w:hyperlink>
          </w:p>
        </w:tc>
        <w:tc>
          <w:tcPr>
            <w:tcW w:w="5760" w:type="dxa"/>
            <w:vAlign w:val="bottom"/>
            <w:gridSpan w:val="11"/>
          </w:tcPr>
          <w:p>
            <w:pPr>
              <w:spacing w:after="0"/>
              <w:rPr>
                <w:sz w:val="17"/>
                <w:szCs w:val="17"/>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4.1</w:t>
            </w:r>
          </w:p>
        </w:tc>
        <w:tc>
          <w:tcPr>
            <w:tcW w:w="280" w:type="dxa"/>
            <w:vAlign w:val="bottom"/>
          </w:tcPr>
          <w:p>
            <w:pPr>
              <w:spacing w:after="0"/>
              <w:rPr>
                <w:sz w:val="24"/>
                <w:szCs w:val="24"/>
                <w:color w:val="auto"/>
              </w:rPr>
            </w:pPr>
          </w:p>
        </w:tc>
        <w:tc>
          <w:tcPr>
            <w:tcW w:w="6660" w:type="dxa"/>
            <w:vAlign w:val="bottom"/>
            <w:gridSpan w:val="13"/>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Specimen Common Stock Certificate. (4)</w:t>
              </w:r>
            </w:hyperlink>
          </w:p>
        </w:tc>
      </w:tr>
      <w:tr>
        <w:trPr>
          <w:trHeight w:val="20"/>
        </w:trPr>
        <w:tc>
          <w:tcPr>
            <w:tcW w:w="1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4.2</w:t>
            </w:r>
          </w:p>
        </w:tc>
        <w:tc>
          <w:tcPr>
            <w:tcW w:w="280" w:type="dxa"/>
            <w:vAlign w:val="bottom"/>
          </w:tcPr>
          <w:p>
            <w:pPr>
              <w:spacing w:after="0"/>
              <w:rPr>
                <w:sz w:val="24"/>
                <w:szCs w:val="24"/>
                <w:color w:val="auto"/>
              </w:rPr>
            </w:pPr>
          </w:p>
        </w:tc>
        <w:tc>
          <w:tcPr>
            <w:tcW w:w="3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Description of Securities of the Registrant. (2)</w:t>
              </w:r>
            </w:hyperlink>
          </w:p>
        </w:tc>
        <w:tc>
          <w:tcPr>
            <w:tcW w:w="3320" w:type="dxa"/>
            <w:vAlign w:val="bottom"/>
            <w:gridSpan w:val="8"/>
          </w:tcPr>
          <w:p>
            <w:pPr>
              <w:spacing w:after="0"/>
              <w:rPr>
                <w:sz w:val="24"/>
                <w:szCs w:val="24"/>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31.1 *</w:t>
            </w:r>
          </w:p>
        </w:tc>
        <w:tc>
          <w:tcPr>
            <w:tcW w:w="280" w:type="dxa"/>
            <w:vAlign w:val="bottom"/>
          </w:tcPr>
          <w:p>
            <w:pPr>
              <w:spacing w:after="0"/>
              <w:rPr>
                <w:sz w:val="24"/>
                <w:szCs w:val="24"/>
                <w:color w:val="auto"/>
              </w:rPr>
            </w:pPr>
          </w:p>
        </w:tc>
        <w:tc>
          <w:tcPr>
            <w:tcW w:w="5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Rule 13a-14(a) / 15d-14(a) Certification of Principal Executive Officer.</w:t>
            </w:r>
          </w:p>
        </w:tc>
        <w:tc>
          <w:tcPr>
            <w:tcW w:w="1520" w:type="dxa"/>
            <w:vAlign w:val="bottom"/>
            <w:gridSpan w:val="3"/>
          </w:tcPr>
          <w:p>
            <w:pPr>
              <w:spacing w:after="0"/>
              <w:rPr>
                <w:sz w:val="24"/>
                <w:szCs w:val="24"/>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31.2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Rule 13a-14(a) / 15d-14(a) Certification of Principal Financial Officer.</w:t>
            </w:r>
          </w:p>
        </w:tc>
      </w:tr>
      <w:tr>
        <w:trPr>
          <w:trHeight w:val="39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32.1 **</w:t>
            </w:r>
          </w:p>
        </w:tc>
        <w:tc>
          <w:tcPr>
            <w:tcW w:w="280" w:type="dxa"/>
            <w:vAlign w:val="bottom"/>
          </w:tcPr>
          <w:p>
            <w:pPr>
              <w:spacing w:after="0"/>
              <w:rPr>
                <w:sz w:val="24"/>
                <w:szCs w:val="24"/>
                <w:color w:val="auto"/>
              </w:rPr>
            </w:pPr>
          </w:p>
        </w:tc>
        <w:tc>
          <w:tcPr>
            <w:tcW w:w="50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Section 1350 Certification of Principal Executive Officer.</w:t>
            </w:r>
          </w:p>
        </w:tc>
        <w:tc>
          <w:tcPr>
            <w:tcW w:w="1580" w:type="dxa"/>
            <w:vAlign w:val="bottom"/>
            <w:gridSpan w:val="4"/>
          </w:tcPr>
          <w:p>
            <w:pPr>
              <w:spacing w:after="0"/>
              <w:rPr>
                <w:sz w:val="24"/>
                <w:szCs w:val="24"/>
                <w:color w:val="auto"/>
              </w:rPr>
            </w:pPr>
          </w:p>
        </w:tc>
      </w:tr>
      <w:tr>
        <w:trPr>
          <w:trHeight w:val="39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32.2 **</w:t>
            </w:r>
          </w:p>
        </w:tc>
        <w:tc>
          <w:tcPr>
            <w:tcW w:w="280" w:type="dxa"/>
            <w:vAlign w:val="bottom"/>
          </w:tcPr>
          <w:p>
            <w:pPr>
              <w:spacing w:after="0"/>
              <w:rPr>
                <w:sz w:val="24"/>
                <w:szCs w:val="24"/>
                <w:color w:val="auto"/>
              </w:rPr>
            </w:pPr>
          </w:p>
        </w:tc>
        <w:tc>
          <w:tcPr>
            <w:tcW w:w="41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Section 1350 Certification of Principal Financial Officer.</w:t>
            </w:r>
          </w:p>
        </w:tc>
        <w:tc>
          <w:tcPr>
            <w:tcW w:w="40" w:type="dxa"/>
            <w:vAlign w:val="bottom"/>
            <w:tcBorders>
              <w:top w:val="single" w:sz="8" w:color="0000EE"/>
            </w:tcBorders>
          </w:tcPr>
          <w:p>
            <w:pPr>
              <w:spacing w:after="0"/>
              <w:rPr>
                <w:sz w:val="24"/>
                <w:szCs w:val="24"/>
                <w:color w:val="auto"/>
              </w:rPr>
            </w:pPr>
          </w:p>
        </w:tc>
        <w:tc>
          <w:tcPr>
            <w:tcW w:w="2520" w:type="dxa"/>
            <w:vAlign w:val="bottom"/>
            <w:gridSpan w:val="6"/>
          </w:tcPr>
          <w:p>
            <w:pPr>
              <w:spacing w:after="0"/>
              <w:rPr>
                <w:sz w:val="24"/>
                <w:szCs w:val="24"/>
                <w:color w:val="auto"/>
              </w:rPr>
            </w:pPr>
          </w:p>
        </w:tc>
      </w:tr>
      <w:tr>
        <w:trPr>
          <w:trHeight w:val="43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101.INS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1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101.SCH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1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101.CAL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1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101.DEF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1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101.LAB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19"/>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101.PRE *</w:t>
            </w: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37" w:lineRule="exact"/>
        <w:rPr>
          <w:sz w:val="20"/>
          <w:szCs w:val="20"/>
          <w:color w:val="auto"/>
        </w:rPr>
      </w:pPr>
    </w:p>
    <w:p>
      <w:pPr>
        <w:jc w:val="both"/>
        <w:ind w:left="60" w:right="6659" w:hanging="10"/>
        <w:spacing w:after="0" w:line="261" w:lineRule="auto"/>
        <w:tabs>
          <w:tab w:leader="none" w:pos="3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 ** Furnished with Form 10-Q.</w:t>
      </w:r>
    </w:p>
    <w:p>
      <w:pPr>
        <w:ind w:left="380" w:right="279"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Incorporated herein by reference to the Company’s Current Report on Form 8-K filed with the SEC on November 3, 2025.</w:t>
      </w:r>
    </w:p>
    <w:p>
      <w:pPr>
        <w:spacing w:after="0" w:line="141" w:lineRule="exact"/>
        <w:rPr>
          <w:sz w:val="20"/>
          <w:szCs w:val="20"/>
          <w:color w:val="auto"/>
        </w:rPr>
      </w:pPr>
    </w:p>
    <w:p>
      <w:pPr>
        <w:ind w:left="380" w:right="39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Company’s Annual Report on Form 10-K for the year ended December 31, 2025 filed with the SEC on March 12, 2026.</w:t>
      </w:r>
    </w:p>
    <w:p>
      <w:pPr>
        <w:spacing w:after="0" w:line="121" w:lineRule="exact"/>
        <w:rPr>
          <w:rFonts w:ascii="Times New Roman" w:cs="Times New Roman" w:eastAsia="Times New Roman" w:hAnsi="Times New Roman"/>
          <w:sz w:val="18"/>
          <w:szCs w:val="18"/>
          <w:color w:val="auto"/>
        </w:rPr>
      </w:pPr>
    </w:p>
    <w:p>
      <w:pPr>
        <w:ind w:left="380" w:right="21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Company’s Quarterly Report Form 10-Q for the quarter ended September 30, 2025 filed with the SEC on November 7, 2025.</w:t>
      </w:r>
    </w:p>
    <w:p>
      <w:pPr>
        <w:spacing w:after="0" w:line="134" w:lineRule="exact"/>
        <w:rPr>
          <w:rFonts w:ascii="Times New Roman" w:cs="Times New Roman" w:eastAsia="Times New Roman" w:hAnsi="Times New Roman"/>
          <w:sz w:val="18"/>
          <w:szCs w:val="18"/>
          <w:color w:val="auto"/>
        </w:rPr>
      </w:pPr>
    </w:p>
    <w:p>
      <w:pPr>
        <w:ind w:left="380" w:right="73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Company’s Registration Statement on Form S-1 filed with the SEC on November 9, 2018</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LEGACY HOUSING CORPORATION</w:t>
            </w:r>
          </w:p>
        </w:tc>
      </w:tr>
      <w:tr>
        <w:trPr>
          <w:trHeight w:val="86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5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KENNETH E. SHIPLEY</w:t>
            </w:r>
          </w:p>
        </w:tc>
      </w:tr>
      <w:tr>
        <w:trPr>
          <w:trHeight w:val="191"/>
        </w:trPr>
        <w:tc>
          <w:tcPr>
            <w:tcW w:w="2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Kenneth E. Shipley</w:t>
            </w:r>
          </w:p>
        </w:tc>
      </w:tr>
      <w:tr>
        <w:trPr>
          <w:trHeight w:val="216"/>
        </w:trPr>
        <w:tc>
          <w:tcPr>
            <w:tcW w:w="2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5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JON A. LANGBERT</w:t>
            </w:r>
          </w:p>
        </w:tc>
      </w:tr>
      <w:tr>
        <w:trPr>
          <w:trHeight w:val="191"/>
        </w:trPr>
        <w:tc>
          <w:tcPr>
            <w:tcW w:w="2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Jon A. Langbert</w:t>
            </w:r>
          </w:p>
        </w:tc>
      </w:tr>
      <w:tr>
        <w:trPr>
          <w:trHeight w:val="216"/>
        </w:trPr>
        <w:tc>
          <w:tcPr>
            <w:tcW w:w="2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Kenneth E. Shipley, certify that:</w:t>
      </w:r>
    </w:p>
    <w:p>
      <w:pPr>
        <w:spacing w:after="0" w:line="225" w:lineRule="exact"/>
        <w:rPr>
          <w:sz w:val="20"/>
          <w:szCs w:val="20"/>
          <w:color w:val="auto"/>
        </w:rPr>
      </w:pPr>
    </w:p>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60" w:right="240" w:firstLine="655"/>
        <w:spacing w:after="0" w:line="266" w:lineRule="auto"/>
        <w:tabs>
          <w:tab w:leader="none" w:pos="11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60" w:right="60" w:firstLine="655"/>
        <w:spacing w:after="0" w:line="266" w:lineRule="auto"/>
        <w:tabs>
          <w:tab w:leader="none" w:pos="12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60" w:right="80" w:firstLine="655"/>
        <w:spacing w:after="0" w:line="266" w:lineRule="auto"/>
        <w:tabs>
          <w:tab w:leader="none" w:pos="11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60" w:right="20" w:firstLine="655"/>
        <w:spacing w:after="0" w:line="266" w:lineRule="auto"/>
        <w:tabs>
          <w:tab w:leader="none" w:pos="12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60" w:right="320" w:firstLine="655"/>
        <w:spacing w:after="0" w:line="266" w:lineRule="auto"/>
        <w:tabs>
          <w:tab w:leader="none" w:pos="119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60" w:right="360" w:firstLine="655"/>
        <w:spacing w:after="0" w:line="282" w:lineRule="auto"/>
        <w:tabs>
          <w:tab w:leader="none" w:pos="12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Shipley</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Executive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08"/>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Ronald C. Arrington, certify that:</w:t>
      </w:r>
    </w:p>
    <w:p>
      <w:pPr>
        <w:spacing w:after="0" w:line="225" w:lineRule="exact"/>
        <w:rPr>
          <w:sz w:val="20"/>
          <w:szCs w:val="20"/>
          <w:color w:val="auto"/>
        </w:rPr>
      </w:pPr>
    </w:p>
    <w:p>
      <w:pPr>
        <w:ind w:left="840" w:hanging="184"/>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Legacy Housing Corporation;</w:t>
      </w:r>
    </w:p>
    <w:p>
      <w:pPr>
        <w:spacing w:after="0" w:line="22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60" w:right="240" w:firstLine="655"/>
        <w:spacing w:after="0" w:line="266" w:lineRule="auto"/>
        <w:tabs>
          <w:tab w:leader="none" w:pos="11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60" w:right="60" w:firstLine="655"/>
        <w:spacing w:after="0" w:line="266" w:lineRule="auto"/>
        <w:tabs>
          <w:tab w:leader="none" w:pos="12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60" w:right="80" w:firstLine="655"/>
        <w:spacing w:after="0" w:line="266" w:lineRule="auto"/>
        <w:tabs>
          <w:tab w:leader="none" w:pos="11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60" w:right="20" w:firstLine="655"/>
        <w:spacing w:after="0" w:line="266" w:lineRule="auto"/>
        <w:tabs>
          <w:tab w:leader="none" w:pos="12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60" w:right="320" w:firstLine="655"/>
        <w:spacing w:after="0" w:line="266" w:lineRule="auto"/>
        <w:tabs>
          <w:tab w:leader="none" w:pos="119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60" w:right="360" w:firstLine="655"/>
        <w:spacing w:after="0" w:line="282" w:lineRule="auto"/>
        <w:tabs>
          <w:tab w:leader="none" w:pos="120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C. Arrington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Ronald C. Arrington</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10-Q for the quarter ended March 31, 2026, as filed with the Securities and Exchange Commission on the date hereof (the “Report”), I, Kenneth E. Shipley, Interim Chief Executive Officer of the Company, certify, pursuant to 18 U.S.C. §1350, as adopted pursuant to Section 906 of the Sarbanes-Oxley Act of 2002, that to my knowledge:</w:t>
      </w:r>
    </w:p>
    <w:p>
      <w:pPr>
        <w:spacing w:after="0" w:line="180" w:lineRule="exact"/>
        <w:rPr>
          <w:sz w:val="20"/>
          <w:szCs w:val="20"/>
          <w:color w:val="auto"/>
        </w:rPr>
      </w:pPr>
    </w:p>
    <w:p>
      <w:pPr>
        <w:ind w:left="1300" w:right="260" w:hanging="644"/>
        <w:spacing w:after="0" w:line="282" w:lineRule="auto"/>
        <w:tabs>
          <w:tab w:leader="none" w:pos="127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7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E. Shipley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Kenneth E. Shipley</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Executive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Legacy Housing Corporation (the “Company”) on Form 10-Q for the quarter ended March 31, 2026, as filed with the Securities and Exchange Commission on the date hereof (the “Report”), I, Ronald C. Arrington, Chief Financial Officer of the Company, certify, pursuant to 18 U.S.C. §1350, as adopted pursuant to Section 906 of the Sarbanes-Oxley Act of 2002, that to my knowledge:</w:t>
      </w:r>
    </w:p>
    <w:p>
      <w:pPr>
        <w:spacing w:after="0" w:line="180" w:lineRule="exact"/>
        <w:rPr>
          <w:sz w:val="20"/>
          <w:szCs w:val="20"/>
          <w:color w:val="auto"/>
        </w:rPr>
      </w:pPr>
    </w:p>
    <w:p>
      <w:pPr>
        <w:ind w:left="1300" w:right="260" w:hanging="644"/>
        <w:spacing w:after="0" w:line="282" w:lineRule="auto"/>
        <w:tabs>
          <w:tab w:leader="none" w:pos="12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C. Arrington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Ronald C. Arrington</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Interim 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lvl w:ilvl="1">
      <w:lvlJc w:val="left"/>
      <w:lvlText w:val="(%2)"/>
      <w:numFmt w:val="decimal"/>
      <w:start w:val="1"/>
    </w:lvl>
  </w:abstractNum>
  <w:abstractNum w:abstractNumId="4">
    <w:nsid w:val="1F16E9E8"/>
    <w:multiLevelType w:val="hybridMultilevel"/>
    <w:lvl w:ilvl="0">
      <w:lvlJc w:val="left"/>
      <w:lvlText w:val="%1."/>
      <w:numFmt w:val="decimal"/>
      <w:start w:val="3"/>
    </w:lvl>
    <w:lvl w:ilvl="1">
      <w:lvlJc w:val="left"/>
      <w:lvlText w:val="%2"/>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lvl w:ilvl="1">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49" Type="http://schemas.openxmlformats.org/officeDocument/2006/relationships/hyperlink" Target="https://www.sec.gov/Archives/edgar/data/1436208/000110465925105634/tm2530011d1_ex3-1.htm" TargetMode="External"/><Relationship Id="rId50" Type="http://schemas.openxmlformats.org/officeDocument/2006/relationships/hyperlink" Target="https://www.sec.gov/Archives/edgar/data/1436208/000110465925105634/tm2530011d1_ex3-2.htm" TargetMode="External"/><Relationship Id="rId51" Type="http://schemas.openxmlformats.org/officeDocument/2006/relationships/hyperlink" Target="https://www.sec.gov/Archives/edgar/data/1436208/000110465925105634/tm2530011d1_ex3-3.htm" TargetMode="External"/><Relationship Id="rId52" Type="http://schemas.openxmlformats.org/officeDocument/2006/relationships/hyperlink" Target="https://www.sec.gov/Archives/edgar/data/1436208/000110465925105634/tm2530011d1_ex3-4.htm" TargetMode="External"/><Relationship Id="rId53" Type="http://schemas.openxmlformats.org/officeDocument/2006/relationships/hyperlink" Target="https://www.sec.gov/Archives/edgar/data/1436208/000110465925108551/legh-20250930xex3d3.htm" TargetMode="External"/><Relationship Id="rId54" Type="http://schemas.openxmlformats.org/officeDocument/2006/relationships/hyperlink" Target="https://www.sec.gov/Archives/edgar/data/1436208/000110465925108551/legh-20250930xex3d4.htm" TargetMode="External"/><Relationship Id="rId55" Type="http://schemas.openxmlformats.org/officeDocument/2006/relationships/hyperlink" Target="https://www.sec.gov/Archives/edgar/data/1436208/000104746918007147/a2236789zex-4_1.htm" TargetMode="External"/><Relationship Id="rId56" Type="http://schemas.openxmlformats.org/officeDocument/2006/relationships/hyperlink" Target="https://www.sec.gov/Archives/edgar/data/1436208/000155837025002822/legh-20241231x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2026-05-07T14:57:21Z</dcterms:created>
  <dcterms:modified xsi:type="dcterms:W3CDTF">2026-05-07T14:57:21Z</dcterms:modified>
</cp:coreProperties>
</file>