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egh-20260630x10q.htm"/>
        <w:bookmarkStart w:id="1" w:name="kslegh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bookmarkStart w:id="2" w:name="_7d0e0fef_82ef_413a_b7d1_23c376f85036"/>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001-38761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Legacy Housing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GMOp6hMq2EWeq7qoKOSLXg_2_1"/>
      <w:bookmarkStart w:id="4" w:name="Tc_jXzmzaX6IEKzmB26needMQ_2_0"/>
      <w:bookmarkStart w:id="5" w:name="Tc_E0PCcr3aE02_KLvQ0NkwFg_1_1"/>
      <w:bookmarkStart w:id="6" w:name="Tc_QCzskS3ua0O10Ffc-w7uvg_1_0"/>
      <w:bookmarkStart w:id="7" w:name="_f8212589_33c9_46f4_8ee5_d937c00ae8a9"/>
      <w:bookmarkStart w:id="8" w:name="Tc_GMOp6hMq2EWeq7qoKOSLXg_2_1"/>
      <w:bookmarkStart w:id="9" w:name="Tc_jXzmzaX6IEKzmB26needMQ_2_0"/>
      <w:bookmarkStart w:id="10" w:name="Tc_E0PCcr3aE02_KLvQ0NkwFg_1_1"/>
      <w:bookmarkStart w:id="11" w:name="Tc_QCzskS3ua0O10Ffc-w7uvg_1_0"/>
      <w:bookmarkStart w:id="12" w:name="_f8212589_33c9_46f4_8ee5_d937c00ae8a9"/>
      <w:bookmarkEnd w:id="8"/>
      <w:bookmarkEnd w:id="9"/>
      <w:bookmarkEnd w:id="10"/>
      <w:bookmarkEnd w:id="11"/>
      <w:bookmarkEnd w:id="12"/>
    </w:p>
    <w:tbl>
      <w:tblPr>
        <w:tblW w:w="3692" w:type="dxa"/>
        <w:jc w:val="left"/>
        <w:tblInd w:w="0" w:type="dxa"/>
        <w:tblLayout w:type="fixed"/>
        <w:tblCellMar>
          <w:top w:w="0" w:type="dxa"/>
          <w:left w:w="0" w:type="dxa"/>
          <w:bottom w:w="0" w:type="dxa"/>
          <w:right w:w="0" w:type="dxa"/>
        </w:tblCellMar>
      </w:tblPr>
      <w:tblGrid>
        <w:gridCol w:w="2236"/>
        <w:gridCol w:w="1456"/>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20-2897516</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Airport Freeway,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Bedford, Texas</w:t>
      </w:r>
      <w:r>
        <w:rPr>
          <w:rFonts w:ascii="Times New Roman;Times;serif" w:hAnsi="Times New Roman;Times;serif"/>
          <w:sz w:val="20"/>
        </w:rPr>
        <w:t xml:space="preserve"> </w:t>
      </w:r>
      <w:r>
        <w:rPr>
          <w:rFonts w:ascii="Times New Roman;Times;serif" w:hAnsi="Times New Roman;Times;serif"/>
          <w:b/>
          <w:sz w:val="18"/>
        </w:rPr>
        <w:t>76022</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(817) 799-4900</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41" w:type="dxa"/>
        <w:jc w:val="left"/>
        <w:tblInd w:w="0" w:type="dxa"/>
        <w:tblLayout w:type="fixed"/>
        <w:tblCellMar>
          <w:top w:w="0" w:type="dxa"/>
          <w:left w:w="0" w:type="dxa"/>
          <w:bottom w:w="0" w:type="dxa"/>
          <w:right w:w="0" w:type="dxa"/>
        </w:tblCellMar>
      </w:tblPr>
      <w:tblGrid>
        <w:gridCol w:w="1876"/>
        <w:gridCol w:w="109"/>
        <w:gridCol w:w="2356"/>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xml:space="preserve"> ☒ </w:t>
            </w:r>
          </w:p>
        </w:tc>
      </w:tr>
      <w:tr>
        <w:trPr/>
        <w:tc>
          <w:tcPr>
            <w:tcW w:w="1876" w:type="dxa"/>
            <w:tcBorders/>
            <w:vAlign w:val="center"/>
          </w:tcPr>
          <w:p>
            <w:pPr>
              <w:pStyle w:val="TableContents"/>
              <w:bidi w:val="0"/>
              <w:spacing w:before="0" w:after="200"/>
              <w:ind w:left="0" w:right="0" w:hanging="0"/>
              <w:jc w:val="center"/>
              <w:rPr/>
            </w:pPr>
            <w:r>
              <w:rPr/>
              <w:t>​</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200"/>
              <w:ind w:left="0" w:right="0" w:hanging="0"/>
              <w:jc w:val="center"/>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 xml:space="preserve">☐ </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3" w:name="Tc_Xh344_iXl0mLgJ2_4J2Y_g_1_4"/>
      <w:bookmarkStart w:id="14" w:name="Tc_-MlP95eRc0eva8nPzPETKQ_1_2"/>
      <w:bookmarkStart w:id="15" w:name="Tc_dk2e4eNT4UqIeLJ9lZaWqw_1_0"/>
      <w:bookmarkStart w:id="16" w:name="_aaf4b83e_9dc9_4c74_9c83_000c221d0fa6"/>
      <w:bookmarkStart w:id="17" w:name="Tc_Xh344_iXl0mLgJ2_4J2Y_g_1_4"/>
      <w:bookmarkStart w:id="18" w:name="Tc_-MlP95eRc0eva8nPzPETKQ_1_2"/>
      <w:bookmarkStart w:id="19" w:name="Tc_dk2e4eNT4UqIeLJ9lZaWqw_1_0"/>
      <w:bookmarkStart w:id="20" w:name="_aaf4b83e_9dc9_4c74_9c83_000c221d0fa6"/>
      <w:bookmarkEnd w:id="17"/>
      <w:bookmarkEnd w:id="18"/>
      <w:bookmarkEnd w:id="19"/>
      <w:bookmarkEnd w:id="20"/>
    </w:p>
    <w:tbl>
      <w:tblPr>
        <w:tblW w:w="7895" w:type="dxa"/>
        <w:jc w:val="left"/>
        <w:tblInd w:w="0" w:type="dxa"/>
        <w:tblLayout w:type="fixed"/>
        <w:tblCellMar>
          <w:top w:w="0" w:type="dxa"/>
          <w:left w:w="0" w:type="dxa"/>
          <w:bottom w:w="0" w:type="dxa"/>
          <w:right w:w="0" w:type="dxa"/>
        </w:tblCellMar>
      </w:tblPr>
      <w:tblGrid>
        <w:gridCol w:w="2551"/>
        <w:gridCol w:w="346"/>
        <w:gridCol w:w="1276"/>
        <w:gridCol w:w="346"/>
        <w:gridCol w:w="337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34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LEGH</w:t>
            </w:r>
          </w:p>
        </w:tc>
        <w:tc>
          <w:tcPr>
            <w:tcW w:w="34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There were 23,781,601 shares of Common Stock ($0.001 par value) outstanding as of August 5, 2026.</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34a8ec08_bfc2_43f7_a0ef_9333e7c0b9ca"/>
      <w:bookmarkStart w:id="22" w:name="TOC"/>
      <w:bookmarkEnd w:id="21"/>
      <w:bookmarkEnd w:id="22"/>
      <w:r>
        <w:rPr>
          <w:rFonts w:ascii="Times New Roman;Times;serif" w:hAnsi="Times New Roman;Times;serif"/>
          <w:b/>
          <w:sz w:val="20"/>
        </w:rPr>
        <w:t>LEGACY HOUSING CORPORATION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857" w:type="dxa"/>
        <w:jc w:val="left"/>
        <w:tblInd w:w="0" w:type="dxa"/>
        <w:tblLayout w:type="fixed"/>
        <w:tblCellMar>
          <w:top w:w="0" w:type="dxa"/>
          <w:left w:w="0" w:type="dxa"/>
          <w:bottom w:w="0" w:type="dxa"/>
          <w:right w:w="0" w:type="dxa"/>
        </w:tblCellMar>
      </w:tblPr>
      <w:tblGrid>
        <w:gridCol w:w="124"/>
        <w:gridCol w:w="796"/>
        <w:gridCol w:w="7366"/>
        <w:gridCol w:w="5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05460" cy="175260"/>
                      <wp:effectExtent l="0" t="0" r="0" b="0"/>
                      <wp:wrapNone/>
                      <wp:docPr id="2" name="Frame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3"/>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62585" cy="29210"/>
                      <wp:effectExtent l="0" t="0" r="0" b="0"/>
                      <wp:wrapNone/>
                      <wp:docPr id="4" name="Frame4"/>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286" w:type="dxa"/>
            <w:gridSpan w:val="3"/>
            <w:tcBorders/>
            <w:vAlign w:val="center"/>
          </w:tcPr>
          <w:p>
            <w:pPr>
              <w:pStyle w:val="TableContents"/>
              <w:bidi w:val="0"/>
              <w:spacing w:before="0" w:after="0"/>
              <w:ind w:left="0" w:right="0" w:hanging="0"/>
              <w:jc w:val="left"/>
              <w:rPr/>
            </w:pPr>
            <w:hyperlink w:anchor="PARTIFINANCIALINFORMATION_124370">
              <w:r>
                <w:rPr>
                  <w:rStyle w:val="InternetLink"/>
                  <w:rFonts w:ascii="Times New Roman;Times;serif" w:hAnsi="Times New Roman;Times;serif"/>
                  <w:b w:val="false"/>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286" w:type="dxa"/>
            <w:gridSpan w:val="3"/>
            <w:tcBorders/>
            <w:vAlign w:val="center"/>
          </w:tcPr>
          <w:p>
            <w:pPr>
              <w:pStyle w:val="TableContents"/>
              <w:bidi w:val="0"/>
              <w:spacing w:before="0" w:after="0"/>
              <w:ind w:left="0" w:right="0" w:hanging="0"/>
              <w:jc w:val="left"/>
              <w:rPr/>
            </w:pPr>
            <w:hyperlink w:anchor="PARTIIOTHERINFORMATION_170690">
              <w:r>
                <w:rPr>
                  <w:rStyle w:val="InternetLink"/>
                  <w:rFonts w:ascii="Times New Roman;Times;serif" w:hAnsi="Times New Roman;Times;serif"/>
                  <w:b w:val="false"/>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286" w:type="dxa"/>
            <w:gridSpan w:val="3"/>
            <w:tcBorders/>
            <w:vAlign w:val="center"/>
          </w:tcPr>
          <w:p>
            <w:pPr>
              <w:pStyle w:val="TableContents"/>
              <w:bidi w:val="0"/>
              <w:spacing w:before="0" w:after="0"/>
              <w:ind w:left="0" w:right="0" w:hanging="0"/>
              <w:jc w:val="left"/>
              <w:rPr/>
            </w:pPr>
            <w:hyperlink w:anchor="SIGNATURES_65971">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480" w:after="0"/>
        <w:ind w:left="0" w:right="0" w:hanging="0"/>
        <w:jc w:val="center"/>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23" w:name="PARTIFINANCIALINFORMATION_124370"/>
      <w:bookmarkStart w:id="24" w:name="_0413f62f_44d2_4260_9cf0_d2503782f237"/>
      <w:bookmarkEnd w:id="23"/>
      <w:bookmarkEnd w:id="24"/>
      <w:r>
        <w:rPr>
          <w:rFonts w:ascii="Times New Roman;Times;serif" w:hAnsi="Times New Roman;Times;serif"/>
          <w:b/>
          <w:sz w:val="20"/>
        </w:rPr>
        <w:t xml:space="preserve">PART I – FINANCIAL INFORMATION </w:t>
      </w:r>
    </w:p>
    <w:p>
      <w:pPr>
        <w:pStyle w:val="TextBody"/>
        <w:bidi w:val="0"/>
        <w:spacing w:before="0" w:after="120"/>
        <w:ind w:left="0" w:right="0" w:hanging="0"/>
        <w:jc w:val="left"/>
        <w:rPr>
          <w:rFonts w:ascii="Times New Roman;Times;serif" w:hAnsi="Times New Roman;Times;serif"/>
          <w:b/>
          <w:sz w:val="20"/>
        </w:rPr>
      </w:pPr>
      <w:bookmarkStart w:id="25" w:name="Item1FinancialStatements_613532"/>
      <w:bookmarkEnd w:id="25"/>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BALANCE SHEETS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data)</w:t>
      </w:r>
    </w:p>
    <w:p>
      <w:pPr>
        <w:pStyle w:val="Normal"/>
        <w:bidi w:val="0"/>
        <w:spacing w:before="0" w:after="0"/>
        <w:jc w:val="left"/>
        <w:rPr>
          <w:sz w:val="4"/>
          <w:szCs w:val="4"/>
        </w:rPr>
      </w:pPr>
      <w:r>
        <w:rPr>
          <w:sz w:val="4"/>
          <w:szCs w:val="4"/>
        </w:rPr>
      </w:r>
      <w:bookmarkStart w:id="26" w:name="Tc_w5sZHsqVsUen3XNlXQFECw_49_5"/>
      <w:bookmarkStart w:id="27" w:name="Tc_rDXhq6wmKEKkz0WE05qSeQ_49_2"/>
      <w:bookmarkStart w:id="28" w:name="Tc_SzEEyKdMwEiYz4x7zDGdTQ_49_0"/>
      <w:bookmarkStart w:id="29" w:name="Tc_rgAtGj1DiE-sh2dvbAcTyA_48_0"/>
      <w:bookmarkStart w:id="30" w:name="Tc_UY-Gtrd0HkqlTPzRGhLyOw_47_0"/>
      <w:bookmarkStart w:id="31" w:name="Tc_wJTKYpPq4U6lYmkkM5udYw_46_0"/>
      <w:bookmarkStart w:id="32" w:name="Tc_gheOSwSTLkiYcFEDoFbO7Q_45_0"/>
      <w:bookmarkStart w:id="33" w:name="Tc_l8SAUW8ugEeXw59qPxFZJw_44_0"/>
      <w:bookmarkStart w:id="34" w:name="Tc__aKrJ3IvmkS48wKfg85DEQ_43_0"/>
      <w:bookmarkStart w:id="35" w:name="Tc_rOe2TWdA1EqM0NWmkEXJ-Q_42_0"/>
      <w:bookmarkStart w:id="36" w:name="Tc_jtu20Omqj0GgLOPA6B1tpQ_41_0"/>
      <w:bookmarkStart w:id="37" w:name="Tc_kXkjQuEbO0SWbCNny11gEQ_40_0"/>
      <w:bookmarkStart w:id="38" w:name="Tc_RKSbL-gLak-FGaJwLzf41Q_39_0"/>
      <w:bookmarkStart w:id="39" w:name="Tc_gVgrcOp9WUqtia9trHbpBg_38_3"/>
      <w:bookmarkStart w:id="40" w:name="Tc_x_3HWy3KzE-mhyrjPlIk3Q_38_0"/>
      <w:bookmarkStart w:id="41" w:name="Tc_i7vyD3FyXkGFal30OMW4jw_37_0"/>
      <w:bookmarkStart w:id="42" w:name="Tc_nwd3DHWHhECZwTpacuMNMQ_36_0"/>
      <w:bookmarkStart w:id="43" w:name="Tc_GKJH18eaFUuefE6aI7JRYA_35_0"/>
      <w:bookmarkStart w:id="44" w:name="Tc_0qlFvDYIaUS91eXPemWYpA_34_0"/>
      <w:bookmarkStart w:id="45" w:name="Tc_CjJBN64tfkeMNk8VtQV3Mg_33_0"/>
      <w:bookmarkStart w:id="46" w:name="Tc_oYGr1swWD0yXScoPeghPug_32_0"/>
      <w:bookmarkStart w:id="47" w:name="Tc_UqCmsMehPUGhMvXMvpapcg_31_0"/>
      <w:bookmarkStart w:id="48" w:name="Tc_C8bUk38HcUyXQHmKNc439A_30_5"/>
      <w:bookmarkStart w:id="49" w:name="Tc_OSZTxBZiA0OTNJmCyjEqTQ_30_2"/>
      <w:bookmarkStart w:id="50" w:name="Tc_BKNahKNPvk2ZUNTB1lMjlA_30_0"/>
      <w:bookmarkStart w:id="51" w:name="Tc_XbpSppePPEymQ86eQUkTdA_29_0"/>
      <w:bookmarkStart w:id="52" w:name="Tc_Q7UvqWMHC06W2HExEh7VhA_28_0"/>
      <w:bookmarkStart w:id="53" w:name="Tc_4ATEz4dM7kO3CR2qVt0ILg_27_5"/>
      <w:bookmarkStart w:id="54" w:name="Tc_oTOG78XQA0uWbeJTJGs91g_27_2"/>
      <w:bookmarkStart w:id="55" w:name="Tc_E4moTpoWb0uNiwyBiS9YAA_27_0"/>
      <w:bookmarkStart w:id="56" w:name="Tc_znYQM6rV7k-Bb-Bvydebaw_26_0"/>
      <w:bookmarkStart w:id="57" w:name="Tc_UaX3WDhmn0e1itas5JCi9w_25_0"/>
      <w:bookmarkStart w:id="58" w:name="Tc_JUJCuMM4BUmhyss6BsSaZQ_24_0"/>
      <w:bookmarkStart w:id="59" w:name="Tc_BjFZy3JkE06q-WQGhUIbSw_23_0"/>
      <w:bookmarkStart w:id="60" w:name="Tc_NRdjSXbTgUWvhJjGNoJphQ_22_0"/>
      <w:bookmarkStart w:id="61" w:name="Tc_xUKGxo1ac0S-zYJY22Cdww_21_0"/>
      <w:bookmarkStart w:id="62" w:name="Tc_4nr5gJxrvkKXQO5I8NShzw_20_0"/>
      <w:bookmarkStart w:id="63" w:name="Tc_FvbLw4JYDE27Z43AsWwCDQ_19_0"/>
      <w:bookmarkStart w:id="64" w:name="Tc_ngpCUVHZa0yiXgWlD7VbIg_18_0"/>
      <w:bookmarkStart w:id="65" w:name="Tc_T2VxQM3JzEGYUvmr1vkpkA_17_0"/>
      <w:bookmarkStart w:id="66" w:name="Tc_rlwbfrcg6kSd1vfuNlgYLA_16_0"/>
      <w:bookmarkStart w:id="67" w:name="Tc_EhnKnQoPLEuvgLPNHjVslg_15_0"/>
      <w:bookmarkStart w:id="68" w:name="Tc_geLGvzLkI0mD52yj60x9lQ_14_0"/>
      <w:bookmarkStart w:id="69" w:name="Tc_9VLI-bafjEKGVB0IR7wClg_13_0"/>
      <w:bookmarkStart w:id="70" w:name="Tc_zaV371nFl0eok8D3z_ccCw_12_0"/>
      <w:bookmarkStart w:id="71" w:name="Tc_fm5opWhJr0-jdVzvqq8AwA_11_0"/>
      <w:bookmarkStart w:id="72" w:name="Tc_O1s3wHiMe0-wyP6b-EXN1Q_10_0"/>
      <w:bookmarkStart w:id="73" w:name="Tc_s40IjfXXrEe_0p0QwQidhw_9_3"/>
      <w:bookmarkStart w:id="74" w:name="Tc_j77ibslpikeVVSpWGY6NyQ_9_0"/>
      <w:bookmarkStart w:id="75" w:name="Tc_Sb_WZcs1F0SaJFWojAuLkQ_8_0"/>
      <w:bookmarkStart w:id="76" w:name="Tc_GON9v0JAn0eqHyojSQR3lg_7_0"/>
      <w:bookmarkStart w:id="77" w:name="Tc_jY14R6jUn0-8rzUHvAI1Gw_6_5"/>
      <w:bookmarkStart w:id="78" w:name="Tc_Ga2AVRiI7kSVmhUn4pSmKw_6_2"/>
      <w:bookmarkStart w:id="79" w:name="Tc_TsK6NpmbiEa2K2nNYwH84Q_6_0"/>
      <w:bookmarkStart w:id="80" w:name="Tc_OwVnGbLIDkWB8amkQWXvyg_5_0"/>
      <w:bookmarkStart w:id="81" w:name="Tc_4n3HOnh4Lk6brUAwCcrjWA_4_0"/>
      <w:bookmarkStart w:id="82" w:name="Tc_UADmsJu2gE2Ov8W5Rvld0Q_3_5"/>
      <w:bookmarkStart w:id="83" w:name="Tc_wtpEL_hsmU2PHn1oZH-x4w_3_2"/>
      <w:bookmarkStart w:id="84" w:name="Tc_FeVCmAZwMkujLJtjS2L-Fw_2_5"/>
      <w:bookmarkStart w:id="85" w:name="Tc_8YIVPrCqR0uc1c3YTUgIrQ_2_2"/>
      <w:bookmarkStart w:id="86" w:name="Tc_3OZ7qKsXrUGM43GwgOx8ZA_1_2"/>
      <w:bookmarkStart w:id="87" w:name="_b40e166b_744b_4d24_82ee_483a34b92615"/>
      <w:bookmarkStart w:id="88" w:name="Tc_w5sZHsqVsUen3XNlXQFECw_49_5"/>
      <w:bookmarkStart w:id="89" w:name="Tc_rDXhq6wmKEKkz0WE05qSeQ_49_2"/>
      <w:bookmarkStart w:id="90" w:name="Tc_SzEEyKdMwEiYz4x7zDGdTQ_49_0"/>
      <w:bookmarkStart w:id="91" w:name="Tc_rgAtGj1DiE-sh2dvbAcTyA_48_0"/>
      <w:bookmarkStart w:id="92" w:name="Tc_UY-Gtrd0HkqlTPzRGhLyOw_47_0"/>
      <w:bookmarkStart w:id="93" w:name="Tc_wJTKYpPq4U6lYmkkM5udYw_46_0"/>
      <w:bookmarkStart w:id="94" w:name="Tc_gheOSwSTLkiYcFEDoFbO7Q_45_0"/>
      <w:bookmarkStart w:id="95" w:name="Tc_l8SAUW8ugEeXw59qPxFZJw_44_0"/>
      <w:bookmarkStart w:id="96" w:name="Tc__aKrJ3IvmkS48wKfg85DEQ_43_0"/>
      <w:bookmarkStart w:id="97" w:name="Tc_rOe2TWdA1EqM0NWmkEXJ-Q_42_0"/>
      <w:bookmarkStart w:id="98" w:name="Tc_jtu20Omqj0GgLOPA6B1tpQ_41_0"/>
      <w:bookmarkStart w:id="99" w:name="Tc_kXkjQuEbO0SWbCNny11gEQ_40_0"/>
      <w:bookmarkStart w:id="100" w:name="Tc_RKSbL-gLak-FGaJwLzf41Q_39_0"/>
      <w:bookmarkStart w:id="101" w:name="Tc_gVgrcOp9WUqtia9trHbpBg_38_3"/>
      <w:bookmarkStart w:id="102" w:name="Tc_x_3HWy3KzE-mhyrjPlIk3Q_38_0"/>
      <w:bookmarkStart w:id="103" w:name="Tc_i7vyD3FyXkGFal30OMW4jw_37_0"/>
      <w:bookmarkStart w:id="104" w:name="Tc_nwd3DHWHhECZwTpacuMNMQ_36_0"/>
      <w:bookmarkStart w:id="105" w:name="Tc_GKJH18eaFUuefE6aI7JRYA_35_0"/>
      <w:bookmarkStart w:id="106" w:name="Tc_0qlFvDYIaUS91eXPemWYpA_34_0"/>
      <w:bookmarkStart w:id="107" w:name="Tc_CjJBN64tfkeMNk8VtQV3Mg_33_0"/>
      <w:bookmarkStart w:id="108" w:name="Tc_oYGr1swWD0yXScoPeghPug_32_0"/>
      <w:bookmarkStart w:id="109" w:name="Tc_UqCmsMehPUGhMvXMvpapcg_31_0"/>
      <w:bookmarkStart w:id="110" w:name="Tc_C8bUk38HcUyXQHmKNc439A_30_5"/>
      <w:bookmarkStart w:id="111" w:name="Tc_OSZTxBZiA0OTNJmCyjEqTQ_30_2"/>
      <w:bookmarkStart w:id="112" w:name="Tc_BKNahKNPvk2ZUNTB1lMjlA_30_0"/>
      <w:bookmarkStart w:id="113" w:name="Tc_XbpSppePPEymQ86eQUkTdA_29_0"/>
      <w:bookmarkStart w:id="114" w:name="Tc_Q7UvqWMHC06W2HExEh7VhA_28_0"/>
      <w:bookmarkStart w:id="115" w:name="Tc_4ATEz4dM7kO3CR2qVt0ILg_27_5"/>
      <w:bookmarkStart w:id="116" w:name="Tc_oTOG78XQA0uWbeJTJGs91g_27_2"/>
      <w:bookmarkStart w:id="117" w:name="Tc_E4moTpoWb0uNiwyBiS9YAA_27_0"/>
      <w:bookmarkStart w:id="118" w:name="Tc_znYQM6rV7k-Bb-Bvydebaw_26_0"/>
      <w:bookmarkStart w:id="119" w:name="Tc_UaX3WDhmn0e1itas5JCi9w_25_0"/>
      <w:bookmarkStart w:id="120" w:name="Tc_JUJCuMM4BUmhyss6BsSaZQ_24_0"/>
      <w:bookmarkStart w:id="121" w:name="Tc_BjFZy3JkE06q-WQGhUIbSw_23_0"/>
      <w:bookmarkStart w:id="122" w:name="Tc_NRdjSXbTgUWvhJjGNoJphQ_22_0"/>
      <w:bookmarkStart w:id="123" w:name="Tc_xUKGxo1ac0S-zYJY22Cdww_21_0"/>
      <w:bookmarkStart w:id="124" w:name="Tc_4nr5gJxrvkKXQO5I8NShzw_20_0"/>
      <w:bookmarkStart w:id="125" w:name="Tc_FvbLw4JYDE27Z43AsWwCDQ_19_0"/>
      <w:bookmarkStart w:id="126" w:name="Tc_ngpCUVHZa0yiXgWlD7VbIg_18_0"/>
      <w:bookmarkStart w:id="127" w:name="Tc_T2VxQM3JzEGYUvmr1vkpkA_17_0"/>
      <w:bookmarkStart w:id="128" w:name="Tc_rlwbfrcg6kSd1vfuNlgYLA_16_0"/>
      <w:bookmarkStart w:id="129" w:name="Tc_EhnKnQoPLEuvgLPNHjVslg_15_0"/>
      <w:bookmarkStart w:id="130" w:name="Tc_geLGvzLkI0mD52yj60x9lQ_14_0"/>
      <w:bookmarkStart w:id="131" w:name="Tc_9VLI-bafjEKGVB0IR7wClg_13_0"/>
      <w:bookmarkStart w:id="132" w:name="Tc_zaV371nFl0eok8D3z_ccCw_12_0"/>
      <w:bookmarkStart w:id="133" w:name="Tc_fm5opWhJr0-jdVzvqq8AwA_11_0"/>
      <w:bookmarkStart w:id="134" w:name="Tc_O1s3wHiMe0-wyP6b-EXN1Q_10_0"/>
      <w:bookmarkStart w:id="135" w:name="Tc_s40IjfXXrEe_0p0QwQidhw_9_3"/>
      <w:bookmarkStart w:id="136" w:name="Tc_j77ibslpikeVVSpWGY6NyQ_9_0"/>
      <w:bookmarkStart w:id="137" w:name="Tc_Sb_WZcs1F0SaJFWojAuLkQ_8_0"/>
      <w:bookmarkStart w:id="138" w:name="Tc_GON9v0JAn0eqHyojSQR3lg_7_0"/>
      <w:bookmarkStart w:id="139" w:name="Tc_jY14R6jUn0-8rzUHvAI1Gw_6_5"/>
      <w:bookmarkStart w:id="140" w:name="Tc_Ga2AVRiI7kSVmhUn4pSmKw_6_2"/>
      <w:bookmarkStart w:id="141" w:name="Tc_TsK6NpmbiEa2K2nNYwH84Q_6_0"/>
      <w:bookmarkStart w:id="142" w:name="Tc_OwVnGbLIDkWB8amkQWXvyg_5_0"/>
      <w:bookmarkStart w:id="143" w:name="Tc_4n3HOnh4Lk6brUAwCcrjWA_4_0"/>
      <w:bookmarkStart w:id="144" w:name="Tc_UADmsJu2gE2Ov8W5Rvld0Q_3_5"/>
      <w:bookmarkStart w:id="145" w:name="Tc_wtpEL_hsmU2PHn1oZH-x4w_3_2"/>
      <w:bookmarkStart w:id="146" w:name="Tc_FeVCmAZwMkujLJtjS2L-Fw_2_5"/>
      <w:bookmarkStart w:id="147" w:name="Tc_8YIVPrCqR0uc1c3YTUgIrQ_2_2"/>
      <w:bookmarkStart w:id="148" w:name="Tc_3OZ7qKsXrUGM43GwgOx8ZA_1_2"/>
      <w:bookmarkStart w:id="149" w:name="_b40e166b_744b_4d24_82ee_483a34b9261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452"/>
        <w:gridCol w:w="346"/>
        <w:gridCol w:w="199"/>
        <w:gridCol w:w="718"/>
        <w:gridCol w:w="346"/>
        <w:gridCol w:w="225"/>
        <w:gridCol w:w="919"/>
      </w:tblGrid>
      <w:tr>
        <w:trPr/>
        <w:tc>
          <w:tcPr>
            <w:tcW w:w="7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732020" cy="175260"/>
                      <wp:effectExtent l="0" t="0" r="0" b="0"/>
                      <wp:wrapNone/>
                      <wp:docPr id="5" name="Frame5"/>
                      <a:graphic xmlns:a="http://schemas.openxmlformats.org/drawingml/2006/main">
                        <a:graphicData uri="http://schemas.microsoft.com/office/word/2010/wordprocessingShape">
                          <wps:wsp>
                            <wps:cNvSpPr txBox="1"/>
                            <wps:spPr>
                              <a:xfrm>
                                <a:off x="0" y="0"/>
                                <a:ext cx="4732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6365" cy="175260"/>
                      <wp:effectExtent l="0" t="0" r="0" b="0"/>
                      <wp:wrapNone/>
                      <wp:docPr id="7" name="Frame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5930" cy="175260"/>
                      <wp:effectExtent l="0" t="0" r="0" b="0"/>
                      <wp:wrapNone/>
                      <wp:docPr id="8" name="Frame8"/>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2875" cy="175260"/>
                      <wp:effectExtent l="0" t="0" r="0" b="0"/>
                      <wp:wrapNone/>
                      <wp:docPr id="10" name="Frame1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83565" cy="175260"/>
                      <wp:effectExtent l="0" t="0" r="0" b="0"/>
                      <wp:wrapNone/>
                      <wp:docPr id="11" name="Frame11"/>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44" w:type="dxa"/>
            <w:gridSpan w:val="2"/>
            <w:tcBorders/>
            <w:vAlign w:val="center"/>
          </w:tcPr>
          <w:p>
            <w:pPr>
              <w:pStyle w:val="TableContents"/>
              <w:bidi w:val="0"/>
              <w:spacing w:before="0" w:after="1"/>
              <w:ind w:left="0" w:right="0" w:hanging="0"/>
              <w:jc w:val="center"/>
              <w:rPr/>
            </w:pPr>
            <w:r>
              <w:rPr/>
              <w:t>​</w:t>
            </w:r>
          </w:p>
        </w:tc>
      </w:tr>
      <w:tr>
        <w:trPr/>
        <w:tc>
          <w:tcPr>
            <w:tcW w:w="74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4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1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52"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left"/>
              <w:rPr/>
            </w:pPr>
            <w:r>
              <w:rPr/>
              <w:t>​</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  ​</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28,965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8,478</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5,467</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receivable from loan portfolios,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3,517</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refund receivable</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5,617</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Dealer financed receivables,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26,685</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loans receivable, current portion, net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9,798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9,458</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mobile home parks (“MHP”), current portion,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61,856</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59,632</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notes receivable, current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4,868</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43,941</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39,853</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1,150</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1,081</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181,244</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164,656</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65,405</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60,497</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loans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192,376</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189,356</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mobile home parks (“MHP”), net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147,161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136,906</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notes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1,476</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1,226</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 leased mobile homes</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3,804</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1,313</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15,215</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13,911</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998</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4,713</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5,198</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615,656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580,337</w:t>
            </w:r>
          </w:p>
        </w:tc>
      </w:tr>
      <w:tr>
        <w:trPr/>
        <w:tc>
          <w:tcPr>
            <w:tcW w:w="7452"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pPr>
            <w:r>
              <w:rPr/>
              <w:t>  ​</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6,443</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17,596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25,063</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12,472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1,764</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Escrow liability</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14,554</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13,109</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459</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50,964</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46,858</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w:t>
              <w:noBreakHyphen/>
              <w:t>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 net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Lines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1,200</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Dealer incentive liability</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1,800</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2,805</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53,414</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51,723</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pPr>
            <w:r>
              <w:rPr/>
              <w:t>  ​</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$.001 par value, 10,000,000 shares authorized: no shares issued or outstanding</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$.001 par value, 90,000,000 shares authorized; 24,866,342 issued and 23,781,601 and 23,812,341 outstanding at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1,084,741 and 1,054,001 shares at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(17,484)</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182,742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182,857</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397,618</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363,209</w:t>
            </w:r>
          </w:p>
        </w:tc>
      </w:tr>
      <w:tr>
        <w:trPr/>
        <w:tc>
          <w:tcPr>
            <w:tcW w:w="7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562,242</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528,614</w:t>
            </w:r>
          </w:p>
        </w:tc>
      </w:tr>
      <w:tr>
        <w:trPr/>
        <w:tc>
          <w:tcPr>
            <w:tcW w:w="74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615,656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580,337</w:t>
            </w:r>
          </w:p>
        </w:tc>
      </w:tr>
    </w:tbl>
    <w:p>
      <w:pPr>
        <w:pStyle w:val="TextBody"/>
        <w:bidi w:val="0"/>
        <w:spacing w:lineRule="atLeast" w:line="240" w:before="0" w:after="0"/>
        <w:ind w:left="0" w:right="0" w:firstLine="720"/>
        <w:jc w:val="center"/>
        <w:rPr>
          <w:rFonts w:ascii="Times New Roman;Times;serif" w:hAnsi="Times New Roman;Times;serif"/>
          <w:sz w:val="16"/>
        </w:rPr>
      </w:pPr>
      <w:r>
        <w:rPr>
          <w:rFonts w:ascii="Times New Roman;Times;serif" w:hAnsi="Times New Roman;Times;serif"/>
          <w:sz w:val="18"/>
        </w:rPr>
        <w:t>See accompanying notes to unaudited interim financial</w:t>
      </w:r>
      <w:r>
        <w:rPr>
          <w:rFonts w:ascii="Times New Roman;Times;serif" w:hAnsi="Times New Roman;Times;serif"/>
          <w:sz w:val="16"/>
        </w:rPr>
        <w:t xml:space="preserve"> </w:t>
      </w:r>
      <w:r>
        <w:rPr>
          <w:rFonts w:ascii="Times New Roman;Times;serif" w:hAnsi="Times New Roman;Times;serif"/>
          <w:sz w:val="18"/>
        </w:rPr>
        <w:t>statements</w:t>
      </w:r>
      <w:r>
        <w:rPr>
          <w:rFonts w:ascii="Times New Roman;Times;serif" w:hAnsi="Times New Roman;Times;serif"/>
          <w:sz w:val="16"/>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50" w:name="_d3ae0ea9_e0b3_4a66_9643_279b56638a3b"/>
      <w:bookmarkEnd w:id="150"/>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51" w:name="Tc_7h_6TJPXD0--VJS0_q4XPA_28_11"/>
      <w:bookmarkStart w:id="152" w:name="Tc_fW1zruBp7kisXBFhVsZx0A_28_8"/>
      <w:bookmarkStart w:id="153" w:name="Tc_9wbK7cfe9EKb8vKrXPWDxg_28_5"/>
      <w:bookmarkStart w:id="154" w:name="Tc_hPslGq8OZkS5PsT2pBEOEQ_28_2"/>
      <w:bookmarkStart w:id="155" w:name="Tc_NFPEwW6DikibU9WUKjN0Ag_28_0"/>
      <w:bookmarkStart w:id="156" w:name="Tc_V7c5bKoyykm-zGIO-oMWNA_27_11"/>
      <w:bookmarkStart w:id="157" w:name="Tc_9oduxHr56UWJ6yd4ifuQzw_27_8"/>
      <w:bookmarkStart w:id="158" w:name="Tc_4H74aCvRNEGvT4vLhonfwA_27_5"/>
      <w:bookmarkStart w:id="159" w:name="Tc_IHCIk-wFrEuaZ7LwcBCBXQ_27_2"/>
      <w:bookmarkStart w:id="160" w:name="Tc_z6-bDPhcd0yq9O7dFHhP6w_27_0"/>
      <w:bookmarkStart w:id="161" w:name="Tc_xpTAwAWh_UGQHD05rdIYDg_26_0"/>
      <w:bookmarkStart w:id="162" w:name="Tc_5k5fvT6iV0a4q9sURQKKbw_25_0"/>
      <w:bookmarkStart w:id="163" w:name="Tc_zn_N--4mGke6m8XHy2mzpQ_24_0"/>
      <w:bookmarkStart w:id="164" w:name="Tc_fJ3Y1ukjxkO41ZVzRptIPQ_23_0"/>
      <w:bookmarkStart w:id="165" w:name="Tc_06kT9sNTjUWuudaQWdKNtQ_22_11"/>
      <w:bookmarkStart w:id="166" w:name="Tc_0zF962PFEESJY32XCFi1EA_22_8"/>
      <w:bookmarkStart w:id="167" w:name="Tc_hMF3BrQ7vE2rAmHdMPTJUg_22_5"/>
      <w:bookmarkStart w:id="168" w:name="Tc_qcw-PaW6G06G3rsB7Z7cPQ_22_2"/>
      <w:bookmarkStart w:id="169" w:name="Tc_aDnXlqcJukSmNnVkwOugIg_22_0"/>
      <w:bookmarkStart w:id="170" w:name="Tc_zShJbb8XaEiG3QppxDVtMg_21_0"/>
      <w:bookmarkStart w:id="171" w:name="Tc_e1kF_1Lu6EGYGDfn6KHuUg_20_0"/>
      <w:bookmarkStart w:id="172" w:name="Tc_ooFXwhCKM06Xqg2xNGlyQA_19_0"/>
      <w:bookmarkStart w:id="173" w:name="Tc_XRquzwmo_EOh_7bx4uygWA_18_0"/>
      <w:bookmarkStart w:id="174" w:name="Tc_B1pGOh9H1Emv7yoRy6ZKkg_17_0"/>
      <w:bookmarkStart w:id="175" w:name="Tc_WxPBcwCEPEWCByYoWvL81Q_16_0"/>
      <w:bookmarkStart w:id="176" w:name="Tc_TdnRaJJzTEK1pjOIt87O1w_15_0"/>
      <w:bookmarkStart w:id="177" w:name="Tc_ta0vmtz0mUuc3kTJB8Y0fg_14_0"/>
      <w:bookmarkStart w:id="178" w:name="Tc_gKgtsRfOHkS9MjHQyyJWfA_13_0"/>
      <w:bookmarkStart w:id="179" w:name="Tc_HCrunWpVqUCiOZIfQrgfuQ_12_0"/>
      <w:bookmarkStart w:id="180" w:name="Tc_O-0Bn48sIUOwLslAegZE1g_11_0"/>
      <w:bookmarkStart w:id="181" w:name="Tc_s7IT0pFaY0mEqCTv_4TrwQ_10_0"/>
      <w:bookmarkStart w:id="182" w:name="Tc_4zdojTs-0ESb31jyULe36Q_9_0"/>
      <w:bookmarkStart w:id="183" w:name="Tc_XMLB7gYvMU6RFLlumfwyuw_8_0"/>
      <w:bookmarkStart w:id="184" w:name="Tc_PWAd-dRl5EGPLoZtHzuUSA_7_0"/>
      <w:bookmarkStart w:id="185" w:name="Tc_PkBHH6W71kuHX-tZ8KrGkQ_6_0"/>
      <w:bookmarkStart w:id="186" w:name="Tc_9C9GEzK6VUKzf9uGbN4l1A_5_0"/>
      <w:bookmarkStart w:id="187" w:name="Tc_LkUYA4NA4E2WPR5A5KGWxg_4_11"/>
      <w:bookmarkStart w:id="188" w:name="Tc_593PJQw1XEy1to5YqmOBlw_4_8"/>
      <w:bookmarkStart w:id="189" w:name="Tc_gpW3uMmBWEmVQoN31HEpFQ_4_5"/>
      <w:bookmarkStart w:id="190" w:name="Tc_3IyirSAvxEGs7N-ZSZOBNw_4_2"/>
      <w:bookmarkStart w:id="191" w:name="Tc_NEoliv1dK0KqSnrqaK-p5w_4_0"/>
      <w:bookmarkStart w:id="192" w:name="Tc__yBtMIxYeUqxKb2GPKGnIw_3_0"/>
      <w:bookmarkStart w:id="193" w:name="Tc_yBxdQAxNik2vN6BRmtpwmQ_2_11"/>
      <w:bookmarkStart w:id="194" w:name="Tc_1lOWMZxyE0eB9X0HPMWAIg_2_8"/>
      <w:bookmarkStart w:id="195" w:name="Tc_v2zc1hnH7Emyvw9gU3dCow_2_5"/>
      <w:bookmarkStart w:id="196" w:name="Tc_JZXA3N4vh0eQU4JiqNIJYQ_2_2"/>
      <w:bookmarkStart w:id="197" w:name="Tc_Z_Ju3ViUp0KEQ2zS5VGrvg_1_8"/>
      <w:bookmarkStart w:id="198" w:name="Tc_g8MSNWebZU2StlD8akZtTw_1_2"/>
      <w:bookmarkStart w:id="199" w:name="_e2023bf7_8bd4_4fc1_abda_bc0d189613a3"/>
      <w:bookmarkStart w:id="200" w:name="Tc_7h_6TJPXD0--VJS0_q4XPA_28_11"/>
      <w:bookmarkStart w:id="201" w:name="Tc_fW1zruBp7kisXBFhVsZx0A_28_8"/>
      <w:bookmarkStart w:id="202" w:name="Tc_9wbK7cfe9EKb8vKrXPWDxg_28_5"/>
      <w:bookmarkStart w:id="203" w:name="Tc_hPslGq8OZkS5PsT2pBEOEQ_28_2"/>
      <w:bookmarkStart w:id="204" w:name="Tc_NFPEwW6DikibU9WUKjN0Ag_28_0"/>
      <w:bookmarkStart w:id="205" w:name="Tc_V7c5bKoyykm-zGIO-oMWNA_27_11"/>
      <w:bookmarkStart w:id="206" w:name="Tc_9oduxHr56UWJ6yd4ifuQzw_27_8"/>
      <w:bookmarkStart w:id="207" w:name="Tc_4H74aCvRNEGvT4vLhonfwA_27_5"/>
      <w:bookmarkStart w:id="208" w:name="Tc_IHCIk-wFrEuaZ7LwcBCBXQ_27_2"/>
      <w:bookmarkStart w:id="209" w:name="Tc_z6-bDPhcd0yq9O7dFHhP6w_27_0"/>
      <w:bookmarkStart w:id="210" w:name="Tc_xpTAwAWh_UGQHD05rdIYDg_26_0"/>
      <w:bookmarkStart w:id="211" w:name="Tc_5k5fvT6iV0a4q9sURQKKbw_25_0"/>
      <w:bookmarkStart w:id="212" w:name="Tc_zn_N--4mGke6m8XHy2mzpQ_24_0"/>
      <w:bookmarkStart w:id="213" w:name="Tc_fJ3Y1ukjxkO41ZVzRptIPQ_23_0"/>
      <w:bookmarkStart w:id="214" w:name="Tc_06kT9sNTjUWuudaQWdKNtQ_22_11"/>
      <w:bookmarkStart w:id="215" w:name="Tc_0zF962PFEESJY32XCFi1EA_22_8"/>
      <w:bookmarkStart w:id="216" w:name="Tc_hMF3BrQ7vE2rAmHdMPTJUg_22_5"/>
      <w:bookmarkStart w:id="217" w:name="Tc_qcw-PaW6G06G3rsB7Z7cPQ_22_2"/>
      <w:bookmarkStart w:id="218" w:name="Tc_aDnXlqcJukSmNnVkwOugIg_22_0"/>
      <w:bookmarkStart w:id="219" w:name="Tc_zShJbb8XaEiG3QppxDVtMg_21_0"/>
      <w:bookmarkStart w:id="220" w:name="Tc_e1kF_1Lu6EGYGDfn6KHuUg_20_0"/>
      <w:bookmarkStart w:id="221" w:name="Tc_ooFXwhCKM06Xqg2xNGlyQA_19_0"/>
      <w:bookmarkStart w:id="222" w:name="Tc_XRquzwmo_EOh_7bx4uygWA_18_0"/>
      <w:bookmarkStart w:id="223" w:name="Tc_B1pGOh9H1Emv7yoRy6ZKkg_17_0"/>
      <w:bookmarkStart w:id="224" w:name="Tc_WxPBcwCEPEWCByYoWvL81Q_16_0"/>
      <w:bookmarkStart w:id="225" w:name="Tc_TdnRaJJzTEK1pjOIt87O1w_15_0"/>
      <w:bookmarkStart w:id="226" w:name="Tc_ta0vmtz0mUuc3kTJB8Y0fg_14_0"/>
      <w:bookmarkStart w:id="227" w:name="Tc_gKgtsRfOHkS9MjHQyyJWfA_13_0"/>
      <w:bookmarkStart w:id="228" w:name="Tc_HCrunWpVqUCiOZIfQrgfuQ_12_0"/>
      <w:bookmarkStart w:id="229" w:name="Tc_O-0Bn48sIUOwLslAegZE1g_11_0"/>
      <w:bookmarkStart w:id="230" w:name="Tc_s7IT0pFaY0mEqCTv_4TrwQ_10_0"/>
      <w:bookmarkStart w:id="231" w:name="Tc_4zdojTs-0ESb31jyULe36Q_9_0"/>
      <w:bookmarkStart w:id="232" w:name="Tc_XMLB7gYvMU6RFLlumfwyuw_8_0"/>
      <w:bookmarkStart w:id="233" w:name="Tc_PWAd-dRl5EGPLoZtHzuUSA_7_0"/>
      <w:bookmarkStart w:id="234" w:name="Tc_PkBHH6W71kuHX-tZ8KrGkQ_6_0"/>
      <w:bookmarkStart w:id="235" w:name="Tc_9C9GEzK6VUKzf9uGbN4l1A_5_0"/>
      <w:bookmarkStart w:id="236" w:name="Tc_LkUYA4NA4E2WPR5A5KGWxg_4_11"/>
      <w:bookmarkStart w:id="237" w:name="Tc_593PJQw1XEy1to5YqmOBlw_4_8"/>
      <w:bookmarkStart w:id="238" w:name="Tc_gpW3uMmBWEmVQoN31HEpFQ_4_5"/>
      <w:bookmarkStart w:id="239" w:name="Tc_3IyirSAvxEGs7N-ZSZOBNw_4_2"/>
      <w:bookmarkStart w:id="240" w:name="Tc_NEoliv1dK0KqSnrqaK-p5w_4_0"/>
      <w:bookmarkStart w:id="241" w:name="Tc__yBtMIxYeUqxKb2GPKGnIw_3_0"/>
      <w:bookmarkStart w:id="242" w:name="Tc_yBxdQAxNik2vN6BRmtpwmQ_2_11"/>
      <w:bookmarkStart w:id="243" w:name="Tc_1lOWMZxyE0eB9X0HPMWAIg_2_8"/>
      <w:bookmarkStart w:id="244" w:name="Tc_v2zc1hnH7Emyvw9gU3dCow_2_5"/>
      <w:bookmarkStart w:id="245" w:name="Tc_JZXA3N4vh0eQU4JiqNIJYQ_2_2"/>
      <w:bookmarkStart w:id="246" w:name="Tc_Z_Ju3ViUp0KEQ2zS5VGrvg_1_8"/>
      <w:bookmarkStart w:id="247" w:name="Tc_g8MSNWebZU2StlD8akZtTw_1_2"/>
      <w:bookmarkStart w:id="248" w:name="_e2023bf7_8bd4_4fc1_abda_bc0d189613a3"/>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9753" w:type="dxa"/>
        <w:jc w:val="left"/>
        <w:tblInd w:w="0" w:type="dxa"/>
        <w:tblLayout w:type="fixed"/>
        <w:tblCellMar>
          <w:top w:w="0" w:type="dxa"/>
          <w:left w:w="0" w:type="dxa"/>
          <w:bottom w:w="0" w:type="dxa"/>
          <w:right w:w="0" w:type="dxa"/>
        </w:tblCellMar>
      </w:tblPr>
      <w:tblGrid>
        <w:gridCol w:w="3736"/>
        <w:gridCol w:w="146"/>
        <w:gridCol w:w="211"/>
        <w:gridCol w:w="1036"/>
        <w:gridCol w:w="146"/>
        <w:gridCol w:w="211"/>
        <w:gridCol w:w="1036"/>
        <w:gridCol w:w="346"/>
        <w:gridCol w:w="211"/>
        <w:gridCol w:w="1036"/>
        <w:gridCol w:w="346"/>
        <w:gridCol w:w="211"/>
        <w:gridCol w:w="108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372360" cy="175260"/>
                      <wp:effectExtent l="0" t="0" r="0" b="0"/>
                      <wp:wrapNone/>
                      <wp:docPr id="12" name="Frame1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86435" cy="175260"/>
                      <wp:effectExtent l="0" t="0" r="0" b="0"/>
                      <wp:wrapNone/>
                      <wp:docPr id="24" name="Frame2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53,760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62,677</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21,538</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66,348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85,831</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33,521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other sales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 (income) (1)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57,423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(loss)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23,781,601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24,050,252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23,795,389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24,091,086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23,813,873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24,600,720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23,826,244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24,648,705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200"/>
        <w:ind w:left="0" w:right="0" w:firstLine="720"/>
        <w:jc w:val="center"/>
        <w:rPr/>
      </w:pPr>
      <w:r>
        <w:rPr/>
        <w:t>​</w:t>
      </w:r>
    </w:p>
    <w:p>
      <w:pPr>
        <w:pStyle w:val="TextBody"/>
        <w:bidi w:val="0"/>
        <w:spacing w:before="0" w:after="200"/>
        <w:ind w:left="0" w:right="0" w:firstLine="720"/>
        <w:jc w:val="center"/>
        <w:rPr/>
      </w:pPr>
      <w:r>
        <w:rPr/>
        <w:t>​</w:t>
      </w:r>
    </w:p>
    <w:tbl>
      <w:tblPr>
        <w:tblW w:w="7791" w:type="dxa"/>
        <w:jc w:val="left"/>
        <w:tblInd w:w="0" w:type="dxa"/>
        <w:tblLayout w:type="fixed"/>
        <w:tblCellMar>
          <w:top w:w="28" w:type="dxa"/>
          <w:left w:w="28" w:type="dxa"/>
          <w:bottom w:w="28" w:type="dxa"/>
          <w:right w:w="28" w:type="dxa"/>
        </w:tblCellMar>
      </w:tblPr>
      <w:tblGrid>
        <w:gridCol w:w="124"/>
        <w:gridCol w:w="31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Provision for loan loss is broken out from SG&amp;A this period. Prior period amounts were reclassified.</w:t>
            </w:r>
          </w:p>
        </w:tc>
      </w:tr>
    </w:tbl>
    <w:p>
      <w:pPr>
        <w:pStyle w:val="TextBody"/>
        <w:bidi w:val="0"/>
        <w:spacing w:before="0" w:after="20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18"/>
        </w:rPr>
      </w:pPr>
      <w:r>
        <w:rPr>
          <w:rFonts w:ascii="Times New Roman;Times;serif" w:hAnsi="Times New Roman;Times;serif"/>
          <w:sz w:val="18"/>
        </w:rPr>
        <w:t>See accompanying notes to unaudited interim financial statements.</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9" w:name="_e7ac0a86_e5ba_46a2_9365_32aa2d4607e5"/>
      <w:bookmarkEnd w:id="249"/>
      <w:r>
        <w:rPr>
          <w:rFonts w:ascii="Times New Roman;Times;serif" w:hAnsi="Times New Roman;Times;serif"/>
          <w:b/>
          <w:sz w:val="20"/>
        </w:rPr>
        <w:t>LEGACY HOUSING CORPORATION</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STATEMENTS OF CHANGES IN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50" w:name="Tc_SxXVZ22eGEWXLzCoLH3ZDQ_11_16"/>
      <w:bookmarkStart w:id="251" w:name="Tc_2LuYU3dgUEaHrYUrnqSp7w_11_13"/>
      <w:bookmarkStart w:id="252" w:name="Tc_3q8-VrFIBU-xT27R569rkw_11_10"/>
      <w:bookmarkStart w:id="253" w:name="Tc_foPzMPYfcUiBKJJZYrZzsw_11_7"/>
      <w:bookmarkStart w:id="254" w:name="Tc_MgMFYryEVEK6ytW1-Tb2mw_11_4"/>
      <w:bookmarkStart w:id="255" w:name="Tc_0FHU5fmIuUuLIrjsTOlnPQ_11_0"/>
      <w:bookmarkStart w:id="256" w:name="Tc_tDVvrtMGeEG8v2afJvHTPQ_10_11"/>
      <w:bookmarkStart w:id="257" w:name="Tc_QYz5kTKjZki5UymdYMRPhA_10_8"/>
      <w:bookmarkStart w:id="258" w:name="Tc_VpmSazSDcU-FNpPKS3n2yg_10_5"/>
      <w:bookmarkStart w:id="259" w:name="Tc_xBoGEXlZukSc9YEV4OIORg_10_2"/>
      <w:bookmarkStart w:id="260" w:name="Tc_xuGxJ09vyUmRocMoeyYSbw_10_0"/>
      <w:bookmarkStart w:id="261" w:name="Tc_EJHCd49aMU2GV0GNUQ-qVQ_9_14"/>
      <w:bookmarkStart w:id="262" w:name="Tc_20NLA3G4dECtUe5gUlhqfA_9_11"/>
      <w:bookmarkStart w:id="263" w:name="Tc_iBVFd6UMf0-2Bv9wsInImA_9_5"/>
      <w:bookmarkStart w:id="264" w:name="Tc_mCp_xtrQgEuhnNW08GADuw_9_2"/>
      <w:bookmarkStart w:id="265" w:name="Tc_MO_mNV-8HUWcanSchh7qWQ_9_0"/>
      <w:bookmarkStart w:id="266" w:name="Tc_JI0Y9hxkUk-3brcvoEFVPw_8_14"/>
      <w:bookmarkStart w:id="267" w:name="Tc_fG5kBuVPskKr31IJBbQkAQ_8_8"/>
      <w:bookmarkStart w:id="268" w:name="Tc_U_Us3w_xCkq2-0KIwy8qxg_8_5"/>
      <w:bookmarkStart w:id="269" w:name="Tc_oaN_YZouvkmRRdkECOEFBw_8_2"/>
      <w:bookmarkStart w:id="270" w:name="Tc_fNjVHmjzC0GuuufKTWwZXQ_8_0"/>
      <w:bookmarkStart w:id="271" w:name="Tc_tR-xwDrYIEKLSGeXKyoMNw_7_16"/>
      <w:bookmarkStart w:id="272" w:name="Tc_Awj8H8fY8EGxOm3_fYgqkg_7_13"/>
      <w:bookmarkStart w:id="273" w:name="Tc_WLIU3x-q0EuRfQlFAgAuEg_7_10"/>
      <w:bookmarkStart w:id="274" w:name="Tc_1Q9r4vqWKUSZUAKMW4aMwg_7_7"/>
      <w:bookmarkStart w:id="275" w:name="Tc_BuhH8PrhjkuJ3_h0Fg4yZg_7_4"/>
      <w:bookmarkStart w:id="276" w:name="Tc_yMCgm2feXEavfvCwIzV0zA_7_0"/>
      <w:bookmarkStart w:id="277" w:name="Tc_Z_dJf2ZiLUuhFCRdoh1Ejw_6_11"/>
      <w:bookmarkStart w:id="278" w:name="Tc_5t13AU_ge0myKsaJ1yYniw_6_8"/>
      <w:bookmarkStart w:id="279" w:name="Tc_SPnjA7wnv0-FvoRgPqTahw_6_5"/>
      <w:bookmarkStart w:id="280" w:name="Tc_LPjfxq72T02FkINNZMWfNw_6_2"/>
      <w:bookmarkStart w:id="281" w:name="Tc_QKaIR-6MOkuILPHqCfb0FQ_6_0"/>
      <w:bookmarkStart w:id="282" w:name="Tc_I1hYi6EMX0OfPGnmWCWtZw_5_14"/>
      <w:bookmarkStart w:id="283" w:name="Tc_e-LXpsqQqk6vxiSa1Tie3w_5_11"/>
      <w:bookmarkStart w:id="284" w:name="Tc_N-WSvtoWlUKZNoKgCvYh6Q_5_5"/>
      <w:bookmarkStart w:id="285" w:name="Tc_k_5V187Kg0yh8ccuJ19GMg_5_2"/>
      <w:bookmarkStart w:id="286" w:name="Tc_v0vKu-nqfEuaC2Ew9CPVKA_5_0"/>
      <w:bookmarkStart w:id="287" w:name="Tc_tJKDPfJLN02YmHQfyx02PQ_4_14"/>
      <w:bookmarkStart w:id="288" w:name="Tc_yIRaDQLOFUaipjd3D1-BFg_4_8"/>
      <w:bookmarkStart w:id="289" w:name="Tc_EM_659H50UmDkvxqJY_KqQ_4_0"/>
      <w:bookmarkStart w:id="290" w:name="Tc_5gBA1ipzU0CMhCFcUuWdSg_3_16"/>
      <w:bookmarkStart w:id="291" w:name="Tc_rHPaPf8YqE2aPfl-85UE3Q_3_13"/>
      <w:bookmarkStart w:id="292" w:name="Tc_MicZvqF9ZUmyUyGvEgDCKw_3_10"/>
      <w:bookmarkStart w:id="293" w:name="Tc__OtO4oK18EKiMGeOE87mpQ_3_7"/>
      <w:bookmarkStart w:id="294" w:name="Tc_Shndwjn82k62XaOGfrI7Bw_3_4"/>
      <w:bookmarkStart w:id="295" w:name="Tc_4zonBalv1EuQoEjINTvW5Q_3_0"/>
      <w:bookmarkStart w:id="296" w:name="Tc_3UG_SIcW3kOqB4MoaRmq8A_2_16"/>
      <w:bookmarkStart w:id="297" w:name="Tc_nLLGNA8onEu6po5kHQMAGg_2_13"/>
      <w:bookmarkStart w:id="298" w:name="Tc_5fVU_RCzkU2oa_tE6FofHg_2_10"/>
      <w:bookmarkStart w:id="299" w:name="Tc_tpo7zaOnZE6a5rB6uOutQA_2_7"/>
      <w:bookmarkStart w:id="300" w:name="Tc_elRgHtnsVU6027rSwiy7yg_2_4"/>
      <w:bookmarkStart w:id="301" w:name="Tc_0qZfsvpWikOuVnP1xfpRoQ_2_2"/>
      <w:bookmarkStart w:id="302" w:name="Tc_aziOMTxbnkCWxr3OGa076Q_1_13"/>
      <w:bookmarkStart w:id="303" w:name="Tc_ZvYVGrrW9UOCt_dGr_bWWA_1_10"/>
      <w:bookmarkStart w:id="304" w:name="Tc_8zkwMC923UaUm66AbBZf2w_1_7"/>
      <w:bookmarkStart w:id="305" w:name="Tc_FNnw0Qa58Eua7s47OEtoPA_1_2"/>
      <w:bookmarkStart w:id="306" w:name="_87232b1a_1c67_4287_90b3_a0ec20c8873c"/>
      <w:bookmarkStart w:id="307" w:name="Tc_SxXVZ22eGEWXLzCoLH3ZDQ_11_16"/>
      <w:bookmarkStart w:id="308" w:name="Tc_2LuYU3dgUEaHrYUrnqSp7w_11_13"/>
      <w:bookmarkStart w:id="309" w:name="Tc_3q8-VrFIBU-xT27R569rkw_11_10"/>
      <w:bookmarkStart w:id="310" w:name="Tc_foPzMPYfcUiBKJJZYrZzsw_11_7"/>
      <w:bookmarkStart w:id="311" w:name="Tc_MgMFYryEVEK6ytW1-Tb2mw_11_4"/>
      <w:bookmarkStart w:id="312" w:name="Tc_0FHU5fmIuUuLIrjsTOlnPQ_11_0"/>
      <w:bookmarkStart w:id="313" w:name="Tc_tDVvrtMGeEG8v2afJvHTPQ_10_11"/>
      <w:bookmarkStart w:id="314" w:name="Tc_QYz5kTKjZki5UymdYMRPhA_10_8"/>
      <w:bookmarkStart w:id="315" w:name="Tc_VpmSazSDcU-FNpPKS3n2yg_10_5"/>
      <w:bookmarkStart w:id="316" w:name="Tc_xBoGEXlZukSc9YEV4OIORg_10_2"/>
      <w:bookmarkStart w:id="317" w:name="Tc_xuGxJ09vyUmRocMoeyYSbw_10_0"/>
      <w:bookmarkStart w:id="318" w:name="Tc_EJHCd49aMU2GV0GNUQ-qVQ_9_14"/>
      <w:bookmarkStart w:id="319" w:name="Tc_20NLA3G4dECtUe5gUlhqfA_9_11"/>
      <w:bookmarkStart w:id="320" w:name="Tc_iBVFd6UMf0-2Bv9wsInImA_9_5"/>
      <w:bookmarkStart w:id="321" w:name="Tc_mCp_xtrQgEuhnNW08GADuw_9_2"/>
      <w:bookmarkStart w:id="322" w:name="Tc_MO_mNV-8HUWcanSchh7qWQ_9_0"/>
      <w:bookmarkStart w:id="323" w:name="Tc_JI0Y9hxkUk-3brcvoEFVPw_8_14"/>
      <w:bookmarkStart w:id="324" w:name="Tc_fG5kBuVPskKr31IJBbQkAQ_8_8"/>
      <w:bookmarkStart w:id="325" w:name="Tc_U_Us3w_xCkq2-0KIwy8qxg_8_5"/>
      <w:bookmarkStart w:id="326" w:name="Tc_oaN_YZouvkmRRdkECOEFBw_8_2"/>
      <w:bookmarkStart w:id="327" w:name="Tc_fNjVHmjzC0GuuufKTWwZXQ_8_0"/>
      <w:bookmarkStart w:id="328" w:name="Tc_tR-xwDrYIEKLSGeXKyoMNw_7_16"/>
      <w:bookmarkStart w:id="329" w:name="Tc_Awj8H8fY8EGxOm3_fYgqkg_7_13"/>
      <w:bookmarkStart w:id="330" w:name="Tc_WLIU3x-q0EuRfQlFAgAuEg_7_10"/>
      <w:bookmarkStart w:id="331" w:name="Tc_1Q9r4vqWKUSZUAKMW4aMwg_7_7"/>
      <w:bookmarkStart w:id="332" w:name="Tc_BuhH8PrhjkuJ3_h0Fg4yZg_7_4"/>
      <w:bookmarkStart w:id="333" w:name="Tc_yMCgm2feXEavfvCwIzV0zA_7_0"/>
      <w:bookmarkStart w:id="334" w:name="Tc_Z_dJf2ZiLUuhFCRdoh1Ejw_6_11"/>
      <w:bookmarkStart w:id="335" w:name="Tc_5t13AU_ge0myKsaJ1yYniw_6_8"/>
      <w:bookmarkStart w:id="336" w:name="Tc_SPnjA7wnv0-FvoRgPqTahw_6_5"/>
      <w:bookmarkStart w:id="337" w:name="Tc_LPjfxq72T02FkINNZMWfNw_6_2"/>
      <w:bookmarkStart w:id="338" w:name="Tc_QKaIR-6MOkuILPHqCfb0FQ_6_0"/>
      <w:bookmarkStart w:id="339" w:name="Tc_I1hYi6EMX0OfPGnmWCWtZw_5_14"/>
      <w:bookmarkStart w:id="340" w:name="Tc_e-LXpsqQqk6vxiSa1Tie3w_5_11"/>
      <w:bookmarkStart w:id="341" w:name="Tc_N-WSvtoWlUKZNoKgCvYh6Q_5_5"/>
      <w:bookmarkStart w:id="342" w:name="Tc_k_5V187Kg0yh8ccuJ19GMg_5_2"/>
      <w:bookmarkStart w:id="343" w:name="Tc_v0vKu-nqfEuaC2Ew9CPVKA_5_0"/>
      <w:bookmarkStart w:id="344" w:name="Tc_tJKDPfJLN02YmHQfyx02PQ_4_14"/>
      <w:bookmarkStart w:id="345" w:name="Tc_yIRaDQLOFUaipjd3D1-BFg_4_8"/>
      <w:bookmarkStart w:id="346" w:name="Tc_EM_659H50UmDkvxqJY_KqQ_4_0"/>
      <w:bookmarkStart w:id="347" w:name="Tc_5gBA1ipzU0CMhCFcUuWdSg_3_16"/>
      <w:bookmarkStart w:id="348" w:name="Tc_rHPaPf8YqE2aPfl-85UE3Q_3_13"/>
      <w:bookmarkStart w:id="349" w:name="Tc_MicZvqF9ZUmyUyGvEgDCKw_3_10"/>
      <w:bookmarkStart w:id="350" w:name="Tc__OtO4oK18EKiMGeOE87mpQ_3_7"/>
      <w:bookmarkStart w:id="351" w:name="Tc_Shndwjn82k62XaOGfrI7Bw_3_4"/>
      <w:bookmarkStart w:id="352" w:name="Tc_4zonBalv1EuQoEjINTvW5Q_3_0"/>
      <w:bookmarkStart w:id="353" w:name="Tc_3UG_SIcW3kOqB4MoaRmq8A_2_16"/>
      <w:bookmarkStart w:id="354" w:name="Tc_nLLGNA8onEu6po5kHQMAGg_2_13"/>
      <w:bookmarkStart w:id="355" w:name="Tc_5fVU_RCzkU2oa_tE6FofHg_2_10"/>
      <w:bookmarkStart w:id="356" w:name="Tc_tpo7zaOnZE6a5rB6uOutQA_2_7"/>
      <w:bookmarkStart w:id="357" w:name="Tc_elRgHtnsVU6027rSwiy7yg_2_4"/>
      <w:bookmarkStart w:id="358" w:name="Tc_0qZfsvpWikOuVnP1xfpRoQ_2_2"/>
      <w:bookmarkStart w:id="359" w:name="Tc_aziOMTxbnkCWxr3OGa076Q_1_13"/>
      <w:bookmarkStart w:id="360" w:name="Tc_ZvYVGrrW9UOCt_dGr_bWWA_1_10"/>
      <w:bookmarkStart w:id="361" w:name="Tc_8zkwMC923UaUm66AbBZf2w_1_7"/>
      <w:bookmarkStart w:id="362" w:name="Tc_FNnw0Qa58Eua7s47OEtoPA_1_2"/>
      <w:bookmarkStart w:id="363" w:name="_87232b1a_1c67_4287_90b3_a0ec20c8873c"/>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tbl>
      <w:tblPr>
        <w:tblW w:w="10205" w:type="dxa"/>
        <w:jc w:val="left"/>
        <w:tblInd w:w="0" w:type="dxa"/>
        <w:tblLayout w:type="fixed"/>
        <w:tblCellMar>
          <w:top w:w="0" w:type="dxa"/>
          <w:left w:w="0" w:type="dxa"/>
          <w:bottom w:w="0" w:type="dxa"/>
          <w:right w:w="0" w:type="dxa"/>
        </w:tblCellMar>
      </w:tblPr>
      <w:tblGrid>
        <w:gridCol w:w="2152"/>
        <w:gridCol w:w="346"/>
        <w:gridCol w:w="1036"/>
        <w:gridCol w:w="346"/>
        <w:gridCol w:w="261"/>
        <w:gridCol w:w="430"/>
        <w:gridCol w:w="346"/>
        <w:gridCol w:w="211"/>
        <w:gridCol w:w="778"/>
        <w:gridCol w:w="346"/>
        <w:gridCol w:w="249"/>
        <w:gridCol w:w="922"/>
        <w:gridCol w:w="346"/>
        <w:gridCol w:w="211"/>
        <w:gridCol w:w="781"/>
        <w:gridCol w:w="346"/>
        <w:gridCol w:w="211"/>
        <w:gridCol w:w="887"/>
      </w:tblGrid>
      <w:tr>
        <w:trPr/>
        <w:tc>
          <w:tcPr>
            <w:tcW w:w="2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66520" cy="175260"/>
                      <wp:effectExtent l="0" t="0" r="0" b="0"/>
                      <wp:wrapNone/>
                      <wp:docPr id="25" name="Frame25"/>
                      <a:graphic xmlns:a="http://schemas.openxmlformats.org/drawingml/2006/main">
                        <a:graphicData uri="http://schemas.microsoft.com/office/word/2010/wordprocessingShape">
                          <wps:wsp>
                            <wps:cNvSpPr txBox="1"/>
                            <wps:spPr>
                              <a:xfrm>
                                <a:off x="0" y="0"/>
                                <a:ext cx="136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7" name="Frame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5735" cy="175260"/>
                      <wp:effectExtent l="0" t="0" r="0" b="0"/>
                      <wp:wrapNone/>
                      <wp:docPr id="29" name="Frame2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73050" cy="175260"/>
                      <wp:effectExtent l="0" t="0" r="0" b="0"/>
                      <wp:wrapNone/>
                      <wp:docPr id="30" name="Frame30"/>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94030" cy="175260"/>
                      <wp:effectExtent l="0" t="0" r="0" b="0"/>
                      <wp:wrapNone/>
                      <wp:docPr id="33" name="Frame3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58115" cy="175260"/>
                      <wp:effectExtent l="0" t="0" r="0" b="0"/>
                      <wp:wrapNone/>
                      <wp:docPr id="35" name="Frame3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85470" cy="175260"/>
                      <wp:effectExtent l="0" t="0" r="0" b="0"/>
                      <wp:wrapNone/>
                      <wp:docPr id="36" name="Frame36"/>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3245" cy="175260"/>
                      <wp:effectExtent l="0" t="0" r="0" b="0"/>
                      <wp:wrapNone/>
                      <wp:docPr id="42" name="Frame4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98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(1)</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24,865,906</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493,956</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10,276</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24,866,342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503,728</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(5,817)</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14,695</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24,866,342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346,371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512,780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4" w:name="Tc_AncC88l6ME-4Le2p23NFuQ_11_16"/>
      <w:bookmarkStart w:id="365" w:name="Tc_jHrQ2AQYyk-7Jdy2Fu2tEA_11_13"/>
      <w:bookmarkStart w:id="366" w:name="Tc_iNnGCIMNW0SKw8Dj-4kY2A_11_10"/>
      <w:bookmarkStart w:id="367" w:name="Tc_dG0xhGcIpkW6MOvAHe18rQ_11_7"/>
      <w:bookmarkStart w:id="368" w:name="Tc_U4O0Pvrq5UeqIu_tloRd0A_11_4"/>
      <w:bookmarkStart w:id="369" w:name="Tc_awcKYIKiMkexvh8KQO3BVw_11_0"/>
      <w:bookmarkStart w:id="370" w:name="Tc_nnNSRfXMgkS8TH-QrYbFTg_10_11"/>
      <w:bookmarkStart w:id="371" w:name="Tc_JwERYuVwM0eyaJyooToXEw_10_8"/>
      <w:bookmarkStart w:id="372" w:name="Tc_LyCIUSaPkUWZVJXY1YQzCg_10_5"/>
      <w:bookmarkStart w:id="373" w:name="Tc_RoSkDBmmCk6zwReaeWpKqw_10_2"/>
      <w:bookmarkStart w:id="374" w:name="Tc_O3E6G0MMk0S6gV26uEdVwA_10_0"/>
      <w:bookmarkStart w:id="375" w:name="Tc_rkZmDiEZWkGrxAy81eoZdg_9_14"/>
      <w:bookmarkStart w:id="376" w:name="Tc__oNBGG9m7EWFOxpqCinTMA_9_11"/>
      <w:bookmarkStart w:id="377" w:name="Tc_uicIzJEeAEy5zu-sPJtJTA_9_5"/>
      <w:bookmarkStart w:id="378" w:name="Tc_BMugiA-2i0uR80hPAUXO4w_9_2"/>
      <w:bookmarkStart w:id="379" w:name="Tc_FIIPRxM200GZNbiZcryFdQ_9_0"/>
      <w:bookmarkStart w:id="380" w:name="Tc_IRATspvts0eKkNjHh7O5Qg_8_14"/>
      <w:bookmarkStart w:id="381" w:name="Tc_XrAOJ4ef5U6R-dM6mffRTw_8_8"/>
      <w:bookmarkStart w:id="382" w:name="Tc_PZh9ZoHAhEa-DSFVqLktSA_8_5"/>
      <w:bookmarkStart w:id="383" w:name="Tc_KiMCttD0UUCUjCI3mtMuLA_8_2"/>
      <w:bookmarkStart w:id="384" w:name="Tc_-9qtxH0i9kmI0Dzr8vyWxQ_8_0"/>
      <w:bookmarkStart w:id="385" w:name="Tc_btYRP-mzEEGDYRDGDz79vQ_7_16"/>
      <w:bookmarkStart w:id="386" w:name="Tc_YLSpl-o4b0eCsTBnCkDRjg_7_13"/>
      <w:bookmarkStart w:id="387" w:name="Tc_tmGN2Ijg_kOzf8KLLud0cg_7_10"/>
      <w:bookmarkStart w:id="388" w:name="Tc_z4RQC7G3vE22iLKjloNjlg_7_7"/>
      <w:bookmarkStart w:id="389" w:name="Tc_voRwfsyHrUSc2cOXrsoZFw_7_4"/>
      <w:bookmarkStart w:id="390" w:name="Tc_QPCS_sYUckmsza5jm2-mOg_7_0"/>
      <w:bookmarkStart w:id="391" w:name="Tc_GYBNerCaNkO5y2RDDBc_Xg_6_11"/>
      <w:bookmarkStart w:id="392" w:name="Tc_5y0L36KzI0K22Yqiriec7w_6_8"/>
      <w:bookmarkStart w:id="393" w:name="Tc_H8DpxTLRbkW1sOIRMwVJRw_6_5"/>
      <w:bookmarkStart w:id="394" w:name="Tc_EiGWzaE3JUqdDh_Th3DSIw_6_2"/>
      <w:bookmarkStart w:id="395" w:name="Tc_6BVVA6FgfE6tDb43IwFo2g_6_0"/>
      <w:bookmarkStart w:id="396" w:name="Tc_4PbIdDYGbkiQJfR9kFgiVg_5_14"/>
      <w:bookmarkStart w:id="397" w:name="Tc_Ts2qBnpCjESy-NaorQvOPQ_5_11"/>
      <w:bookmarkStart w:id="398" w:name="Tc_wXLpnKZx6UulQhiYOHLdCg_5_5"/>
      <w:bookmarkStart w:id="399" w:name="Tc_pdtWaRziNE2LhK8ay6YXJw_5_0"/>
      <w:bookmarkStart w:id="400" w:name="Tc_Zw2YIgtHTkiIb27kGgYX9g_4_14"/>
      <w:bookmarkStart w:id="401" w:name="Tc_HUJdiDTvvUK5Fe0ZUhYrfQ_4_8"/>
      <w:bookmarkStart w:id="402" w:name="Tc_2bO3nTrB3EeET8MN29FeDg_4_5"/>
      <w:bookmarkStart w:id="403" w:name="Tc_nUFGCotXSUKxuvzauywKXg_4_2"/>
      <w:bookmarkStart w:id="404" w:name="Tc_zkvOkcvfGEqidy5S37DY5A_4_0"/>
      <w:bookmarkStart w:id="405" w:name="Tc_pKwiESq9fEO35OsrZHjlSQ_3_16"/>
      <w:bookmarkStart w:id="406" w:name="Tc_cFiIZ4XQL0G8tq7V8U4bkw_3_13"/>
      <w:bookmarkStart w:id="407" w:name="Tc_wbzVU6Mi40G3krDYxzSgyQ_3_10"/>
      <w:bookmarkStart w:id="408" w:name="Tc_DcDmc6_QSk6u0edgLd1vaA_3_7"/>
      <w:bookmarkStart w:id="409" w:name="Tc_yzsZseL_20KFlS435Z1glQ_3_4"/>
      <w:bookmarkStart w:id="410" w:name="Tc_E5BYGau2U0KazlwlH5tXow_3_0"/>
      <w:bookmarkStart w:id="411" w:name="Tc_G7gVnVKiKku2shMVI0s8Qg_2_16"/>
      <w:bookmarkStart w:id="412" w:name="Tc_eRpvstRP5E2T4IT_vjfM_A_2_13"/>
      <w:bookmarkStart w:id="413" w:name="Tc_dAVQec5sgkumxBYKUIczbA_2_10"/>
      <w:bookmarkStart w:id="414" w:name="Tc__l3UEeUqJEGfHW4FLs6QOg_2_7"/>
      <w:bookmarkStart w:id="415" w:name="Tc_IwxFJjQcOESLC-Qu9ctMBA_2_4"/>
      <w:bookmarkStart w:id="416" w:name="Tc_Gzwu4SpOaUO6vpWSjkGlgA_2_2"/>
      <w:bookmarkStart w:id="417" w:name="Tc_n3LHCWC1zUOTJBTWB6Y8OQ_1_13"/>
      <w:bookmarkStart w:id="418" w:name="Tc_UsQLcMG-Jk2cKJ0peAqP2w_1_10"/>
      <w:bookmarkStart w:id="419" w:name="Tc_5pirBuQZT0ehAhLXXvfPYw_1_7"/>
      <w:bookmarkStart w:id="420" w:name="Tc_qpQgUCS6q0ClM4QIfbgyZg_1_2"/>
      <w:bookmarkStart w:id="421" w:name="_44db5902_bfff_45be_9bb6_8833ac7df111"/>
      <w:bookmarkStart w:id="422" w:name="Tc_AncC88l6ME-4Le2p23NFuQ_11_16"/>
      <w:bookmarkStart w:id="423" w:name="Tc_jHrQ2AQYyk-7Jdy2Fu2tEA_11_13"/>
      <w:bookmarkStart w:id="424" w:name="Tc_iNnGCIMNW0SKw8Dj-4kY2A_11_10"/>
      <w:bookmarkStart w:id="425" w:name="Tc_dG0xhGcIpkW6MOvAHe18rQ_11_7"/>
      <w:bookmarkStart w:id="426" w:name="Tc_U4O0Pvrq5UeqIu_tloRd0A_11_4"/>
      <w:bookmarkStart w:id="427" w:name="Tc_awcKYIKiMkexvh8KQO3BVw_11_0"/>
      <w:bookmarkStart w:id="428" w:name="Tc_nnNSRfXMgkS8TH-QrYbFTg_10_11"/>
      <w:bookmarkStart w:id="429" w:name="Tc_JwERYuVwM0eyaJyooToXEw_10_8"/>
      <w:bookmarkStart w:id="430" w:name="Tc_LyCIUSaPkUWZVJXY1YQzCg_10_5"/>
      <w:bookmarkStart w:id="431" w:name="Tc_RoSkDBmmCk6zwReaeWpKqw_10_2"/>
      <w:bookmarkStart w:id="432" w:name="Tc_O3E6G0MMk0S6gV26uEdVwA_10_0"/>
      <w:bookmarkStart w:id="433" w:name="Tc_rkZmDiEZWkGrxAy81eoZdg_9_14"/>
      <w:bookmarkStart w:id="434" w:name="Tc__oNBGG9m7EWFOxpqCinTMA_9_11"/>
      <w:bookmarkStart w:id="435" w:name="Tc_uicIzJEeAEy5zu-sPJtJTA_9_5"/>
      <w:bookmarkStart w:id="436" w:name="Tc_BMugiA-2i0uR80hPAUXO4w_9_2"/>
      <w:bookmarkStart w:id="437" w:name="Tc_FIIPRxM200GZNbiZcryFdQ_9_0"/>
      <w:bookmarkStart w:id="438" w:name="Tc_IRATspvts0eKkNjHh7O5Qg_8_14"/>
      <w:bookmarkStart w:id="439" w:name="Tc_XrAOJ4ef5U6R-dM6mffRTw_8_8"/>
      <w:bookmarkStart w:id="440" w:name="Tc_PZh9ZoHAhEa-DSFVqLktSA_8_5"/>
      <w:bookmarkStart w:id="441" w:name="Tc_KiMCttD0UUCUjCI3mtMuLA_8_2"/>
      <w:bookmarkStart w:id="442" w:name="Tc_-9qtxH0i9kmI0Dzr8vyWxQ_8_0"/>
      <w:bookmarkStart w:id="443" w:name="Tc_btYRP-mzEEGDYRDGDz79vQ_7_16"/>
      <w:bookmarkStart w:id="444" w:name="Tc_YLSpl-o4b0eCsTBnCkDRjg_7_13"/>
      <w:bookmarkStart w:id="445" w:name="Tc_tmGN2Ijg_kOzf8KLLud0cg_7_10"/>
      <w:bookmarkStart w:id="446" w:name="Tc_z4RQC7G3vE22iLKjloNjlg_7_7"/>
      <w:bookmarkStart w:id="447" w:name="Tc_voRwfsyHrUSc2cOXrsoZFw_7_4"/>
      <w:bookmarkStart w:id="448" w:name="Tc_QPCS_sYUckmsza5jm2-mOg_7_0"/>
      <w:bookmarkStart w:id="449" w:name="Tc_GYBNerCaNkO5y2RDDBc_Xg_6_11"/>
      <w:bookmarkStart w:id="450" w:name="Tc_5y0L36KzI0K22Yqiriec7w_6_8"/>
      <w:bookmarkStart w:id="451" w:name="Tc_H8DpxTLRbkW1sOIRMwVJRw_6_5"/>
      <w:bookmarkStart w:id="452" w:name="Tc_EiGWzaE3JUqdDh_Th3DSIw_6_2"/>
      <w:bookmarkStart w:id="453" w:name="Tc_6BVVA6FgfE6tDb43IwFo2g_6_0"/>
      <w:bookmarkStart w:id="454" w:name="Tc_4PbIdDYGbkiQJfR9kFgiVg_5_14"/>
      <w:bookmarkStart w:id="455" w:name="Tc_Ts2qBnpCjESy-NaorQvOPQ_5_11"/>
      <w:bookmarkStart w:id="456" w:name="Tc_wXLpnKZx6UulQhiYOHLdCg_5_5"/>
      <w:bookmarkStart w:id="457" w:name="Tc_pdtWaRziNE2LhK8ay6YXJw_5_0"/>
      <w:bookmarkStart w:id="458" w:name="Tc_Zw2YIgtHTkiIb27kGgYX9g_4_14"/>
      <w:bookmarkStart w:id="459" w:name="Tc_HUJdiDTvvUK5Fe0ZUhYrfQ_4_8"/>
      <w:bookmarkStart w:id="460" w:name="Tc_2bO3nTrB3EeET8MN29FeDg_4_5"/>
      <w:bookmarkStart w:id="461" w:name="Tc_nUFGCotXSUKxuvzauywKXg_4_2"/>
      <w:bookmarkStart w:id="462" w:name="Tc_zkvOkcvfGEqidy5S37DY5A_4_0"/>
      <w:bookmarkStart w:id="463" w:name="Tc_pKwiESq9fEO35OsrZHjlSQ_3_16"/>
      <w:bookmarkStart w:id="464" w:name="Tc_cFiIZ4XQL0G8tq7V8U4bkw_3_13"/>
      <w:bookmarkStart w:id="465" w:name="Tc_wbzVU6Mi40G3krDYxzSgyQ_3_10"/>
      <w:bookmarkStart w:id="466" w:name="Tc_DcDmc6_QSk6u0edgLd1vaA_3_7"/>
      <w:bookmarkStart w:id="467" w:name="Tc_yzsZseL_20KFlS435Z1glQ_3_4"/>
      <w:bookmarkStart w:id="468" w:name="Tc_E5BYGau2U0KazlwlH5tXow_3_0"/>
      <w:bookmarkStart w:id="469" w:name="Tc_G7gVnVKiKku2shMVI0s8Qg_2_16"/>
      <w:bookmarkStart w:id="470" w:name="Tc_eRpvstRP5E2T4IT_vjfM_A_2_13"/>
      <w:bookmarkStart w:id="471" w:name="Tc_dAVQec5sgkumxBYKUIczbA_2_10"/>
      <w:bookmarkStart w:id="472" w:name="Tc__l3UEeUqJEGfHW4FLs6QOg_2_7"/>
      <w:bookmarkStart w:id="473" w:name="Tc_IwxFJjQcOESLC-Qu9ctMBA_2_4"/>
      <w:bookmarkStart w:id="474" w:name="Tc_Gzwu4SpOaUO6vpWSjkGlgA_2_2"/>
      <w:bookmarkStart w:id="475" w:name="Tc_n3LHCWC1zUOTJBTWB6Y8OQ_1_13"/>
      <w:bookmarkStart w:id="476" w:name="Tc_UsQLcMG-Jk2cKJ0peAqP2w_1_10"/>
      <w:bookmarkStart w:id="477" w:name="Tc_5pirBuQZT0ehAhLXXvfPYw_1_7"/>
      <w:bookmarkStart w:id="478" w:name="Tc_qpQgUCS6q0ClM4QIfbgyZg_1_2"/>
      <w:bookmarkStart w:id="479" w:name="_44db5902_bfff_45be_9bb6_8833ac7df11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tbl>
      <w:tblPr>
        <w:tblW w:w="10205" w:type="dxa"/>
        <w:jc w:val="left"/>
        <w:tblInd w:w="0" w:type="dxa"/>
        <w:tblLayout w:type="fixed"/>
        <w:tblCellMar>
          <w:top w:w="0" w:type="dxa"/>
          <w:left w:w="0" w:type="dxa"/>
          <w:bottom w:w="0" w:type="dxa"/>
          <w:right w:w="0" w:type="dxa"/>
        </w:tblCellMar>
      </w:tblPr>
      <w:tblGrid>
        <w:gridCol w:w="2152"/>
        <w:gridCol w:w="346"/>
        <w:gridCol w:w="1036"/>
        <w:gridCol w:w="346"/>
        <w:gridCol w:w="261"/>
        <w:gridCol w:w="430"/>
        <w:gridCol w:w="346"/>
        <w:gridCol w:w="211"/>
        <w:gridCol w:w="778"/>
        <w:gridCol w:w="346"/>
        <w:gridCol w:w="249"/>
        <w:gridCol w:w="922"/>
        <w:gridCol w:w="346"/>
        <w:gridCol w:w="211"/>
        <w:gridCol w:w="781"/>
        <w:gridCol w:w="346"/>
        <w:gridCol w:w="211"/>
        <w:gridCol w:w="887"/>
      </w:tblGrid>
      <w:tr>
        <w:trPr/>
        <w:tc>
          <w:tcPr>
            <w:tcW w:w="2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66520" cy="175260"/>
                      <wp:effectExtent l="0" t="0" r="0" b="0"/>
                      <wp:wrapNone/>
                      <wp:docPr id="43" name="Frame43"/>
                      <a:graphic xmlns:a="http://schemas.openxmlformats.org/drawingml/2006/main">
                        <a:graphicData uri="http://schemas.microsoft.com/office/word/2010/wordprocessingShape">
                          <wps:wsp>
                            <wps:cNvSpPr txBox="1"/>
                            <wps:spPr>
                              <a:xfrm>
                                <a:off x="0" y="0"/>
                                <a:ext cx="136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57860" cy="175260"/>
                      <wp:effectExtent l="0" t="0" r="0" b="0"/>
                      <wp:wrapNone/>
                      <wp:docPr id="45" name="Frame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5735" cy="175260"/>
                      <wp:effectExtent l="0" t="0" r="0" b="0"/>
                      <wp:wrapNone/>
                      <wp:docPr id="47" name="Frame4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73050" cy="175260"/>
                      <wp:effectExtent l="0" t="0" r="0" b="0"/>
                      <wp:wrapNone/>
                      <wp:docPr id="48" name="Frame4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4030" cy="175260"/>
                      <wp:effectExtent l="0" t="0" r="0" b="0"/>
                      <wp:wrapNone/>
                      <wp:docPr id="51" name="Frame5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8115" cy="175260"/>
                      <wp:effectExtent l="0" t="0" r="0" b="0"/>
                      <wp:wrapNone/>
                      <wp:docPr id="53" name="Frame5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85470" cy="175260"/>
                      <wp:effectExtent l="0" t="0" r="0" b="0"/>
                      <wp:wrapNone/>
                      <wp:docPr id="54" name="Frame54"/>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63245" cy="175260"/>
                      <wp:effectExtent l="0" t="0" r="0" b="0"/>
                      <wp:wrapNone/>
                      <wp:docPr id="60" name="Frame6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8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(1)</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23,812,341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528,614</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23,781,601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538,993</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2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23,481</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23,781,601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562,242</w:t>
            </w:r>
          </w:p>
        </w:tc>
      </w:tr>
    </w:tbl>
    <w:p>
      <w:pPr>
        <w:pStyle w:val="TextBody"/>
        <w:bidi w:val="0"/>
        <w:spacing w:before="0" w:after="0"/>
        <w:ind w:left="0" w:right="0" w:hanging="0"/>
        <w:jc w:val="left"/>
        <w:rPr/>
      </w:pPr>
      <w:r>
        <w:rPr/>
        <w:t>​</w:t>
      </w:r>
    </w:p>
    <w:tbl>
      <w:tblPr>
        <w:tblW w:w="3201" w:type="dxa"/>
        <w:jc w:val="left"/>
        <w:tblInd w:w="0" w:type="dxa"/>
        <w:tblLayout w:type="fixed"/>
        <w:tblCellMar>
          <w:top w:w="28" w:type="dxa"/>
          <w:left w:w="28" w:type="dxa"/>
          <w:bottom w:w="28" w:type="dxa"/>
          <w:right w:w="28" w:type="dxa"/>
        </w:tblCellMar>
      </w:tblPr>
      <w:tblGrid>
        <w:gridCol w:w="124"/>
        <w:gridCol w:w="331"/>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are net of treasury shares.</w:t>
            </w:r>
          </w:p>
        </w:tc>
      </w:tr>
    </w:tbl>
    <w:p>
      <w:pPr>
        <w:pStyle w:val="TextBody"/>
        <w:bidi w:val="0"/>
        <w:spacing w:before="0" w:after="200"/>
        <w:ind w:left="0" w:right="0" w:firstLine="720"/>
        <w:jc w:val="left"/>
        <w:rPr/>
      </w:pPr>
      <w:r>
        <w:rPr/>
        <w:t>​</w:t>
      </w:r>
    </w:p>
    <w:p>
      <w:pPr>
        <w:pStyle w:val="TextBody"/>
        <w:bidi w:val="0"/>
        <w:spacing w:lineRule="atLeast" w:line="200" w:before="0" w:after="80"/>
        <w:ind w:left="0" w:right="0" w:hanging="0"/>
        <w:jc w:val="center"/>
        <w:rPr>
          <w:rFonts w:ascii="Times New Roman;Times;serif" w:hAnsi="Times New Roman;Times;serif"/>
          <w:b/>
          <w:sz w:val="20"/>
        </w:rPr>
      </w:pPr>
      <w:r>
        <w:rPr>
          <w:rFonts w:ascii="Times New Roman;Times;serif" w:hAnsi="Times New Roman;Times;serif"/>
          <w:b w:val="false"/>
          <w:sz w:val="20"/>
        </w:rPr>
        <w:t>See accompanying</w:t>
      </w:r>
      <w:r>
        <w:rPr>
          <w:rFonts w:ascii="Times New Roman;Times;serif" w:hAnsi="Times New Roman;Times;serif"/>
          <w:b/>
          <w:sz w:val="20"/>
        </w:rPr>
        <w:t xml:space="preserve"> </w:t>
      </w:r>
      <w:r>
        <w:rPr>
          <w:rFonts w:ascii="Times New Roman;Times;serif" w:hAnsi="Times New Roman;Times;serif"/>
          <w:b w:val="false"/>
          <w:sz w:val="20"/>
        </w:rPr>
        <w:t>notes to unaudited interim financial statements.</w:t>
      </w:r>
    </w:p>
    <w:p>
      <w:pPr>
        <w:pStyle w:val="TextBody"/>
        <w:bidi w:val="0"/>
        <w:spacing w:before="0" w:after="0"/>
        <w:ind w:left="0" w:right="0" w:hanging="0"/>
        <w:jc w:val="center"/>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18"/>
        </w:rPr>
      </w:pPr>
      <w:bookmarkStart w:id="480" w:name="_ca806524_7b5b_4bb9_8342_a1ae30f752b8"/>
      <w:bookmarkEnd w:id="480"/>
      <w:r>
        <w:rPr>
          <w:rFonts w:ascii="Times New Roman;Times;serif" w:hAnsi="Times New Roman;Times;serif"/>
          <w:b/>
          <w:sz w:val="18"/>
        </w:rPr>
        <w:t>LEGACY HOUSING CORPORATION</w:t>
      </w:r>
    </w:p>
    <w:p>
      <w:pPr>
        <w:pStyle w:val="TextBody"/>
        <w:bidi w:val="0"/>
        <w:spacing w:lineRule="atLeast" w:line="200" w:before="0" w:after="0"/>
        <w:ind w:left="0" w:right="0" w:hanging="0"/>
        <w:jc w:val="center"/>
        <w:rPr>
          <w:rFonts w:ascii="Times New Roman;Times;serif" w:hAnsi="Times New Roman;Times;serif"/>
          <w:b/>
          <w:sz w:val="18"/>
        </w:rPr>
      </w:pPr>
      <w:r>
        <w:rPr>
          <w:rFonts w:ascii="Times New Roman;Times;serif" w:hAnsi="Times New Roman;Times;serif"/>
          <w:b/>
          <w:sz w:val="18"/>
        </w:rPr>
        <w:t>STATEMENTS OF CASH FLOWS</w:t>
      </w:r>
    </w:p>
    <w:p>
      <w:pPr>
        <w:pStyle w:val="TextBody"/>
        <w:bidi w:val="0"/>
        <w:spacing w:lineRule="atLeast" w:line="200" w:before="0" w:after="200"/>
        <w:ind w:left="0" w:right="0" w:hanging="0"/>
        <w:jc w:val="center"/>
        <w:rPr>
          <w:rFonts w:ascii="Times New Roman;Times;serif" w:hAnsi="Times New Roman;Times;serif"/>
          <w:b/>
          <w:sz w:val="18"/>
        </w:rPr>
      </w:pPr>
      <w:r>
        <w:rPr>
          <w:rFonts w:ascii="Times New Roman;Times;serif" w:hAnsi="Times New Roman;Times;serif"/>
          <w:b/>
          <w:sz w:val="18"/>
        </w:rPr>
        <w:t xml:space="preserve">(unaudited, in thousands) </w:t>
      </w:r>
    </w:p>
    <w:p>
      <w:pPr>
        <w:pStyle w:val="Normal"/>
        <w:bidi w:val="0"/>
        <w:spacing w:before="0" w:after="0"/>
        <w:jc w:val="left"/>
        <w:rPr>
          <w:sz w:val="4"/>
          <w:szCs w:val="4"/>
        </w:rPr>
      </w:pPr>
      <w:r>
        <w:rPr>
          <w:sz w:val="4"/>
          <w:szCs w:val="4"/>
        </w:rPr>
      </w:r>
      <w:bookmarkStart w:id="481" w:name="Tc_17a3F1_Hk0KthgFBtcTfuw_52_5"/>
      <w:bookmarkStart w:id="482" w:name="Tc_QtQ85pMoHEe9FPmPh9Qj1g_52_2"/>
      <w:bookmarkStart w:id="483" w:name="Tc_bk8F_xk9zkabMeyaMttb5g_52_0"/>
      <w:bookmarkStart w:id="484" w:name="Tc_Ll-noJhAcEmREYe_2D-lSQ_51_6"/>
      <w:bookmarkStart w:id="485" w:name="Tc_Nb4h2YXmRU-Cx6f-J3I5Tg_51_5"/>
      <w:bookmarkStart w:id="486" w:name="Tc_at6ggEJGZEmwMxnNAIraAw_51_2"/>
      <w:bookmarkStart w:id="487" w:name="Tc_mqtCLz-ho0GVKg3IpqFKFQ_51_0"/>
      <w:bookmarkStart w:id="488" w:name="Tc_y3bBGwDR606LDCFV_Tj3RQ_50_0"/>
      <w:bookmarkStart w:id="489" w:name="Tc_IMMBbmhbbEuiutqJ-7PGbw_49_5"/>
      <w:bookmarkStart w:id="490" w:name="Tc_0Xf4UIZn6kSsC0u9n3lGiw_49_2"/>
      <w:bookmarkStart w:id="491" w:name="Tc_ZjFbe0QNVkW2Kt8gXBd-6w_49_0"/>
      <w:bookmarkStart w:id="492" w:name="Tc_bbFFTr5J4k2XwQwwQgE0cg_48_0"/>
      <w:bookmarkStart w:id="493" w:name="Tc_eVVwWiwgDESYRSWnHknSmA_47_0"/>
      <w:bookmarkStart w:id="494" w:name="Tc_BLngNmXvik-C9v62MBBeIg_46_0"/>
      <w:bookmarkStart w:id="495" w:name="Tc_Cr_1euoJVkGVJ7bLx1g20g_45_0"/>
      <w:bookmarkStart w:id="496" w:name="Tc_ITktzNmQkUyvN0O1bd7qqQ_44_0"/>
      <w:bookmarkStart w:id="497" w:name="Tc_9vGVPpfVNEiOqFBdMogA1w_43_0"/>
      <w:bookmarkStart w:id="498" w:name="Tc_Q29pGdmw5EGzTZgOS-5HSg_42_0"/>
      <w:bookmarkStart w:id="499" w:name="Tc_jIz2T0Ry50qnaCVVm6fg0Q_41_0"/>
      <w:bookmarkStart w:id="500" w:name="Tc_iMNLzbhH90-bNJZ7twOHaA_40_0"/>
      <w:bookmarkStart w:id="501" w:name="Tc_LyMvnu_t3kGaDFU3m2q2mg_39_3"/>
      <w:bookmarkStart w:id="502" w:name="Tc_xRLlwoclz066mh9bkxvPVA_39_0"/>
      <w:bookmarkStart w:id="503" w:name="Tc_bmkEC-kW5EGE9gT-mXFXiw_38_0"/>
      <w:bookmarkStart w:id="504" w:name="Tc_AOocw7v0SUCU0ErjC5Q--Q_37_0"/>
      <w:bookmarkStart w:id="505" w:name="Tc_-IPjDMPNz0ubXn4fB3CCYw_36_0"/>
      <w:bookmarkStart w:id="506" w:name="Tc_Kmn2gARc7UiK9ORO_j6llQ_35_0"/>
      <w:bookmarkStart w:id="507" w:name="Tc_f5wsTqw5VkKVO4j_bH8-0Q_34_0"/>
      <w:bookmarkStart w:id="508" w:name="Tc_NReqNPtuTUC4PE_e8derVQ_33_0"/>
      <w:bookmarkStart w:id="509" w:name="Tc_sR_UepBHRE-rAueGeErhtA_32_0"/>
      <w:bookmarkStart w:id="510" w:name="Tc_7twP8tOQCkySPliZOQwfaA_31_0"/>
      <w:bookmarkStart w:id="511" w:name="Tc_l96e5Qm2ckeul25DfZhxKw_30_0"/>
      <w:bookmarkStart w:id="512" w:name="Tc_UB3otUYjcUagmbKJ5qVhlg_29_6"/>
      <w:bookmarkStart w:id="513" w:name="Tc_q3GwScPQjkWiy6CJACGDug_29_0"/>
      <w:bookmarkStart w:id="514" w:name="Tc_N3J0sYCXrE6pcOzcYDOzxQ_28_0"/>
      <w:bookmarkStart w:id="515" w:name="Tc_9P8gS7VNzEu-TNa_wzohnw_27_0"/>
      <w:bookmarkStart w:id="516" w:name="Tc_0BP_0e_EmUeF_wYB0hqpPw_26_0"/>
      <w:bookmarkStart w:id="517" w:name="Tc_T_rws2eYsEaZrZFo_8GMNA_25_0"/>
      <w:bookmarkStart w:id="518" w:name="Tc_vgqeLoZwGUK_KARHrCQt9w_24_0"/>
      <w:bookmarkStart w:id="519" w:name="Tc_wZIwFrZZuUOcFWM-91FG6w_23_0"/>
      <w:bookmarkStart w:id="520" w:name="Tc_kWycxXrcI0an3zxjARIzVQ_22_0"/>
      <w:bookmarkStart w:id="521" w:name="Tc_nHH-eYkd30iNxcihcuaK8w_21_0"/>
      <w:bookmarkStart w:id="522" w:name="Tc_6CpAszkTKU-Q3T96U4RkJA_20_6"/>
      <w:bookmarkStart w:id="523" w:name="Tc_sS2vhTJab0yQq6YS4EmgAg_20_0"/>
      <w:bookmarkStart w:id="524" w:name="Tc_5J4VGdHbDUKivITgBDiORQ_19_0"/>
      <w:bookmarkStart w:id="525" w:name="Tc_0SGzqRwPS0WW7sgZLdh_Fw_18_0"/>
      <w:bookmarkStart w:id="526" w:name="Tc_0X1Mo9Cxc0arsjBGqRFSWA_17_0"/>
      <w:bookmarkStart w:id="527" w:name="Tc_FYelrDeUl0e2IWKoxtgkOA_16_6"/>
      <w:bookmarkStart w:id="528" w:name="Tc_lRGeHk0nCUKFC-VpwdaPNA_16_0"/>
      <w:bookmarkStart w:id="529" w:name="Tc_gucvPpBkykeJy7LcaasYAQ_15_6"/>
      <w:bookmarkStart w:id="530" w:name="Tc_ioBurj-hHEKDtRLp9icLPA_15_0"/>
      <w:bookmarkStart w:id="531" w:name="Tc_Selg9nyjRUelnUZPpFIxfQ_14_0"/>
      <w:bookmarkStart w:id="532" w:name="Tc_glpDAUYSHkCZq8LlH4-cJA_13_6"/>
      <w:bookmarkStart w:id="533" w:name="Tc_Z1MxIjQKdUSWUb7iLkNmvg_13_0"/>
      <w:bookmarkStart w:id="534" w:name="Tc_HM5YZLhOsE-DlW0C9r-46Q_12_3"/>
      <w:bookmarkStart w:id="535" w:name="Tc_B_ISu5RTg0OccYqAGCieYw_12_0"/>
      <w:bookmarkStart w:id="536" w:name="Tc_DV-bJFVULECBpLEkxYxatw_11_3"/>
      <w:bookmarkStart w:id="537" w:name="Tc_FDEBVkbgnkyV4-JtoZVykg_11_0"/>
      <w:bookmarkStart w:id="538" w:name="Tc_qzx0DHs0J0m8vUrg-NFqdA_10_0"/>
      <w:bookmarkStart w:id="539" w:name="Tc_maVhjdnNiEytq5vjWcIqfg_9_0"/>
      <w:bookmarkStart w:id="540" w:name="Tc_AwVskcxCLkCf3Zxppzwu_w_8_6"/>
      <w:bookmarkStart w:id="541" w:name="Tc_vJiqvOvytU61PmsMymyEug_8_0"/>
      <w:bookmarkStart w:id="542" w:name="Tc_FUwJI5XdRUmzKSEw70R_GA_7_0"/>
      <w:bookmarkStart w:id="543" w:name="Tc_vzjWoa0sVkicDSZTJWaFWQ_6_0"/>
      <w:bookmarkStart w:id="544" w:name="Tc_5VFg-wUsQEmjjgVMs-S43g_5_0"/>
      <w:bookmarkStart w:id="545" w:name="Tc_cXTHPyiJFEWe7MLS_XApuQ_4_5"/>
      <w:bookmarkStart w:id="546" w:name="Tc_GlezSUG_706NYfopLct5xg_4_2"/>
      <w:bookmarkStart w:id="547" w:name="Tc_hiIKBeF7B02vAAX3fb9Tlg_4_0"/>
      <w:bookmarkStart w:id="548" w:name="Tc_MtukXyWSCkGev0bk45RW5A_3_0"/>
      <w:bookmarkStart w:id="549" w:name="Tc_PcHj85h-DkmYm5XuaqB1Jw_2_5"/>
      <w:bookmarkStart w:id="550" w:name="Tc_I6whDApgMUy-TwzWZb7TAA_2_2"/>
      <w:bookmarkStart w:id="551" w:name="Tc_ehc2_HUOEUuR6xCYoGizcA_1_2"/>
      <w:bookmarkStart w:id="552" w:name="_8aca14f0_f3f2_42d5_b562_baefeb3465e8"/>
      <w:bookmarkStart w:id="553" w:name="Tc_17a3F1_Hk0KthgFBtcTfuw_52_5"/>
      <w:bookmarkStart w:id="554" w:name="Tc_QtQ85pMoHEe9FPmPh9Qj1g_52_2"/>
      <w:bookmarkStart w:id="555" w:name="Tc_bk8F_xk9zkabMeyaMttb5g_52_0"/>
      <w:bookmarkStart w:id="556" w:name="Tc_Ll-noJhAcEmREYe_2D-lSQ_51_6"/>
      <w:bookmarkStart w:id="557" w:name="Tc_Nb4h2YXmRU-Cx6f-J3I5Tg_51_5"/>
      <w:bookmarkStart w:id="558" w:name="Tc_at6ggEJGZEmwMxnNAIraAw_51_2"/>
      <w:bookmarkStart w:id="559" w:name="Tc_mqtCLz-ho0GVKg3IpqFKFQ_51_0"/>
      <w:bookmarkStart w:id="560" w:name="Tc_y3bBGwDR606LDCFV_Tj3RQ_50_0"/>
      <w:bookmarkStart w:id="561" w:name="Tc_IMMBbmhbbEuiutqJ-7PGbw_49_5"/>
      <w:bookmarkStart w:id="562" w:name="Tc_0Xf4UIZn6kSsC0u9n3lGiw_49_2"/>
      <w:bookmarkStart w:id="563" w:name="Tc_ZjFbe0QNVkW2Kt8gXBd-6w_49_0"/>
      <w:bookmarkStart w:id="564" w:name="Tc_bbFFTr5J4k2XwQwwQgE0cg_48_0"/>
      <w:bookmarkStart w:id="565" w:name="Tc_eVVwWiwgDESYRSWnHknSmA_47_0"/>
      <w:bookmarkStart w:id="566" w:name="Tc_BLngNmXvik-C9v62MBBeIg_46_0"/>
      <w:bookmarkStart w:id="567" w:name="Tc_Cr_1euoJVkGVJ7bLx1g20g_45_0"/>
      <w:bookmarkStart w:id="568" w:name="Tc_ITktzNmQkUyvN0O1bd7qqQ_44_0"/>
      <w:bookmarkStart w:id="569" w:name="Tc_9vGVPpfVNEiOqFBdMogA1w_43_0"/>
      <w:bookmarkStart w:id="570" w:name="Tc_Q29pGdmw5EGzTZgOS-5HSg_42_0"/>
      <w:bookmarkStart w:id="571" w:name="Tc_jIz2T0Ry50qnaCVVm6fg0Q_41_0"/>
      <w:bookmarkStart w:id="572" w:name="Tc_iMNLzbhH90-bNJZ7twOHaA_40_0"/>
      <w:bookmarkStart w:id="573" w:name="Tc_LyMvnu_t3kGaDFU3m2q2mg_39_3"/>
      <w:bookmarkStart w:id="574" w:name="Tc_xRLlwoclz066mh9bkxvPVA_39_0"/>
      <w:bookmarkStart w:id="575" w:name="Tc_bmkEC-kW5EGE9gT-mXFXiw_38_0"/>
      <w:bookmarkStart w:id="576" w:name="Tc_AOocw7v0SUCU0ErjC5Q--Q_37_0"/>
      <w:bookmarkStart w:id="577" w:name="Tc_-IPjDMPNz0ubXn4fB3CCYw_36_0"/>
      <w:bookmarkStart w:id="578" w:name="Tc_Kmn2gARc7UiK9ORO_j6llQ_35_0"/>
      <w:bookmarkStart w:id="579" w:name="Tc_f5wsTqw5VkKVO4j_bH8-0Q_34_0"/>
      <w:bookmarkStart w:id="580" w:name="Tc_NReqNPtuTUC4PE_e8derVQ_33_0"/>
      <w:bookmarkStart w:id="581" w:name="Tc_sR_UepBHRE-rAueGeErhtA_32_0"/>
      <w:bookmarkStart w:id="582" w:name="Tc_7twP8tOQCkySPliZOQwfaA_31_0"/>
      <w:bookmarkStart w:id="583" w:name="Tc_l96e5Qm2ckeul25DfZhxKw_30_0"/>
      <w:bookmarkStart w:id="584" w:name="Tc_UB3otUYjcUagmbKJ5qVhlg_29_6"/>
      <w:bookmarkStart w:id="585" w:name="Tc_q3GwScPQjkWiy6CJACGDug_29_0"/>
      <w:bookmarkStart w:id="586" w:name="Tc_N3J0sYCXrE6pcOzcYDOzxQ_28_0"/>
      <w:bookmarkStart w:id="587" w:name="Tc_9P8gS7VNzEu-TNa_wzohnw_27_0"/>
      <w:bookmarkStart w:id="588" w:name="Tc_0BP_0e_EmUeF_wYB0hqpPw_26_0"/>
      <w:bookmarkStart w:id="589" w:name="Tc_T_rws2eYsEaZrZFo_8GMNA_25_0"/>
      <w:bookmarkStart w:id="590" w:name="Tc_vgqeLoZwGUK_KARHrCQt9w_24_0"/>
      <w:bookmarkStart w:id="591" w:name="Tc_wZIwFrZZuUOcFWM-91FG6w_23_0"/>
      <w:bookmarkStart w:id="592" w:name="Tc_kWycxXrcI0an3zxjARIzVQ_22_0"/>
      <w:bookmarkStart w:id="593" w:name="Tc_nHH-eYkd30iNxcihcuaK8w_21_0"/>
      <w:bookmarkStart w:id="594" w:name="Tc_6CpAszkTKU-Q3T96U4RkJA_20_6"/>
      <w:bookmarkStart w:id="595" w:name="Tc_sS2vhTJab0yQq6YS4EmgAg_20_0"/>
      <w:bookmarkStart w:id="596" w:name="Tc_5J4VGdHbDUKivITgBDiORQ_19_0"/>
      <w:bookmarkStart w:id="597" w:name="Tc_0SGzqRwPS0WW7sgZLdh_Fw_18_0"/>
      <w:bookmarkStart w:id="598" w:name="Tc_0X1Mo9Cxc0arsjBGqRFSWA_17_0"/>
      <w:bookmarkStart w:id="599" w:name="Tc_FYelrDeUl0e2IWKoxtgkOA_16_6"/>
      <w:bookmarkStart w:id="600" w:name="Tc_lRGeHk0nCUKFC-VpwdaPNA_16_0"/>
      <w:bookmarkStart w:id="601" w:name="Tc_gucvPpBkykeJy7LcaasYAQ_15_6"/>
      <w:bookmarkStart w:id="602" w:name="Tc_ioBurj-hHEKDtRLp9icLPA_15_0"/>
      <w:bookmarkStart w:id="603" w:name="Tc_Selg9nyjRUelnUZPpFIxfQ_14_0"/>
      <w:bookmarkStart w:id="604" w:name="Tc_glpDAUYSHkCZq8LlH4-cJA_13_6"/>
      <w:bookmarkStart w:id="605" w:name="Tc_Z1MxIjQKdUSWUb7iLkNmvg_13_0"/>
      <w:bookmarkStart w:id="606" w:name="Tc_HM5YZLhOsE-DlW0C9r-46Q_12_3"/>
      <w:bookmarkStart w:id="607" w:name="Tc_B_ISu5RTg0OccYqAGCieYw_12_0"/>
      <w:bookmarkStart w:id="608" w:name="Tc_DV-bJFVULECBpLEkxYxatw_11_3"/>
      <w:bookmarkStart w:id="609" w:name="Tc_FDEBVkbgnkyV4-JtoZVykg_11_0"/>
      <w:bookmarkStart w:id="610" w:name="Tc_qzx0DHs0J0m8vUrg-NFqdA_10_0"/>
      <w:bookmarkStart w:id="611" w:name="Tc_maVhjdnNiEytq5vjWcIqfg_9_0"/>
      <w:bookmarkStart w:id="612" w:name="Tc_AwVskcxCLkCf3Zxppzwu_w_8_6"/>
      <w:bookmarkStart w:id="613" w:name="Tc_vJiqvOvytU61PmsMymyEug_8_0"/>
      <w:bookmarkStart w:id="614" w:name="Tc_FUwJI5XdRUmzKSEw70R_GA_7_0"/>
      <w:bookmarkStart w:id="615" w:name="Tc_vzjWoa0sVkicDSZTJWaFWQ_6_0"/>
      <w:bookmarkStart w:id="616" w:name="Tc_5VFg-wUsQEmjjgVMs-S43g_5_0"/>
      <w:bookmarkStart w:id="617" w:name="Tc_cXTHPyiJFEWe7MLS_XApuQ_4_5"/>
      <w:bookmarkStart w:id="618" w:name="Tc_GlezSUG_706NYfopLct5xg_4_2"/>
      <w:bookmarkStart w:id="619" w:name="Tc_hiIKBeF7B02vAAX3fb9Tlg_4_0"/>
      <w:bookmarkStart w:id="620" w:name="Tc_MtukXyWSCkGev0bk45RW5A_3_0"/>
      <w:bookmarkStart w:id="621" w:name="Tc_PcHj85h-DkmYm5XuaqB1Jw_2_5"/>
      <w:bookmarkStart w:id="622" w:name="Tc_I6whDApgMUy-TwzWZb7TAA_2_2"/>
      <w:bookmarkStart w:id="623" w:name="Tc_ehc2_HUOEUuR6xCYoGizcA_1_2"/>
      <w:bookmarkStart w:id="624" w:name="_8aca14f0_f3f2_42d5_b562_baefeb3465e8"/>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tbl>
      <w:tblPr>
        <w:tblW w:w="8287" w:type="dxa"/>
        <w:jc w:val="left"/>
        <w:tblInd w:w="0" w:type="dxa"/>
        <w:tblLayout w:type="fixed"/>
        <w:tblCellMar>
          <w:top w:w="0" w:type="dxa"/>
          <w:left w:w="0" w:type="dxa"/>
          <w:bottom w:w="0" w:type="dxa"/>
          <w:right w:w="0" w:type="dxa"/>
        </w:tblCellMar>
      </w:tblPr>
      <w:tblGrid>
        <w:gridCol w:w="5716"/>
        <w:gridCol w:w="346"/>
        <w:gridCol w:w="196"/>
        <w:gridCol w:w="721"/>
        <w:gridCol w:w="346"/>
        <w:gridCol w:w="196"/>
        <w:gridCol w:w="76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9660" cy="175260"/>
                      <wp:effectExtent l="0" t="0" r="0" b="0"/>
                      <wp:wrapNone/>
                      <wp:docPr id="61" name="Frame61"/>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57835" cy="175260"/>
                      <wp:effectExtent l="0" t="0" r="0" b="0"/>
                      <wp:wrapNone/>
                      <wp:docPr id="64" name="Frame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86410" cy="175260"/>
                      <wp:effectExtent l="0" t="0" r="0" b="0"/>
                      <wp:wrapNone/>
                      <wp:docPr id="67" name="Frame6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24,971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lines of credit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accounts and notes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from sale of property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foreclosure of property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operating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Writeoff of investment in Corpus AmeriCasa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operating lease right of 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 loans activity,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Notes receivable MHP activity,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Dealer inventory loan activity,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 - leased mobile homes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activity,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Escrow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Dealer incentive liability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notes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Notes receivable collections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Collections from purchased loans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lines of credit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lines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5,120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See accompanying notes to unaudited interim financial statements.</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 NATURE OF OPERATIONS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The Company (1) manufactures and provides for the transport of manufactured homes, (2) provides wholesale financing to dealers and mobile home parks, (3) provides retail financing to consumers and (4) is involved in financing and developing new manufactured home communities. The Company manufactures its homes at plants located in Fort Worth, Texas, Commerce, Texas and Eatonton, Georgia. The Company relies on a network of dealers to market and sell its manufactured homes. The Company also sells homes directly to consumers, through its own retail stores, and to dealers and mobile home parks.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financial statements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and six months ended June 30, 2026 are not necessarily indicative of the results to be expected for the year ending December 31, 2026, or any other period. The accompanying balance sheet as of December 31, 2025 was derived from audited financial statements included in the Company's Annual Report on Form 10-K for the year ended December 31, 2025 (the “Form 10-K”), filed on March 12, 2026. The accompanying financial statements do not include all of the information and footnotes required by GAAP for annual financial statements. Accordingly, they should be read in conjunction with the audited financial statements and notes thereto included in the Form 10-K.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Significant estimates made in connection with the accompanying financial statements primarily relate to the determination and valuation of notes receivable from mobile home parks, consumer loans receivable, other notes receivable, dealer financed receivables and fair value of financial instruments. Actual results could differ from these estimates.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for customers to facilitate home sales. Accordingly, all significant operating and strategic decisions by the co-chief operating decision makers, the Executive Chairman and Chief Executive Officer, and are based upon analyses of our Company as one operating segment.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generate revenues through the manufacture and sales of manufactured homes and “Tiny Houses” and the related interest income associated with financing these homes sales. We define the segment primarily based on how internally reported financial and operating information is regularly reviewed by our co-chief operating decision makers (“co-CODMs”) to evaluate financial performance, make decisions and allocate resources. The co-CODMs assess performance for the segment based on net income and total assets that are also reported on the statements of income and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balance sheet as net income and total assets, respectively. The accounting policies of the segment are the same as those described in the summary of significant accounting policies. The co-CODMs assess our operating and financial performance on a company-wide or consolidated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17, 2026, subsequent to the interim balance sheet, the Executive Chairman notified the Company of his retirement, effective July 21, 2026 (see Note 17 — Subsequent Events), and the Chief Executive Officer became the Company's sole chief operating decision maker. This change did not affect the Company's single reportable segment or the manner in which financial and operating performance is reviewed and resources are allocated.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sales primarily consist of sales of manufactured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 MHP and dealer loans interest includes interest income from the consumer, MHP and dealer finance loan portfolios. Other revenue consists of contract deposit forfeitures, consignment fees, commercial lease rents, land sales, service fees and other miscellaneous income.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accounts receivable includes receivables from direct sales of manufactured homes, sales of parts and supplies to customers, inventory finance fees and interest.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Accounts receivable related to inventory finance fees and interest generally are due upon receipt, and all other accounts receivable generally are due within 30 days. Accounts receivable is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June 30, 2026, December 31, 2025, and December 31, 2024, the allowance for doubtful accounts totaled $1.5 million, $1.5 million, and $0.6 million, respectively. At June 30, 2026, December 31, 2025, and December 31, 2024 accounts receivable, net was $7.0 million, $5.5 million, and $4.0 million,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Interest Receivable from Loan Portfolios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receivable loan portfolios, net relates to accrued interest for consumer loans receivable, notes receivable from mobile home parks, and other notes receivable. The interest accrual is calculated within the Company’s loan management system from the date of last customer payment received through the end of the period. Separately an interest receivable allowance is established for all interest payments past due more than 90 days. The interest receivable is stated net of the allowance. At June 30, 2026, December 31, 2025, and December 31, 2024, the interest receivable, net was $3.6 million, $3.5 million, and $3.3 million, respectively. The interest receivable is stated net of an allowance of $0.9 million and $0.7 million at June 30, 2026 and December 31, 2025, respectively.</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25" w:name="Tc_eNVY7wG4wUGTnNkO6ddK-Q_6_11"/>
      <w:bookmarkStart w:id="626" w:name="Tc_QjSFhZdadE2lBEF35Hhrdg_6_8"/>
      <w:bookmarkStart w:id="627" w:name="Tc_Gqni08L45UqOhlWl_SOIcw_6_5"/>
      <w:bookmarkStart w:id="628" w:name="Tc_iin73jR4-UeNQMZHjG8xyg_6_2"/>
      <w:bookmarkStart w:id="629" w:name="Tc_5RgxZR8cQEuu8qEux1eIwA_6_0"/>
      <w:bookmarkStart w:id="630" w:name="Tc_JaO52oyn-ESFtoQ9MuGHZw_5_0"/>
      <w:bookmarkStart w:id="631" w:name="Tc_uPRzSj8gj0WG70IwKLMPhw_4_0"/>
      <w:bookmarkStart w:id="632" w:name="Tc_MDVwe9Qq_06lft57sH-NjA_3_11"/>
      <w:bookmarkStart w:id="633" w:name="Tc_iQgByR7hE0OCuW34XKx_mQ_3_8"/>
      <w:bookmarkStart w:id="634" w:name="Tc_9C-Y6XN84EKt0haC8jyBUg_3_5"/>
      <w:bookmarkStart w:id="635" w:name="Tc_SeU_CLGX7EaoQpr6arUuoA_3_2"/>
      <w:bookmarkStart w:id="636" w:name="Tc_eITq0bc8pk-f2XlF9wGLVw_3_0"/>
      <w:bookmarkStart w:id="637" w:name="Tc_YtAZFgMDuUCD6LP6-9eOCg_2_11"/>
      <w:bookmarkStart w:id="638" w:name="Tc_aApttIGnnEeqMTROKC9ZkA_2_8"/>
      <w:bookmarkStart w:id="639" w:name="Tc_NjbBVS1ChE2buK4cnOOxbw_2_5"/>
      <w:bookmarkStart w:id="640" w:name="Tc_GsONLIqKMk-znNgri_fbQQ_2_2"/>
      <w:bookmarkStart w:id="641" w:name="Tc_p6iIz6Fu9UqneErmw2ItNg_1_8"/>
      <w:bookmarkStart w:id="642" w:name="Tc_2Y17p5z5Ek2b0OOqfUK7JQ_1_2"/>
      <w:bookmarkStart w:id="643" w:name="_096c1b0f_6bce_44d8_a7cf_9ef66016153b"/>
      <w:bookmarkStart w:id="644" w:name="Tc_uSlylZy3TkKX3b3vtWtjUg_7_2"/>
      <w:bookmarkStart w:id="645" w:name="Tc_baYFbW6o1UG5opfhJ3RDXg_7_0"/>
      <w:bookmarkStart w:id="646" w:name="Tc_fv2TvP3BkUqMQjjbI8aU_Q_6_0"/>
      <w:bookmarkStart w:id="647" w:name="Tc_K2Ouzv3rIk2ifYQ1Mh3xRw_5_0"/>
      <w:bookmarkStart w:id="648" w:name="Tc_AphAaC7pSkKdChSAP9C2ew_4_0"/>
      <w:bookmarkStart w:id="649" w:name="Tc_txKG2c-ZjE2t5g3Nq7L28Q_3_0"/>
      <w:bookmarkStart w:id="650" w:name="Tc_vUEBXag2EU2NW1HosMkUdw_2_0"/>
      <w:bookmarkStart w:id="651" w:name="Tc_2AkXcsWICU-9W4jfeIFWVQ_1_2"/>
      <w:bookmarkStart w:id="652" w:name="Tc_5xLUV02lW0SvlQOH28FdLA_1_0"/>
      <w:bookmarkStart w:id="653" w:name="_8d4c732b_708b_41b6_b5ec_19ba65bd9ac9"/>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b/>
          <w:sz w:val="20"/>
        </w:rPr>
        <w:t>Leased Property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offers mobile home park operators the opportunity to lease manufactured homes for rent in lieu of purchasing the homes for cash or under a longer-term financing agreement. In this arrangement, the title for the manufactured homes remains with the Company, and the lease is accounted for as an operating lease.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leased manufactured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Future minimum lease income under all operating leases for each of the next five years at June 30, 2026, is as follows (in thousands): </w:t>
      </w:r>
    </w:p>
    <w:tbl>
      <w:tblPr>
        <w:tblW w:w="2179" w:type="dxa"/>
        <w:jc w:val="left"/>
        <w:tblInd w:w="0" w:type="dxa"/>
        <w:tblLayout w:type="fixed"/>
        <w:tblCellMar>
          <w:top w:w="0" w:type="dxa"/>
          <w:left w:w="0" w:type="dxa"/>
          <w:bottom w:w="0" w:type="dxa"/>
          <w:right w:w="0" w:type="dxa"/>
        </w:tblCellMar>
      </w:tblPr>
      <w:tblGrid>
        <w:gridCol w:w="946"/>
        <w:gridCol w:w="346"/>
        <w:gridCol w:w="211"/>
        <w:gridCol w:w="67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00710" cy="175260"/>
                      <wp:effectExtent l="0" t="0" r="0" b="0"/>
                      <wp:wrapNone/>
                      <wp:docPr id="68" name="Frame6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71" name="Frame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2,802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Product Warranties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provides retail home buyers with a one-year warranty from the date of purchase on manufactured inventory. At this time, we do not provide any warranties with respect to “Tiny Houses”.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activity within the warranty liability (in thousands): </w:t>
      </w:r>
    </w:p>
    <w:tbl>
      <w:tblPr>
        <w:tblW w:w="8164" w:type="dxa"/>
        <w:jc w:val="left"/>
        <w:tblInd w:w="0" w:type="dxa"/>
        <w:tblLayout w:type="fixed"/>
        <w:tblCellMar>
          <w:top w:w="0" w:type="dxa"/>
          <w:left w:w="0" w:type="dxa"/>
          <w:bottom w:w="0" w:type="dxa"/>
          <w:right w:w="0" w:type="dxa"/>
        </w:tblCellMar>
      </w:tblPr>
      <w:tblGrid>
        <w:gridCol w:w="3286"/>
        <w:gridCol w:w="109"/>
        <w:gridCol w:w="250"/>
        <w:gridCol w:w="677"/>
        <w:gridCol w:w="410"/>
        <w:gridCol w:w="250"/>
        <w:gridCol w:w="677"/>
        <w:gridCol w:w="346"/>
        <w:gridCol w:w="213"/>
        <w:gridCol w:w="699"/>
        <w:gridCol w:w="350"/>
        <w:gridCol w:w="213"/>
        <w:gridCol w:w="684"/>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86610" cy="175260"/>
                      <wp:effectExtent l="0" t="0" r="0" b="0"/>
                      <wp:wrapNone/>
                      <wp:docPr id="72" name="Frame72"/>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8750" cy="175260"/>
                      <wp:effectExtent l="0" t="0" r="0" b="0"/>
                      <wp:wrapNone/>
                      <wp:docPr id="74" name="Frame7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9895" cy="175260"/>
                      <wp:effectExtent l="0" t="0" r="0" b="0"/>
                      <wp:wrapNone/>
                      <wp:docPr id="75" name="Frame7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60350" cy="175260"/>
                      <wp:effectExtent l="0" t="0" r="0" b="0"/>
                      <wp:wrapNone/>
                      <wp:docPr id="76" name="Frame76"/>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8750" cy="175260"/>
                      <wp:effectExtent l="0" t="0" r="0" b="0"/>
                      <wp:wrapNone/>
                      <wp:docPr id="77" name="Frame7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895" cy="175260"/>
                      <wp:effectExtent l="0" t="0" r="0" b="0"/>
                      <wp:wrapNone/>
                      <wp:docPr id="78" name="Frame7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5255" cy="175260"/>
                      <wp:effectExtent l="0" t="0" r="0" b="0"/>
                      <wp:wrapNone/>
                      <wp:docPr id="80" name="Frame8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43865" cy="175260"/>
                      <wp:effectExtent l="0" t="0" r="0" b="0"/>
                      <wp:wrapNone/>
                      <wp:docPr id="81" name="Frame81"/>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22250" cy="175260"/>
                      <wp:effectExtent l="0" t="0" r="0" b="0"/>
                      <wp:wrapNone/>
                      <wp:docPr id="82" name="Frame8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5255" cy="175260"/>
                      <wp:effectExtent l="0" t="0" r="0" b="0"/>
                      <wp:wrapNone/>
                      <wp:docPr id="83" name="Frame8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4340" cy="175260"/>
                      <wp:effectExtent l="0" t="0" r="0" b="0"/>
                      <wp:wrapNone/>
                      <wp:docPr id="84" name="Frame8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liability,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warranty reserve accrued</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incurred</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liability, end of period</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intangible assets consist of trade name, internally developed software, customer contracts, and non-compete agreements, are considered finite-lived, and are amortized over their useful lives. Finite-lived intangibles are generally amortized over 1 to 15 years on a straight-line depreciation basis and are reviewed for possible impairment whenever events or changes in circumstances indicate that the carrying amounts may not be recoverable. Amortization expenses recognized on intangible assets was $0.2 million and $0.5 million for the three months and six months ended June 30, 2026, respectively. Finite-lived intangibles have a weighted average remaining life of 10.1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54" w:name="Tc_EsisuaxKNEueSiLHU8BwUg_9_2"/>
      <w:bookmarkStart w:id="655" w:name="Tc_A-CCVQPl_0S-I8on082lqA_9_0"/>
      <w:bookmarkStart w:id="656" w:name="Tc_S2QuNYZRT0ecCDjtn84NDw_8_0"/>
      <w:bookmarkStart w:id="657" w:name="Tc_OHIGvrPa1Umoj-Cz6T71Gw_7_0"/>
      <w:bookmarkStart w:id="658" w:name="Tc_-1cMiKnVzECmztw5i67mGA_6_0"/>
      <w:bookmarkStart w:id="659" w:name="Tc_YT6DHnGrlkySfePflEYapQ_5_0"/>
      <w:bookmarkStart w:id="660" w:name="Tc_PxPrZHU80Ua-Kg0SYEmJzA_4_0"/>
      <w:bookmarkStart w:id="661" w:name="Tc_uGjp5IjBMUivdVxCQ1nO5w_3_2"/>
      <w:bookmarkStart w:id="662" w:name="Tc_XSCXfe7IOkKxSHeC-HRPaw_3_0"/>
      <w:bookmarkStart w:id="663" w:name="Tc_fbGSnXa-I0GI4xLp7tPeag_2_2"/>
      <w:bookmarkStart w:id="664" w:name="Tc_5fWQDVdUzEeiex5ocfxUMw_2_0"/>
      <w:bookmarkStart w:id="665" w:name="Tc_Jraolyv6hkWvBAASZj-tXg_1_2"/>
      <w:bookmarkStart w:id="666" w:name="_3d2f7b36_38cd_4446_a707_07d86190bcc7"/>
      <w:bookmarkStart w:id="667" w:name="Tc_CHvkrp7e8Ualdz5M2MBhSg_9_5"/>
      <w:bookmarkStart w:id="668" w:name="Tc_Sd5VMP3j40qUDODHADmvBg_9_2"/>
      <w:bookmarkStart w:id="669" w:name="Tc_EqirwkAZVUGJBNwuSQHWaw_9_0"/>
      <w:bookmarkStart w:id="670" w:name="Tc_8V3LAX4CCk6Q7o48McKPtw_8_0"/>
      <w:bookmarkStart w:id="671" w:name="Tc_qsBAvgwvHEKOVhX9WnYwkw_7_0"/>
      <w:bookmarkStart w:id="672" w:name="Tc_uRta55Ga0EqSmYfs5PaZOw_6_0"/>
      <w:bookmarkStart w:id="673" w:name="Tc_k_dGn8ccqUC2koK4N2I7tw_5_0"/>
      <w:bookmarkStart w:id="674" w:name="Tc_TtcPnCA6hEmlbXNePSnSWA_4_0"/>
      <w:bookmarkStart w:id="675" w:name="Tc_SwYlTSyo6Euan2LzTBY0eA_3_5"/>
      <w:bookmarkStart w:id="676" w:name="Tc_h0XXUWtXMkWEMpZ9JCHdfg_3_2"/>
      <w:bookmarkStart w:id="677" w:name="Tc_zjaQq7PDzUKqimwqyaSAqg_3_0"/>
      <w:bookmarkStart w:id="678" w:name="Tc_0H3MbrAa2Eil7_21AbLGpw_2_5"/>
      <w:bookmarkStart w:id="679" w:name="Tc__Wj1yHim_k6rIamZosNjyg_2_2"/>
      <w:bookmarkStart w:id="680" w:name="Tc_hsWa8fZSfkOZZxTGtROKOA_1_5"/>
      <w:bookmarkStart w:id="681" w:name="Tc_p6rZt703kk6j9ONici2skQ_1_2"/>
      <w:bookmarkStart w:id="682" w:name="_5af5e3d8_916f_489f_9f5f_03cbb861123f"/>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sz w:val="20"/>
        </w:rPr>
        <w:t>The following table shows the book value of our intangible assets, net of amortization (in thousands):</w:t>
      </w:r>
    </w:p>
    <w:tbl>
      <w:tblPr>
        <w:tblW w:w="5799" w:type="dxa"/>
        <w:jc w:val="left"/>
        <w:tblInd w:w="0" w:type="dxa"/>
        <w:tblLayout w:type="fixed"/>
        <w:tblCellMar>
          <w:top w:w="0" w:type="dxa"/>
          <w:left w:w="0" w:type="dxa"/>
          <w:bottom w:w="0" w:type="dxa"/>
          <w:right w:w="0" w:type="dxa"/>
        </w:tblCellMar>
      </w:tblPr>
      <w:tblGrid>
        <w:gridCol w:w="2791"/>
        <w:gridCol w:w="109"/>
        <w:gridCol w:w="320"/>
        <w:gridCol w:w="865"/>
        <w:gridCol w:w="109"/>
        <w:gridCol w:w="380"/>
        <w:gridCol w:w="1225"/>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72285" cy="175260"/>
                      <wp:effectExtent l="0" t="0" r="0" b="0"/>
                      <wp:wrapNone/>
                      <wp:docPr id="85" name="Frame85"/>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3200" cy="175260"/>
                      <wp:effectExtent l="0" t="0" r="0" b="0"/>
                      <wp:wrapNone/>
                      <wp:docPr id="87" name="Frame8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49275" cy="175260"/>
                      <wp:effectExtent l="0" t="0" r="0" b="0"/>
                      <wp:wrapNone/>
                      <wp:docPr id="88" name="Frame8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41300" cy="175260"/>
                      <wp:effectExtent l="0" t="0" r="0" b="0"/>
                      <wp:wrapNone/>
                      <wp:docPr id="90" name="Frame90"/>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77875" cy="175260"/>
                      <wp:effectExtent l="0" t="0" r="0" b="0"/>
                      <wp:wrapNone/>
                      <wp:docPr id="91" name="Frame91"/>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w:t>
            </w:r>
          </w:p>
        </w:tc>
        <w:tc>
          <w:tcPr>
            <w:tcW w:w="109"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109"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109"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righ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w:t>
            </w:r>
          </w:p>
        </w:tc>
        <w:tc>
          <w:tcPr>
            <w:tcW w:w="109"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09"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w:t>
            </w:r>
          </w:p>
        </w:tc>
        <w:tc>
          <w:tcPr>
            <w:tcW w:w="109"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future amortization expense related to intangible assets (in thousands):</w:t>
      </w:r>
    </w:p>
    <w:p>
      <w:pPr>
        <w:pStyle w:val="TextBody"/>
        <w:bidi w:val="0"/>
        <w:spacing w:before="0" w:after="0"/>
        <w:ind w:left="0" w:right="0" w:hanging="0"/>
        <w:jc w:val="left"/>
        <w:rPr/>
      </w:pPr>
      <w:r>
        <w:rPr/>
        <w:t>​</w:t>
      </w:r>
    </w:p>
    <w:tbl>
      <w:tblPr>
        <w:tblW w:w="2285" w:type="dxa"/>
        <w:jc w:val="left"/>
        <w:tblInd w:w="0" w:type="dxa"/>
        <w:tblLayout w:type="fixed"/>
        <w:tblCellMar>
          <w:top w:w="0" w:type="dxa"/>
          <w:left w:w="0" w:type="dxa"/>
          <w:bottom w:w="0" w:type="dxa"/>
          <w:right w:w="0" w:type="dxa"/>
        </w:tblCellMar>
      </w:tblPr>
      <w:tblGrid>
        <w:gridCol w:w="946"/>
        <w:gridCol w:w="109"/>
        <w:gridCol w:w="292"/>
        <w:gridCol w:w="93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00710" cy="175260"/>
                      <wp:effectExtent l="0" t="0" r="0" b="0"/>
                      <wp:wrapNone/>
                      <wp:docPr id="92" name="Frame9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5420" cy="175260"/>
                      <wp:effectExtent l="0" t="0" r="0" b="0"/>
                      <wp:wrapNone/>
                      <wp:docPr id="94" name="Frame9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5630" cy="175260"/>
                      <wp:effectExtent l="0" t="0" r="0" b="0"/>
                      <wp:wrapNone/>
                      <wp:docPr id="95" name="Frame95"/>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Share-Based Compensation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accounts for share-based compensation in accordance with the provisions of Accounting Standards Codification (“ASC”) 718, Compensation—Stock Compensation. Share-based compensation expense is recognized based on an award’s estimated grant date fair value in order to recognize compensation cost for those shares expected to vest. Compensation cost is recognized on a straight-line basis over the vesting period of the awards and adjusted as forfeitures occur. 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estimated based on the historical volatility of the Company’s common stock. The expected life of awards granted represents the period during which the awards are expected to remain outstanding, based on the “simplified” method, which is allowed for companies that cannot reasonably estimate the expected life of options based on their historical award exercise experience. The Company does not expect to pay dividends on its common stock.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June 30, 2026, the Company had 9.2 million shares available for grant under the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stock options to purchase approximately 50,000 shares of common stock were outstanding under the Plan at an exercise price of $19.85, and expire on dates ranging from December 2030 to December 2035, none of which are currently exercisable. Unrecognized compensation expense related to these options at June 30, 2026 was $0.4 million and is expected to be recognized over </w:t>
      </w:r>
      <w:r>
        <w:rPr>
          <w:rFonts w:ascii="Times New Roman;Times;serif" w:hAnsi="Times New Roman;Times;serif"/>
          <w:b w:val="false"/>
          <w:i w:val="false"/>
          <w:caps w:val="false"/>
          <w:smallCaps w:val="false"/>
          <w:sz w:val="20"/>
        </w:rPr>
        <w:t>7.5 years</w:t>
      </w:r>
      <w:r>
        <w:rPr>
          <w:rFonts w:ascii="Times New Roman;Times;serif" w:hAnsi="Times New Roman;Times;serif"/>
          <w:sz w:val="20"/>
        </w:rPr>
        <w:t xml:space="preserve">. Total share-based compensation expense was immaterial for the three and six months ended June 30, 2026 and 2025.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2024-03</w:t>
      </w:r>
      <w:r>
        <w:rPr>
          <w:rFonts w:ascii="Times New Roman;Times;serif" w:hAnsi="Times New Roman;Times;serif"/>
          <w:i/>
          <w:sz w:val="20"/>
        </w:rPr>
        <w:t>, Income Statement Reporting - Comprehensive Income Expense - Disaggregation Disclosures (Subtopic 220-40), Disaggregation of Income Statement Expenses</w:t>
      </w:r>
      <w:r>
        <w:rPr>
          <w:rFonts w:ascii="Times New Roman;Times;serif" w:hAnsi="Times New Roman;Times;serif"/>
          <w:sz w:val="20"/>
        </w:rPr>
        <w:t>. The standard update improves the disclosures about a public business entity’s expenses by requiring more detailed information about certain types of costs and expenses in the notes to the financial statements.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the disclosure requirements related to the new standard on its financial statements.</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2. REVENUE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manufactured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make a down payment. These financed sales contain a significant financing component and any interest income is recorded separately in the statement of income.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Revenue is measured at the amount of consideration expected to be received in exchange for transferring the homes to the customers. Sales and other similar taxes collected concurrently with revenue-producing activities are excluded from revenue.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if the amortization period of the asset that the Company would have otherwise recognized is one year or less. Warranty costs are included in selling, general, and administrative expenses, in the statements of income. Warranty costs were $0.6 million and $0.5 million for the three months ended June 30, 2026 and 2025, respectively. Warranty costs were $1.1 million and $1.0 million for the six months ended June 30, 2026 and 2025, respectively.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and 2025, total cost of product sales included $3.0 million and $2.5 million, respectively, consisting of costs relating to </w:t>
      </w:r>
      <w:r>
        <w:rPr>
          <w:rFonts w:ascii="Times New Roman;Times;serif" w:hAnsi="Times New Roman;Times;serif"/>
          <w:color w:val="222222"/>
          <w:sz w:val="20"/>
          <w:shd w:fill="FFFFFF" w:val="clear"/>
        </w:rPr>
        <w:t xml:space="preserve">subcontracted production for commercial sales, transportation and delivery costs, and certain other costs incurred for retail store and commercial sales. </w:t>
      </w:r>
      <w:r>
        <w:rPr>
          <w:rFonts w:ascii="Times New Roman;Times;serif" w:hAnsi="Times New Roman;Times;serif"/>
          <w:sz w:val="20"/>
        </w:rPr>
        <w:t xml:space="preserve">For the six months ended June 30, 2026 and 2025, total cost of product sales included $4.7 million and $4.2 million, respectively, consisting of costs relating to </w:t>
      </w:r>
      <w:r>
        <w:rPr>
          <w:rFonts w:ascii="Times New Roman;Times;serif" w:hAnsi="Times New Roman;Times;serif"/>
          <w:color w:val="222222"/>
          <w:sz w:val="20"/>
          <w:shd w:fill="FFFFFF" w:val="clear"/>
        </w:rPr>
        <w:t>subcontracted production for commercial sales, transportation and delivery costs, and certain other costs incurred for retail store and commercial sales.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Other revenue consists of contract deposit forfeitures, consignment fees, commercial lease rents, land sales,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 Land sales revenue is comprised of sales of land (real property) that was acquired as a result of maintaining or furthering our primary business of producing, selling, and financing manufactured homes. Land sale revenue for the three months ended June 30, 2026 and 2025 were $0.3 million and $0.1 million, respectively. Land sale revenue for the six months ended June 30, 2026 and 2025 were $1.4 million and $0.1 million, respectively.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two customers accounted for 41.6% of our total product sales. For the six months ended June 30, 2026, two customers accounted for 29.7% of our total product sales. For the three and six months ended June 30, 2025, there were no customers that accounted for more than 5% of our total product sales.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683" w:name="Tc_DUVZ6c7WuUGDhkEA8iKIyg_18_18"/>
      <w:bookmarkStart w:id="684" w:name="Tc_hG3U5LoomEWZ3hIZy39vJw_18_13"/>
      <w:bookmarkStart w:id="685" w:name="Tc_S4f9KIe8_EWGDPUbYs_wFg_18_7"/>
      <w:bookmarkStart w:id="686" w:name="Tc_3tkcJSgZokappsoO0EVeUA_18_2"/>
      <w:bookmarkStart w:id="687" w:name="Tc_Csa9Ld99xEmgevQL8b883A_18_0"/>
      <w:bookmarkStart w:id="688" w:name="Tc_6oWyao1K4EO4D1JxOaKG3g_17_0"/>
      <w:bookmarkStart w:id="689" w:name="Tc_h0RSDMymhkqhH3naVjtd-g_16_0"/>
      <w:bookmarkStart w:id="690" w:name="Tc_HZsmclWaw0q7EexNZkQkag_15_0"/>
      <w:bookmarkStart w:id="691" w:name="Tc_r1mk0L1NDk6nw8GhxMNV6A_14_0"/>
      <w:bookmarkStart w:id="692" w:name="Tc_k1OJkHyOlk6TCAIph578ig_13_0"/>
      <w:bookmarkStart w:id="693" w:name="Tc_Dev8E-_PF0ahCmoaBg__ig_12_0"/>
      <w:bookmarkStart w:id="694" w:name="Tc_0bDYZdtks0aL1zKd7US0mw_11_0"/>
      <w:bookmarkStart w:id="695" w:name="Tc_Ls7BN_b_HUCA9jryAm_U8g_10_0"/>
      <w:bookmarkStart w:id="696" w:name="Tc_0QbMeB4OwEe7XlfZiUeP1g_9_0"/>
      <w:bookmarkStart w:id="697" w:name="Tc_mBNbZh7jv0e-oll9up_rIQ_8_0"/>
      <w:bookmarkStart w:id="698" w:name="Tc_aD5cLzKB4EynSMDMBmNzKw_7_0"/>
      <w:bookmarkStart w:id="699" w:name="Tc_Jb1gWyB9mEub4TLGYpLUyQ_6_0"/>
      <w:bookmarkStart w:id="700" w:name="Tc_MY1Hke5Spkel3-GMl_gHyw_5_18"/>
      <w:bookmarkStart w:id="701" w:name="Tc_c54wQvOgv0qDI_KTUg1eGw_5_13"/>
      <w:bookmarkStart w:id="702" w:name="Tc_QxCED6U2iUuePbY_mWzP6Q_5_7"/>
      <w:bookmarkStart w:id="703" w:name="Tc_4g7fK2MSvkeyOI_yynk2HQ_5_2"/>
      <w:bookmarkStart w:id="704" w:name="Tc_6GRTAMP1JUGgYRAoTqyH3g_5_0"/>
      <w:bookmarkStart w:id="705" w:name="Tc_z1WBhnvjMkqi0sNH5jo0QA_4_0"/>
      <w:bookmarkStart w:id="706" w:name="Tc_9USlf4y5jEuVmuBQs6cS4A_3_18"/>
      <w:bookmarkStart w:id="707" w:name="Tc_ltEtHrBUwUyEowqroUdrDA_3_13"/>
      <w:bookmarkStart w:id="708" w:name="Tc_KHMmnNhpskebOjw6oUjt3g_3_7"/>
      <w:bookmarkStart w:id="709" w:name="Tc_VH-zDO5MHEuXNMO73jYh_A_3_2"/>
      <w:bookmarkStart w:id="710" w:name="Tc_SXS1v1Uz9kiwW2HThKnbjw_2_13"/>
      <w:bookmarkStart w:id="711" w:name="Tc_pyJ95ioFZE2L7dweulH67w_2_2"/>
      <w:bookmarkStart w:id="712" w:name="Tc_kPM0ZqGF1kKGOKgcSuSKpw_1_13"/>
      <w:bookmarkStart w:id="713" w:name="Tc_BapoVSN2UECcJXC0n3odww_1_2"/>
      <w:bookmarkStart w:id="714" w:name="_ded46cf4_4195_4e2e_853a_24a715dba9c7"/>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Pr>
          <w:rFonts w:ascii="Times New Roman;Times;serif" w:hAnsi="Times New Roman;Times;serif"/>
          <w:sz w:val="20"/>
        </w:rPr>
        <w:t xml:space="preserve">During the first quarter of 2026, the Company received a non-refundable advance deposit of approximately $7.1 million from a single customer in connection with a large order of manufactured homes (380 units) intended for use as workforce housing. Production commenced in the first quarter of 2026, and the Company began deliveries during the second quarter of 2026, delivering 113 units and recognizing the related product sales upon delivery and transfer of title. Amounts received in advance of delivery are recorded in customer deposits as deferred revenue. The Company expects to complete deliveries under the contract during the remainder of 2026. In addition, there was a customer with five workforce housing contracts. The company shipped 136 units to the customer and recognized the revenue when the homes shipped. All houses related to the five contracts shipped.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Disaggregation of Revenue. The following table summarizes customer contract revenues disaggregated by the source of the revenue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8"/>
        <w:gridCol w:w="109"/>
        <w:gridCol w:w="211"/>
        <w:gridCol w:w="676"/>
        <w:gridCol w:w="109"/>
        <w:gridCol w:w="695"/>
        <w:gridCol w:w="146"/>
        <w:gridCol w:w="211"/>
        <w:gridCol w:w="676"/>
        <w:gridCol w:w="109"/>
        <w:gridCol w:w="695"/>
        <w:gridCol w:w="109"/>
        <w:gridCol w:w="109"/>
        <w:gridCol w:w="211"/>
        <w:gridCol w:w="781"/>
        <w:gridCol w:w="109"/>
        <w:gridCol w:w="695"/>
        <w:gridCol w:w="146"/>
        <w:gridCol w:w="211"/>
        <w:gridCol w:w="676"/>
        <w:gridCol w:w="109"/>
        <w:gridCol w:w="804"/>
      </w:tblGrid>
      <w:tr>
        <w:trPr/>
        <w:tc>
          <w:tcPr>
            <w:tcW w:w="2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56080" cy="175260"/>
                      <wp:effectExtent l="0" t="0" r="0" b="0"/>
                      <wp:wrapNone/>
                      <wp:docPr id="96" name="Frame96"/>
                      <a:graphic xmlns:a="http://schemas.openxmlformats.org/drawingml/2006/main">
                        <a:graphicData uri="http://schemas.microsoft.com/office/word/2010/wordprocessingShape">
                          <wps:wsp>
                            <wps:cNvSpPr txBox="1"/>
                            <wps:spPr>
                              <a:xfrm>
                                <a:off x="0" y="0"/>
                                <a:ext cx="1656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9" name="Frame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41325" cy="175260"/>
                      <wp:effectExtent l="0" t="0" r="0" b="0"/>
                      <wp:wrapNone/>
                      <wp:docPr id="101" name="Frame101"/>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2710" cy="175260"/>
                      <wp:effectExtent l="0" t="0" r="0" b="0"/>
                      <wp:wrapNone/>
                      <wp:docPr id="102"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41325" cy="175260"/>
                      <wp:effectExtent l="0" t="0" r="0" b="0"/>
                      <wp:wrapNone/>
                      <wp:docPr id="106" name="Frame106"/>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41325" cy="175260"/>
                      <wp:effectExtent l="0" t="0" r="0" b="0"/>
                      <wp:wrapNone/>
                      <wp:docPr id="112" name="Frame112"/>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710" cy="175260"/>
                      <wp:effectExtent l="0" t="0" r="0" b="0"/>
                      <wp:wrapNone/>
                      <wp:docPr id="113" name="Frame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10540" cy="175260"/>
                      <wp:effectExtent l="0" t="0" r="0" b="0"/>
                      <wp:wrapNone/>
                      <wp:docPr id="117" name="Frame117"/>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28"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742"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6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28"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74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6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69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79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80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left"/>
              <w:rPr/>
            </w:pPr>
            <w:r>
              <w:rPr/>
              <w:t>​</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2,225</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3,110</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3,679</w:t>
            </w:r>
          </w:p>
        </w:tc>
        <w:tc>
          <w:tcPr>
            <w:tcW w:w="109"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13,186</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11,724</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18,519</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finance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3,610</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13,668</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24,724</w:t>
            </w:r>
          </w:p>
        </w:tc>
        <w:tc>
          <w:tcPr>
            <w:tcW w:w="109"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6,757</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7,292</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12,810</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10,633</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Housing (1)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25,510</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27,217</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w:t>
            </w:r>
          </w:p>
        </w:tc>
        <w:tc>
          <w:tcPr>
            <w:tcW w:w="109"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product sales (2)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2,417</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5,010</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53,760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75,310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62,677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portfolio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pPr>
            <w:r>
              <w:rPr/>
              <w:t>​</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consumer installment notes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6,413</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5,936</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12,834</w:t>
            </w:r>
          </w:p>
        </w:tc>
        <w:tc>
          <w:tcPr>
            <w:tcW w:w="109" w:type="dxa"/>
            <w:tcBorders/>
            <w:vAlign w:val="center"/>
          </w:tcPr>
          <w:p>
            <w:pPr>
              <w:pStyle w:val="TableContents"/>
              <w:bidi w:val="0"/>
              <w:spacing w:before="0" w:after="1"/>
              <w:ind w:left="0" w:right="0" w:hanging="0"/>
              <w:jc w:val="right"/>
              <w:rPr/>
            </w:pPr>
            <w:r>
              <w:rPr/>
              <w:t>​</w:t>
            </w:r>
          </w:p>
        </w:tc>
        <w:tc>
          <w:tcPr>
            <w:tcW w:w="6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11,590</w:t>
            </w:r>
          </w:p>
        </w:tc>
        <w:tc>
          <w:tcPr>
            <w:tcW w:w="109"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MHP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4,284</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4,208</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8,429</w:t>
            </w:r>
          </w:p>
        </w:tc>
        <w:tc>
          <w:tcPr>
            <w:tcW w:w="109" w:type="dxa"/>
            <w:tcBorders/>
            <w:shd w:fill="CCEEFF" w:val="clear"/>
            <w:vAlign w:val="center"/>
          </w:tcPr>
          <w:p>
            <w:pPr>
              <w:pStyle w:val="TableContents"/>
              <w:bidi w:val="0"/>
              <w:spacing w:before="0" w:after="1"/>
              <w:ind w:left="0" w:right="0" w:hanging="0"/>
              <w:jc w:val="right"/>
              <w:rPr/>
            </w:pPr>
            <w:r>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8,431</w:t>
            </w:r>
          </w:p>
        </w:tc>
        <w:tc>
          <w:tcPr>
            <w:tcW w:w="109"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dealer finance notes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 portfolio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11,474</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10,883</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22,792</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21,538</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2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66,348</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50,161</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100,714</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85,831</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Workforce Housing is presented as a separate product sales category. Prior-year amounts related to Workforce Housing were reclassified from Direct Sales, Commercial Sales, and Inventory Finance Sales to the Workforce Housing line to conform to the current-year presentation. This reclassification affects presentation only and does not change Total Product Sales or Total Net Revenue.</w:t>
            </w:r>
          </w:p>
        </w:tc>
      </w:tr>
    </w:tbl>
    <w:tbl>
      <w:tblPr>
        <w:tblW w:w="9231" w:type="dxa"/>
        <w:jc w:val="left"/>
        <w:tblInd w:w="0" w:type="dxa"/>
        <w:tblLayout w:type="fixed"/>
        <w:tblCellMar>
          <w:top w:w="28" w:type="dxa"/>
          <w:left w:w="28" w:type="dxa"/>
          <w:bottom w:w="28" w:type="dxa"/>
          <w:right w:w="28" w:type="dxa"/>
        </w:tblCellMar>
      </w:tblPr>
      <w:tblGrid>
        <w:gridCol w:w="124"/>
        <w:gridCol w:w="331"/>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sales revenue from ancillary products and services including parts, freight and other services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3. CONSUMER LOANS RECEIVABLE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Consumer loans receivable result from financing transactions entered into with retail consumers of manufactured homes sold through independent retailers and company-owned retail locations. Consumer loans receivable generally consists of the sales price and any additional financing fees, less the buyer’s down payment. Interest income is recognized monthly per the terms of the financing agreement. The average contractual interest rate per loan was approximately 13.1% for June 30, 2026 and December 31, 2025. Consumer loans receivable have maturities that range from 3 to 30 years.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uses payment history to monitor the credit quality of the consumer loans on an ongoing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may also receive escrow payments for property taxes and insurance included in its consumer loan collections. The liabilities associated with these escrow collections totaled $14.6 million and $13.1 million as of June 30, 2026 and December 31, 2025, respectively, and are included in escrow liability in the accompanying balance sheets.</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Allowance for Loan Losses—Consumer Loans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analysis of identified loans more than 90 days past due.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Collateral for repossessed loans is acquired through foreclosure or similar proceedings and is recorded at the estimated fair value of the home, less the costs to sell. At repossession, the collateral is recorded at the same amount as the principal balance of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from the consumer loan portfolio totaled $10.7 million and $8.4 million as of June 30, 2026 and December 31, 2025, respectively, and are included in other assets in the accompanying balance sheets.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715" w:name="Tc_OsM-jCYgq065LIAIR-yhIg_6_20"/>
      <w:bookmarkStart w:id="716" w:name="Tc_fGxJsBRN3USVqRULHxS9cQ_6_17"/>
      <w:bookmarkStart w:id="717" w:name="Tc_90yoOtusx06aXxksmaf93w_6_14"/>
      <w:bookmarkStart w:id="718" w:name="Tc_3odg3op9BkSOTihj2wENJw_6_11"/>
      <w:bookmarkStart w:id="719" w:name="Tc_EWYbdcpiS0CFIEEbK4670g_6_8"/>
      <w:bookmarkStart w:id="720" w:name="Tc_XOCIVdBorke5XdThWwx1gw_6_5"/>
      <w:bookmarkStart w:id="721" w:name="Tc_ppiLkqPCjEGAeQKNOGMN1Q_6_2"/>
      <w:bookmarkStart w:id="722" w:name="Tc__ZAWJpG1PUycdYiB9frfqw_6_0"/>
      <w:bookmarkStart w:id="723" w:name="Tc_mDTDJRR4sUujUEdHzlrFbQ_5_6"/>
      <w:bookmarkStart w:id="724" w:name="Tc_bCSA7mWSO02ZNiyD4M24Xg_5_3"/>
      <w:bookmarkStart w:id="725" w:name="Tc_6RLjnEeGIkeXJpxi9NfGWg_5_0"/>
      <w:bookmarkStart w:id="726" w:name="Tc_gZI4cHs0V0yw9DzV8VwV3A_4_3"/>
      <w:bookmarkStart w:id="727" w:name="Tc_816k5MCeMEOFY3kQW4w_dg_4_0"/>
      <w:bookmarkStart w:id="728" w:name="Tc_4GV-TjKFu0CXy5Dfzpuq-w_3_20"/>
      <w:bookmarkStart w:id="729" w:name="Tc_1rGtZ3SWAUy4JptMkw-KUw_3_17"/>
      <w:bookmarkStart w:id="730" w:name="Tc_-ANEEquEKk-W46rPoUG23w_3_14"/>
      <w:bookmarkStart w:id="731" w:name="Tc_ZqJTesQDUU-qsYhOfu-TIQ_3_11"/>
      <w:bookmarkStart w:id="732" w:name="Tc_ImLdIx42ok6Y02v0JycGRg_3_8"/>
      <w:bookmarkStart w:id="733" w:name="Tc_Sr8KKmcFGE2OTq70W_rIVQ_3_5"/>
      <w:bookmarkStart w:id="734" w:name="Tc_Eknvv5_OEEW-NUtgxQkkwA_3_2"/>
      <w:bookmarkStart w:id="735" w:name="Tc_wdG2De6pCkmMA9jjapksTA_3_0"/>
      <w:bookmarkStart w:id="736" w:name="Tc_t38glzfH6EujHMXGu_6QZw_2_23"/>
      <w:bookmarkStart w:id="737" w:name="Tc_SL2yUQRuWkyl_GtS35tLmg_2_20"/>
      <w:bookmarkStart w:id="738" w:name="Tc_P5lmJt7-0kO4db1R8VOrrQ_2_17"/>
      <w:bookmarkStart w:id="739" w:name="Tc__qs8UPbzNEKFetF-Nw_hcQ_2_14"/>
      <w:bookmarkStart w:id="740" w:name="Tc_uGie9kNUCkCjOPPvJhOv3A_2_11"/>
      <w:bookmarkStart w:id="741" w:name="Tc_4IkinfkV_UC1ZJXN-jcMHA_2_8"/>
      <w:bookmarkStart w:id="742" w:name="Tc_aBX5PluzpkyhRVjfjTBo1w_2_5"/>
      <w:bookmarkStart w:id="743" w:name="Tc_WXtvaCLs20ycn8oul1Himg_2_2"/>
      <w:bookmarkStart w:id="744" w:name="Tc_Uk0pSOAx4UGpuXa5Sw2-Ug_1_2"/>
      <w:bookmarkStart w:id="745" w:name="Tc_hUtT1JwETUa36-FSEr1F8g_9_7"/>
      <w:bookmarkStart w:id="746" w:name="Tc_AoDRh56zk0aK_YA0f5JWeA_9_2"/>
      <w:bookmarkStart w:id="747" w:name="Tc_LNz1uraCIke6_le5CGF7tg_9_0"/>
      <w:bookmarkStart w:id="748" w:name="Tc_d1W4oX1m6U6HmtDoZ_Xnpw_8_0"/>
      <w:bookmarkStart w:id="749" w:name="Tc_U2v3w2Ev0EO3G13z13UvcQ_7_0"/>
      <w:bookmarkStart w:id="750" w:name="Tc_V5lqei7f10qwjJDXXIYnrg_6_10"/>
      <w:bookmarkStart w:id="751" w:name="Tc_o9oLTVAKW0GgvP_SF_TdSw_6_0"/>
      <w:bookmarkStart w:id="752" w:name="Tc_C0tKK1JMUkeI13UuTaUsKw_5_7"/>
      <w:bookmarkStart w:id="753" w:name="Tc_7hLYsIcPdEmNo7t5o42_Ug_5_2"/>
      <w:bookmarkStart w:id="754" w:name="Tc_zE3BgN-Jske-sJZID4I0SA_5_0"/>
      <w:bookmarkStart w:id="755" w:name="Tc_IX_rmuxbUUWk46Y8xdwv6w_4_0"/>
      <w:bookmarkStart w:id="756" w:name="Tc_bchpvlOdu02RE05Qs23Z_Q_3_7"/>
      <w:bookmarkStart w:id="757" w:name="Tc_XO79z3PguU6ZFvEbbLKCJg_3_2"/>
      <w:bookmarkStart w:id="758" w:name="Tc_wnoF4PM9nUqI83WMQsp4lA_3_0"/>
      <w:bookmarkStart w:id="759" w:name="Tc_aqG1PgDJ80K9szCDwzwl_w_2_10"/>
      <w:bookmarkStart w:id="760" w:name="Tc_OUaeaBIfvUGpmlT4Ry2kfw_2_7"/>
      <w:bookmarkStart w:id="761" w:name="Tc_b_frjM2AbE-M1OeJe8dG4g_2_5"/>
      <w:bookmarkStart w:id="762" w:name="Tc_KRDZToyeYkORZY88z-dnTQ_2_2"/>
      <w:bookmarkStart w:id="763" w:name="Tc_heD71WjRg02sTaANknDsGQ_1_7"/>
      <w:bookmarkStart w:id="764" w:name="Tc_LAswEhfsh02PBI2-RdX4Xw_1_2"/>
      <w:bookmarkStart w:id="765" w:name="_7c1fb3e6_db8a_4f9d_aea3_75d51c99424b"/>
      <w:bookmarkStart w:id="766" w:name="Tc_Sga7wNo_D0uKkOlJbtk6gQ_6_11"/>
      <w:bookmarkStart w:id="767" w:name="Tc_KEK24HIBck2Skb91B3jcoQ_6_8"/>
      <w:bookmarkStart w:id="768" w:name="Tc_vQAqBLoE2USEzMsz7M4h4w_6_5"/>
      <w:bookmarkStart w:id="769" w:name="Tc_qH8IS7gGtEiI5s9QJHyfsg_6_2"/>
      <w:bookmarkStart w:id="770" w:name="Tc_PxhbHwfMNkOyvR7pILdihQ_6_0"/>
      <w:bookmarkStart w:id="771" w:name="Tc_37K-_Wje7UWU9B5aoVH0Ag_5_0"/>
      <w:bookmarkStart w:id="772" w:name="Tc_Us_UcXR9QkSsBxQwsdAoUw_4_0"/>
      <w:bookmarkStart w:id="773" w:name="Tc_WZYZBITXNEi8YXDpCH21rw_3_11"/>
      <w:bookmarkStart w:id="774" w:name="Tc_7hCA_Brxbk62oCdAI8ATVw_3_8"/>
      <w:bookmarkStart w:id="775" w:name="Tc_ej4kcm4rG060d2-f3pMNBw_3_5"/>
      <w:bookmarkStart w:id="776" w:name="Tc_jlWDMUZP_0-oE2auVR6sBg_3_2"/>
      <w:bookmarkStart w:id="777" w:name="Tc_6qVSiPjj5k2EO3ZjMtaqdQ_3_0"/>
      <w:bookmarkStart w:id="778" w:name="Tc_46gQ1i1FqkeFW2LKeXxVmA_2_11"/>
      <w:bookmarkStart w:id="779" w:name="Tc_io1MHcQIak-JG5y-F43r_g_2_8"/>
      <w:bookmarkStart w:id="780" w:name="Tc_qYV2evwXcECcN674DAX1kQ_2_5"/>
      <w:bookmarkStart w:id="781" w:name="Tc_UjTKuFHR106AUJwqWI40-g_2_2"/>
      <w:bookmarkStart w:id="782" w:name="Tc_Wwh1oH9duUGjnV83_g11FA_1_8"/>
      <w:bookmarkStart w:id="783" w:name="Tc_NqmUcQSZ5E21hJ8i9aDz-A_1_2"/>
      <w:bookmarkStart w:id="784" w:name="_f9360c03_c72b_4d46_801f_8a17f59740c2"/>
      <w:bookmarkStart w:id="785" w:name="Tc_cOnU6D-LBkqCmrqnOC2rOw_6_8"/>
      <w:bookmarkStart w:id="786" w:name="Tc_rBm5_2bVnku-7XS_F40SOQ_6_5"/>
      <w:bookmarkStart w:id="787" w:name="Tc_G8N_SzT78km6QMhc-Ckcjg_6_2"/>
      <w:bookmarkStart w:id="788" w:name="Tc_0aGneBQwH0qNPthxhPqZow_6_0"/>
      <w:bookmarkStart w:id="789" w:name="Tc_x_dJVM2DHUmqJn7spdYKiw_5_0"/>
      <w:bookmarkStart w:id="790" w:name="Tc_6xjsxRrZHEmyzKfdw6sJJA_4_0"/>
      <w:bookmarkStart w:id="791" w:name="Tc_J3WJM-6d_U2xhOUqUwb0ZQ_3_8"/>
      <w:bookmarkStart w:id="792" w:name="Tc_fSM8UKc2fECEqx-ge2zv1w_3_5"/>
      <w:bookmarkStart w:id="793" w:name="Tc_66bti3wme0efL4JHYjUCfw_3_2"/>
      <w:bookmarkStart w:id="794" w:name="Tc__Njrc1AXcE6rfmU61AcVAw_3_0"/>
      <w:bookmarkStart w:id="795" w:name="Tc_-K_pBa1dm0y_zxkgJFyckg_2_8"/>
      <w:bookmarkStart w:id="796" w:name="Tc_qhlGRw2M4EWnVhO4iXNiXw_2_5"/>
      <w:bookmarkStart w:id="797" w:name="Tc_ZHKCu7pQBEmQIpJcc7ET4w_2_2"/>
      <w:bookmarkStart w:id="798" w:name="Tc_cYZUEgnHQU-bqo4mvZblWQ_1_8"/>
      <w:bookmarkStart w:id="799" w:name="Tc_i8yFouVIDE6GqAPt6LBTHQ_1_5"/>
      <w:bookmarkStart w:id="800" w:name="Tc_lhkwBeMOwkSkKnQI4hPM6w_1_2"/>
      <w:bookmarkStart w:id="801" w:name="_cbd7c892_4437_403f_ab13_f8199c9e0f6a"/>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sz w:val="20"/>
        </w:rPr>
        <w:t>Consumer loans receivable, net of allowance for loan losses and deferred financing fees, consists of the following (in thousands):</w:t>
      </w:r>
    </w:p>
    <w:tbl>
      <w:tblPr>
        <w:tblW w:w="8914" w:type="dxa"/>
        <w:jc w:val="left"/>
        <w:tblInd w:w="0" w:type="dxa"/>
        <w:tblLayout w:type="fixed"/>
        <w:tblCellMar>
          <w:top w:w="0" w:type="dxa"/>
          <w:left w:w="0" w:type="dxa"/>
          <w:bottom w:w="0" w:type="dxa"/>
          <w:right w:w="0" w:type="dxa"/>
        </w:tblCellMar>
      </w:tblPr>
      <w:tblGrid>
        <w:gridCol w:w="3526"/>
        <w:gridCol w:w="346"/>
        <w:gridCol w:w="252"/>
        <w:gridCol w:w="933"/>
        <w:gridCol w:w="346"/>
        <w:gridCol w:w="331"/>
        <w:gridCol w:w="1229"/>
        <w:gridCol w:w="346"/>
        <w:gridCol w:w="308"/>
        <w:gridCol w:w="1297"/>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39010" cy="175260"/>
                      <wp:effectExtent l="0" t="0" r="0" b="0"/>
                      <wp:wrapNone/>
                      <wp:docPr id="118" name="Frame11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0020" cy="175260"/>
                      <wp:effectExtent l="0" t="0" r="0" b="0"/>
                      <wp:wrapNone/>
                      <wp:docPr id="120" name="Frame12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2455" cy="175260"/>
                      <wp:effectExtent l="0" t="0" r="0" b="0"/>
                      <wp:wrapNone/>
                      <wp:docPr id="121" name="Frame12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0185" cy="175260"/>
                      <wp:effectExtent l="0" t="0" r="0" b="0"/>
                      <wp:wrapNone/>
                      <wp:docPr id="123" name="Frame12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80415" cy="175260"/>
                      <wp:effectExtent l="0" t="0" r="0" b="0"/>
                      <wp:wrapNone/>
                      <wp:docPr id="124" name="Frame124"/>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5580" cy="175260"/>
                      <wp:effectExtent l="0" t="0" r="0" b="0"/>
                      <wp:wrapNone/>
                      <wp:docPr id="126" name="Frame126"/>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823595" cy="175260"/>
                      <wp:effectExtent l="0" t="0" r="0" b="0"/>
                      <wp:wrapNone/>
                      <wp:docPr id="127" name="Frame127"/>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207,062</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203,601</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177,289</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 net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202,174</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198,814</w:t>
            </w:r>
          </w:p>
        </w:tc>
        <w:tc>
          <w:tcPr>
            <w:tcW w:w="34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174,105</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a detail of the activity in the allowance for loan losses (in thousands): </w:t>
      </w:r>
    </w:p>
    <w:tbl>
      <w:tblPr>
        <w:tblW w:w="8779" w:type="dxa"/>
        <w:jc w:val="left"/>
        <w:tblInd w:w="0" w:type="dxa"/>
        <w:tblLayout w:type="fixed"/>
        <w:tblCellMar>
          <w:top w:w="0" w:type="dxa"/>
          <w:left w:w="0" w:type="dxa"/>
          <w:bottom w:w="0" w:type="dxa"/>
          <w:right w:w="0" w:type="dxa"/>
        </w:tblCellMar>
      </w:tblPr>
      <w:tblGrid>
        <w:gridCol w:w="3901"/>
        <w:gridCol w:w="346"/>
        <w:gridCol w:w="250"/>
        <w:gridCol w:w="677"/>
        <w:gridCol w:w="410"/>
        <w:gridCol w:w="250"/>
        <w:gridCol w:w="677"/>
        <w:gridCol w:w="109"/>
        <w:gridCol w:w="226"/>
        <w:gridCol w:w="612"/>
        <w:gridCol w:w="371"/>
        <w:gridCol w:w="226"/>
        <w:gridCol w:w="724"/>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477135" cy="175260"/>
                      <wp:effectExtent l="0" t="0" r="0" b="0"/>
                      <wp:wrapNone/>
                      <wp:docPr id="128" name="Frame128"/>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8750" cy="175260"/>
                      <wp:effectExtent l="0" t="0" r="0" b="0"/>
                      <wp:wrapNone/>
                      <wp:docPr id="130" name="Frame13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895" cy="175260"/>
                      <wp:effectExtent l="0" t="0" r="0" b="0"/>
                      <wp:wrapNone/>
                      <wp:docPr id="131" name="Frame13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60350" cy="175260"/>
                      <wp:effectExtent l="0" t="0" r="0" b="0"/>
                      <wp:wrapNone/>
                      <wp:docPr id="132" name="Frame132"/>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58750" cy="175260"/>
                      <wp:effectExtent l="0" t="0" r="0" b="0"/>
                      <wp:wrapNone/>
                      <wp:docPr id="133" name="Frame13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895" cy="175260"/>
                      <wp:effectExtent l="0" t="0" r="0" b="0"/>
                      <wp:wrapNone/>
                      <wp:docPr id="134" name="Frame1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3510" cy="175260"/>
                      <wp:effectExtent l="0" t="0" r="0" b="0"/>
                      <wp:wrapNone/>
                      <wp:docPr id="136" name="Frame1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88620" cy="175260"/>
                      <wp:effectExtent l="0" t="0" r="0" b="0"/>
                      <wp:wrapNone/>
                      <wp:docPr id="137" name="Frame13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35585" cy="175260"/>
                      <wp:effectExtent l="0" t="0" r="0" b="0"/>
                      <wp:wrapNone/>
                      <wp:docPr id="138" name="Frame13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3510" cy="175260"/>
                      <wp:effectExtent l="0" t="0" r="0" b="0"/>
                      <wp:wrapNone/>
                      <wp:docPr id="139" name="Frame1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59740" cy="175260"/>
                      <wp:effectExtent l="0" t="0" r="0" b="0"/>
                      <wp:wrapNone/>
                      <wp:docPr id="140" name="Frame14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26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1"/>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1"/>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3,197</w:t>
            </w:r>
          </w:p>
        </w:tc>
        <w:tc>
          <w:tcPr>
            <w:tcW w:w="410"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w:t>
            </w:r>
          </w:p>
        </w:tc>
        <w:tc>
          <w:tcPr>
            <w:tcW w:w="37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410"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7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410"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71"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w:t>
            </w:r>
          </w:p>
        </w:tc>
        <w:tc>
          <w:tcPr>
            <w:tcW w:w="410"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w:t>
            </w:r>
          </w:p>
        </w:tc>
        <w:tc>
          <w:tcPr>
            <w:tcW w:w="371"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1,203</w:t>
            </w:r>
          </w:p>
        </w:tc>
      </w:tr>
    </w:tbl>
    <w:p>
      <w:pPr>
        <w:pStyle w:val="TextBody"/>
        <w:bidi w:val="0"/>
        <w:spacing w:before="0" w:after="20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 detailed aging of consumer loans receivable that are past due is as follows (in thousands): </w:t>
      </w:r>
    </w:p>
    <w:tbl>
      <w:tblPr>
        <w:tblW w:w="7825" w:type="dxa"/>
        <w:jc w:val="left"/>
        <w:tblInd w:w="0" w:type="dxa"/>
        <w:tblLayout w:type="fixed"/>
        <w:tblCellMar>
          <w:top w:w="0" w:type="dxa"/>
          <w:left w:w="0" w:type="dxa"/>
          <w:bottom w:w="0" w:type="dxa"/>
          <w:right w:w="0" w:type="dxa"/>
        </w:tblCellMar>
      </w:tblPr>
      <w:tblGrid>
        <w:gridCol w:w="2746"/>
        <w:gridCol w:w="109"/>
        <w:gridCol w:w="252"/>
        <w:gridCol w:w="933"/>
        <w:gridCol w:w="346"/>
        <w:gridCol w:w="571"/>
        <w:gridCol w:w="346"/>
        <w:gridCol w:w="331"/>
        <w:gridCol w:w="1229"/>
        <w:gridCol w:w="346"/>
        <w:gridCol w:w="6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43710" cy="175260"/>
                      <wp:effectExtent l="0" t="0" r="0" b="0"/>
                      <wp:wrapNone/>
                      <wp:docPr id="141" name="Frame14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0020" cy="175260"/>
                      <wp:effectExtent l="0" t="0" r="0" b="0"/>
                      <wp:wrapNone/>
                      <wp:docPr id="143" name="Frame14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2455" cy="175260"/>
                      <wp:effectExtent l="0" t="0" r="0" b="0"/>
                      <wp:wrapNone/>
                      <wp:docPr id="144" name="Frame14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2585" cy="175260"/>
                      <wp:effectExtent l="0" t="0" r="0" b="0"/>
                      <wp:wrapNone/>
                      <wp:docPr id="146" name="Frame1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0185" cy="175260"/>
                      <wp:effectExtent l="0" t="0" r="0" b="0"/>
                      <wp:wrapNone/>
                      <wp:docPr id="148" name="Frame14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80415" cy="175260"/>
                      <wp:effectExtent l="0" t="0" r="0" b="0"/>
                      <wp:wrapNone/>
                      <wp:docPr id="149" name="Frame149"/>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91160" cy="175260"/>
                      <wp:effectExtent l="0" t="0" r="0" b="0"/>
                      <wp:wrapNone/>
                      <wp:docPr id="151" name="Frame15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0"/>
              <w:ind w:left="0" w:right="0" w:hanging="0"/>
              <w:jc w:val="left"/>
              <w:rPr/>
            </w:pPr>
            <w:r>
              <w:rPr/>
              <w:t>  ​ ​ ​</w:t>
            </w:r>
          </w:p>
        </w:tc>
        <w:tc>
          <w:tcPr>
            <w:tcW w:w="61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207,062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  ​ ​</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203,601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Past due consumer loans: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31 - 60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61 - 90 days past due</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91 - 120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120 days past due</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4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consumer loan portfolio based on the aging status of the loan and by payment activity. Loan delinquency reporting generally is based on borrower payment activity relative to the contractual terms of the loan. The following table disaggregates the outstanding principal balance of consumer loans receivable by credit quality indicator based on delinquency status and fiscal year of origination and is presented as of June 30, 2026 (in thousands): </w:t>
      </w:r>
    </w:p>
    <w:p>
      <w:pPr>
        <w:pStyle w:val="TextBody"/>
        <w:bidi w:val="0"/>
        <w:spacing w:before="0" w:after="0"/>
        <w:ind w:left="0" w:right="0" w:hanging="0"/>
        <w:jc w:val="left"/>
        <w:rPr/>
      </w:pPr>
      <w:r>
        <w:rPr/>
        <w:t>​</w:t>
      </w:r>
    </w:p>
    <w:tbl>
      <w:tblPr>
        <w:tblW w:w="10142"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676"/>
        <w:gridCol w:w="109"/>
        <w:gridCol w:w="211"/>
        <w:gridCol w:w="781"/>
        <w:gridCol w:w="109"/>
        <w:gridCol w:w="203"/>
        <w:gridCol w:w="101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05535" cy="175260"/>
                      <wp:effectExtent l="0" t="0" r="0" b="0"/>
                      <wp:wrapNone/>
                      <wp:docPr id="152" name="Frame15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9260" cy="175260"/>
                      <wp:effectExtent l="0" t="0" r="0" b="0"/>
                      <wp:wrapNone/>
                      <wp:docPr id="155" name="Frame1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58" name="Frame1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8905" cy="175260"/>
                      <wp:effectExtent l="0" t="0" r="0" b="0"/>
                      <wp:wrapNone/>
                      <wp:docPr id="175" name="Frame175"/>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2620" cy="175260"/>
                      <wp:effectExtent l="0" t="0" r="0" b="0"/>
                      <wp:wrapNone/>
                      <wp:docPr id="176" name="Frame176"/>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92"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202,113</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2,882</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46,176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19,456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207,062</w:t>
            </w:r>
          </w:p>
        </w:tc>
        <w:tc>
          <w:tcPr>
            <w:tcW w:w="109"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4. NOTES RECEIVABLE FROM MOBILE HOME PARKS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notes receivable from mobile home parks (“MHP Notes”) relate to manufactured homes sold to mobile home parks and financed through notes receivable. The MHP Notes have varying maturity dates and require monthly principal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02" w:name="Tc_Xd8aS6tA40Op87j_zAtfYQ_6_8"/>
      <w:bookmarkStart w:id="803" w:name="Tc_SK_pyvG4fEaleH_OU-2kRQ_6_5"/>
      <w:bookmarkStart w:id="804" w:name="Tc_BNyUzvaQl0OPKKGvZozTcQ_6_2"/>
      <w:bookmarkStart w:id="805" w:name="Tc_py10z1t88keRVl7-WtXWrA_6_0"/>
      <w:bookmarkStart w:id="806" w:name="Tc_OHBFzG-vAkePR3wHWSb0Vg_5_0"/>
      <w:bookmarkStart w:id="807" w:name="Tc_FcT09p6mbkySFhusjhwbEg_4_0"/>
      <w:bookmarkStart w:id="808" w:name="Tc_pJETF8GauUK4F6VUfouueg_3_8"/>
      <w:bookmarkStart w:id="809" w:name="Tc_fXiPeWxGkEan6EZwcxp_Jw_3_5"/>
      <w:bookmarkStart w:id="810" w:name="Tc_uFDe3nfgoE-1N39GbxtFtA_3_2"/>
      <w:bookmarkStart w:id="811" w:name="Tc_hlvMvwBg6U6Jh8VyJWggtg_3_0"/>
      <w:bookmarkStart w:id="812" w:name="Tc_8qCSWABH40uZqIQYUf_CuQ_2_8"/>
      <w:bookmarkStart w:id="813" w:name="Tc_XTMltraV60OW-CviUvh4fA_2_5"/>
      <w:bookmarkStart w:id="814" w:name="Tc_AKlGGdhpEk-bQBdXs27dUA_2_2"/>
      <w:bookmarkStart w:id="815" w:name="Tc_aHBiMYoKOUi4am3YBnFnmw_1_8"/>
      <w:bookmarkStart w:id="816" w:name="Tc_bjFoAgw46k-L0RbzLo3o4A_1_5"/>
      <w:bookmarkStart w:id="817" w:name="Tc_Hl5ABqh0n0ip_vY2EIVsFg_1_2"/>
      <w:bookmarkStart w:id="818" w:name="_ac795efc_ed59_4525_849e_12ffde17a086"/>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sz w:val="20"/>
        </w:rPr>
        <w:t>and interest payments. The interest rate on the MHP Notes can be fixed or variable, and the interest rates range from 4.9% to 17.5%. The average interest rate per loan was approximately 8.3% as of June 30, 2026 and 8.1% as of December 31, 2025, with maturities that range from 1 to 10 years. The collateral underlying the MHP Notes are individual manufactured homes which can be repossessed and resold. The MHP Notes are generally personally guaranteed by borrowers.</w:t>
      </w:r>
    </w:p>
    <w:p>
      <w:pPr>
        <w:pStyle w:val="TextBody"/>
        <w:bidi w:val="0"/>
        <w:spacing w:before="0" w:after="0"/>
        <w:ind w:left="0" w:right="0" w:firstLine="36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2026, the Company had concentrations of MHP Notes with three independent third parties and their respective affiliates that equated to 23.0%, 10.4%, and 7.0% of the principal balance outstanding, all of which were secured by the manufactured homes. As of December 31, 2025, the Company had concentrations of MHP Notes with three independent third-parties and their respective affiliates that equated to 24.7%, 9.6%, and 7.4% of the principal balance outstanding, all of which were secured by the manufactured homes.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June 30, 2026 and December 31, 2025, the MHP Notes balance is presented net of unamortized finance fees of $1.1 million and $1.1 million, respectively. The finance fees are amortized over the life of the MHP Notes. As of June 30, 2026, there were past due balances of $0.4 million on MHP Notes. As of December 31, 2025, there were past due balances of $0.6 million on the MHP Notes.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Settlement Agreement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2024, the Company and various borrowers and guarantors (the “Makers”) entered into a Settlement Agreement and Release (the “Agreement”) to resolve disputes related to previously existing promissory notes with an aggregate principal balance of approximately $55.0 million, of which approximately $37.0 million had been accelerated following default. As consideration under the Agreement, the Makers conveyed to the Company clear title to the Forest Hollow Mobile Home Community in Beaumont, Texas and the Cleveland Mobile Home Community in Richland, Mississippi, together with related personal property and intangible assets, and the parties executed a new $48.6 million promissory note (the “New Note”) bearing a fixed interest rate of 7.9%, requiring monthly interest-only payments for twenty-four months and maturing in July 2026. The New Note is secured by a first-priority interest in more than 1,000 manufactured homes and two mobile-home parks located in Louisiana and is personally guaranteed by the individual borrowers.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 Company evaluated the recoverability of the New Note and, based on an analysis of the fair value of the underlying collateral, the current payment status of the borrowers, and other relevant credit quality indicators, determined that a provision for expected loan losses on the New Note was not necessary as of that date. The New Note matured in July 2026 and was not repaid in full at maturity. Subsequent to June 30, 2026, the Company received a principal reduction payment of $2.0 million and agreed with the borrowers to a forbearance and modification of the New Note, including additional collateral and an increased personal guaranty. See Note 17 — Subsequent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Notes receivable from mobile home parks, net of allowance for loan losses and deferred financing fees, consisted of the following (in thousands): </w:t>
      </w:r>
    </w:p>
    <w:tbl>
      <w:tblPr>
        <w:tblW w:w="8158" w:type="dxa"/>
        <w:jc w:val="left"/>
        <w:tblInd w:w="0" w:type="dxa"/>
        <w:tblLayout w:type="fixed"/>
        <w:tblCellMar>
          <w:top w:w="0" w:type="dxa"/>
          <w:left w:w="0" w:type="dxa"/>
          <w:bottom w:w="0" w:type="dxa"/>
          <w:right w:w="0" w:type="dxa"/>
        </w:tblCellMar>
      </w:tblPr>
      <w:tblGrid>
        <w:gridCol w:w="3526"/>
        <w:gridCol w:w="109"/>
        <w:gridCol w:w="242"/>
        <w:gridCol w:w="898"/>
        <w:gridCol w:w="109"/>
        <w:gridCol w:w="331"/>
        <w:gridCol w:w="1229"/>
        <w:gridCol w:w="109"/>
        <w:gridCol w:w="308"/>
        <w:gridCol w:w="1297"/>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39010" cy="175260"/>
                      <wp:effectExtent l="0" t="0" r="0" b="0"/>
                      <wp:wrapNone/>
                      <wp:docPr id="177" name="Frame177"/>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3670" cy="175260"/>
                      <wp:effectExtent l="0" t="0" r="0" b="0"/>
                      <wp:wrapNone/>
                      <wp:docPr id="179" name="Frame17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70230" cy="175260"/>
                      <wp:effectExtent l="0" t="0" r="0" b="0"/>
                      <wp:wrapNone/>
                      <wp:docPr id="180" name="Frame18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0185" cy="175260"/>
                      <wp:effectExtent l="0" t="0" r="0" b="0"/>
                      <wp:wrapNone/>
                      <wp:docPr id="182" name="Frame18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80415" cy="175260"/>
                      <wp:effectExtent l="0" t="0" r="0" b="0"/>
                      <wp:wrapNone/>
                      <wp:docPr id="183" name="Frame183"/>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95580" cy="175260"/>
                      <wp:effectExtent l="0" t="0" r="0" b="0"/>
                      <wp:wrapNone/>
                      <wp:docPr id="185" name="Frame185"/>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23595" cy="175260"/>
                      <wp:effectExtent l="0" t="0" r="0" b="0"/>
                      <wp:wrapNone/>
                      <wp:docPr id="186" name="Frame186"/>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211,509</w:t>
            </w:r>
          </w:p>
        </w:tc>
        <w:tc>
          <w:tcPr>
            <w:tcW w:w="109"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199,083</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208,175</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109"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109" w:type="dxa"/>
            <w:tcBorders/>
            <w:shd w:fill="CCEEFF" w:val="clear"/>
            <w:vAlign w:val="center"/>
          </w:tcPr>
          <w:p>
            <w:pPr>
              <w:pStyle w:val="TableContents"/>
              <w:bidi w:val="0"/>
              <w:spacing w:before="0" w:after="0"/>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209,017</w:t>
            </w:r>
          </w:p>
        </w:tc>
        <w:tc>
          <w:tcPr>
            <w:tcW w:w="109" w:type="dxa"/>
            <w:tcBorders/>
            <w:vAlign w:val="center"/>
          </w:tcPr>
          <w:p>
            <w:pPr>
              <w:pStyle w:val="TableContents"/>
              <w:bidi w:val="0"/>
              <w:spacing w:before="0" w:after="0"/>
              <w:ind w:left="0" w:right="0" w:hanging="0"/>
              <w:jc w:val="righ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196,538</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206,464</w:t>
            </w:r>
          </w:p>
        </w:tc>
      </w:tr>
    </w:tbl>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819" w:name="Tc_tHyq3z85-UKrLRscpNOQdg_6_20"/>
      <w:bookmarkStart w:id="820" w:name="Tc_jeV03zfwXU25khvcXu6vPQ_6_17"/>
      <w:bookmarkStart w:id="821" w:name="Tc_SNk3HKMyKUu7Q89RRsuNbg_6_14"/>
      <w:bookmarkStart w:id="822" w:name="Tc_eVbWjYAHAkC-sz-yO1gZHg_6_11"/>
      <w:bookmarkStart w:id="823" w:name="Tc_vzkq1jZn90aWhshcj_fdSg_6_8"/>
      <w:bookmarkStart w:id="824" w:name="Tc_hjrl8PyksU6aOQrGq7yh0A_6_5"/>
      <w:bookmarkStart w:id="825" w:name="Tc_HSDamNBkaEmNCQ75QbBcPg_6_2"/>
      <w:bookmarkStart w:id="826" w:name="Tc_zHJoB1M33kOThNmaP4EL-A_6_0"/>
      <w:bookmarkStart w:id="827" w:name="Tc_b-0L2Cp4lkmi0fI7BonaLw_5_15"/>
      <w:bookmarkStart w:id="828" w:name="Tc_OTzO2UHnEU2hBiK0__qGjQ_5_0"/>
      <w:bookmarkStart w:id="829" w:name="Tc_hfE3d_b3MEexUjnFrOTEDA_4_18"/>
      <w:bookmarkStart w:id="830" w:name="Tc_I2sTG5FkZUqLbd9Y8olmrw_4_12"/>
      <w:bookmarkStart w:id="831" w:name="Tc_Kq8MiLmivkiKRMGMLlHfkQ_4_3"/>
      <w:bookmarkStart w:id="832" w:name="Tc_gwagjpkRmEGKUtOkGzTo6g_4_0"/>
      <w:bookmarkStart w:id="833" w:name="Tc_0vIWt6FdkUywGE9yEpV6jw_3_20"/>
      <w:bookmarkStart w:id="834" w:name="Tc_-1pYMk6s5E6lBa_QE2UAXg_3_17"/>
      <w:bookmarkStart w:id="835" w:name="Tc_qfn42Ieo4UiocX58XUKYQw_3_14"/>
      <w:bookmarkStart w:id="836" w:name="Tc_3gMseUms4kmFB7G_fVDing_3_11"/>
      <w:bookmarkStart w:id="837" w:name="Tc_wMqIigq4dkmcES0QdthXnA_3_8"/>
      <w:bookmarkStart w:id="838" w:name="Tc__9fkReqxdkeoVp4nYxApjA_3_5"/>
      <w:bookmarkStart w:id="839" w:name="Tc_jhWB-dTxpU6VxGkpNYJolw_3_2"/>
      <w:bookmarkStart w:id="840" w:name="Tc_8pxZ1jFpG0COkDOP7XKv6Q_3_0"/>
      <w:bookmarkStart w:id="841" w:name="Tc_kyvZIwx7GkOQ4d1uNZlKrw_2_23"/>
      <w:bookmarkStart w:id="842" w:name="Tc_MFLGNIW-QUSpO28OPGL_vQ_2_20"/>
      <w:bookmarkStart w:id="843" w:name="Tc_hc_wuCJji0-zlJbo0p_oIA_2_17"/>
      <w:bookmarkStart w:id="844" w:name="Tc_BTGHT2AcuEicn6J79IUaZw_2_14"/>
      <w:bookmarkStart w:id="845" w:name="Tc_YD39pUi_AEmcUDsMIO0MaA_2_11"/>
      <w:bookmarkStart w:id="846" w:name="Tc_AIF2465GQEWH5I7gNKWM0A_2_8"/>
      <w:bookmarkStart w:id="847" w:name="Tc_C3VUFlunBUGdP7D_lLIicA_2_5"/>
      <w:bookmarkStart w:id="848" w:name="Tc_7oVgt-FeBUqmqCoTZcZmMQ_2_2"/>
      <w:bookmarkStart w:id="849" w:name="Tc_i__4bW0Y70eoV2x4BitcWg_1_2"/>
      <w:bookmarkStart w:id="850" w:name="Tc_n0swApZHzkyLl8yHj-IWOw_6_12"/>
      <w:bookmarkStart w:id="851" w:name="Tc_fS047ORs9UegYauUZnnN6A_6_9"/>
      <w:bookmarkStart w:id="852" w:name="Tc_VZPQxzJG10OeZkIXPmBWLA_6_5"/>
      <w:bookmarkStart w:id="853" w:name="Tc__gxbznFwuUOY03OOY_8gXA_6_2"/>
      <w:bookmarkStart w:id="854" w:name="Tc_197GyCvau0m-gIoP2R08EQ_6_0"/>
      <w:bookmarkStart w:id="855" w:name="Tc_ComSO2CvKUiphzspibIhDw_5_0"/>
      <w:bookmarkStart w:id="856" w:name="Tc_Mmwy6pwUGE2yptcYgh2s5w_4_12"/>
      <w:bookmarkStart w:id="857" w:name="Tc_UYAoxWiOpEeSuOL6pYPwHQ_4_9"/>
      <w:bookmarkStart w:id="858" w:name="Tc_SUoOfIvNIkqSw5ibSLRbMw_4_5"/>
      <w:bookmarkStart w:id="859" w:name="Tc_ImN9-GhaX0mITIfi9vh14g_4_2"/>
      <w:bookmarkStart w:id="860" w:name="Tc_C4EZiDyj20qlKUYEFfo4dA_4_0"/>
      <w:bookmarkStart w:id="861" w:name="Tc_HtbgjdaA_k-hq0vWF7Xw2A_3_12"/>
      <w:bookmarkStart w:id="862" w:name="Tc_ruBM45w2u0WkkD58DyQhUw_3_9"/>
      <w:bookmarkStart w:id="863" w:name="Tc_iEDSw_GdakGYbEraIrhI5g_3_5"/>
      <w:bookmarkStart w:id="864" w:name="Tc_MHBLOTziu0WS1b9DwmutCQ_3_2"/>
      <w:bookmarkStart w:id="865" w:name="Tc_Om3lfQzoh0Wo-E3vn9wfSw_2_9"/>
      <w:bookmarkStart w:id="866" w:name="Tc_HY11IM5ESkSudmDsTVfBUw_2_2"/>
      <w:bookmarkStart w:id="867" w:name="Tc_XXU778mHGky8x_BRkoYXhg_1_9"/>
      <w:bookmarkStart w:id="868" w:name="Tc_AVGeoaPugkKdRw02ffj0LQ_1_2"/>
      <w:bookmarkStart w:id="869" w:name="_0142c7be_2f28_40f2_9523_450047727dbe"/>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sz w:val="20"/>
        </w:rPr>
        <w:t xml:space="preserve">The following table presents a detail of the activity in the allowance for loan losses (in thousands): </w:t>
      </w:r>
    </w:p>
    <w:tbl>
      <w:tblPr>
        <w:tblW w:w="7459" w:type="dxa"/>
        <w:jc w:val="left"/>
        <w:tblInd w:w="0" w:type="dxa"/>
        <w:tblLayout w:type="fixed"/>
        <w:tblCellMar>
          <w:top w:w="0" w:type="dxa"/>
          <w:left w:w="0" w:type="dxa"/>
          <w:bottom w:w="0" w:type="dxa"/>
          <w:right w:w="0" w:type="dxa"/>
        </w:tblCellMar>
      </w:tblPr>
      <w:tblGrid>
        <w:gridCol w:w="3901"/>
        <w:gridCol w:w="109"/>
        <w:gridCol w:w="222"/>
        <w:gridCol w:w="602"/>
        <w:gridCol w:w="114"/>
        <w:gridCol w:w="222"/>
        <w:gridCol w:w="443"/>
        <w:gridCol w:w="109"/>
        <w:gridCol w:w="109"/>
        <w:gridCol w:w="211"/>
        <w:gridCol w:w="571"/>
        <w:gridCol w:w="109"/>
        <w:gridCol w:w="211"/>
        <w:gridCol w:w="52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77135" cy="175260"/>
                      <wp:effectExtent l="0" t="0" r="0" b="0"/>
                      <wp:wrapNone/>
                      <wp:docPr id="187" name="Frame187"/>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0970" cy="175260"/>
                      <wp:effectExtent l="0" t="0" r="0" b="0"/>
                      <wp:wrapNone/>
                      <wp:docPr id="189" name="Frame18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82270" cy="175260"/>
                      <wp:effectExtent l="0" t="0" r="0" b="0"/>
                      <wp:wrapNone/>
                      <wp:docPr id="190" name="Frame190"/>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2390" cy="175260"/>
                      <wp:effectExtent l="0" t="0" r="0" b="0"/>
                      <wp:wrapNone/>
                      <wp:docPr id="191" name="Frame191"/>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0970" cy="175260"/>
                      <wp:effectExtent l="0" t="0" r="0" b="0"/>
                      <wp:wrapNone/>
                      <wp:docPr id="192" name="Frame19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81305" cy="175260"/>
                      <wp:effectExtent l="0" t="0" r="0" b="0"/>
                      <wp:wrapNone/>
                      <wp:docPr id="193" name="Frame193"/>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62585" cy="175260"/>
                      <wp:effectExtent l="0" t="0" r="0" b="0"/>
                      <wp:wrapNone/>
                      <wp:docPr id="197"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34010" cy="175260"/>
                      <wp:effectExtent l="0" t="0" r="0" b="0"/>
                      <wp:wrapNone/>
                      <wp:docPr id="200" name="Frame20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2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2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4" w:type="dxa"/>
            <w:tcBorders/>
            <w:vAlign w:val="center"/>
          </w:tcPr>
          <w:p>
            <w:pPr>
              <w:pStyle w:val="TableContents"/>
              <w:bidi w:val="0"/>
              <w:spacing w:before="0" w:after="1"/>
              <w:ind w:left="0" w:right="0" w:hanging="0"/>
              <w:jc w:val="left"/>
              <w:rPr/>
            </w:pPr>
            <w:r>
              <w:rPr/>
              <w:t>​</w:t>
            </w:r>
          </w:p>
        </w:tc>
        <w:tc>
          <w:tcPr>
            <w:tcW w:w="6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c>
          <w:tcPr>
            <w:tcW w:w="114"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14"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w:t>
            </w:r>
          </w:p>
        </w:tc>
        <w:tc>
          <w:tcPr>
            <w:tcW w:w="114"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900</w:t>
            </w:r>
          </w:p>
        </w:tc>
      </w:tr>
    </w:tbl>
    <w:p>
      <w:pPr>
        <w:pStyle w:val="TextBody"/>
        <w:bidi w:val="0"/>
        <w:spacing w:before="0" w:after="20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 and is presented as of June 30, 2026 (in thousands): </w:t>
      </w:r>
    </w:p>
    <w:p>
      <w:pPr>
        <w:pStyle w:val="TextBody"/>
        <w:bidi w:val="0"/>
        <w:spacing w:before="0" w:after="200"/>
        <w:ind w:left="0" w:right="0" w:firstLine="720"/>
        <w:jc w:val="left"/>
        <w:rPr/>
      </w:pPr>
      <w:r>
        <w:rPr/>
        <w:t>​</w:t>
      </w:r>
    </w:p>
    <w:tbl>
      <w:tblPr>
        <w:tblW w:w="10142"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676"/>
        <w:gridCol w:w="109"/>
        <w:gridCol w:w="211"/>
        <w:gridCol w:w="781"/>
        <w:gridCol w:w="109"/>
        <w:gridCol w:w="203"/>
        <w:gridCol w:w="101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05535" cy="175260"/>
                      <wp:effectExtent l="0" t="0" r="0" b="0"/>
                      <wp:wrapNone/>
                      <wp:docPr id="201" name="Frame20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7" name="Frame2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10" name="Frame2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29260" cy="175260"/>
                      <wp:effectExtent l="0" t="0" r="0" b="0"/>
                      <wp:wrapNone/>
                      <wp:docPr id="213"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260"/>
                      <wp:effectExtent l="0" t="0" r="0" b="0"/>
                      <wp:wrapNone/>
                      <wp:docPr id="222" name="Frame2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8905" cy="175260"/>
                      <wp:effectExtent l="0" t="0" r="0" b="0"/>
                      <wp:wrapNone/>
                      <wp:docPr id="224" name="Frame22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2620" cy="175260"/>
                      <wp:effectExtent l="0" t="0" r="0" b="0"/>
                      <wp:wrapNone/>
                      <wp:docPr id="225" name="Frame225"/>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92"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204,590</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3,853</w:t>
            </w:r>
          </w:p>
        </w:tc>
        <w:tc>
          <w:tcPr>
            <w:tcW w:w="109"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3,066</w:t>
            </w:r>
          </w:p>
        </w:tc>
        <w:tc>
          <w:tcPr>
            <w:tcW w:w="109"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38,044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60,320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73,437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17,631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211,509</w:t>
            </w:r>
          </w:p>
        </w:tc>
        <w:tc>
          <w:tcPr>
            <w:tcW w:w="109"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5. OTHER NOTES RECEIVABLE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notes receivable relate to notes issued to mobile home park owners and dealers and are not directly tied to the sale of manufactured homes. These other notes have varying maturity dates and generally require monthly principal and interest payments. They are collateralized by mortgages on real estate, manufactured homes that we have financed for which the borrower uses as offices, as well as vehicles. These notes typically are personally guaranteed by the borrowers. The interest rates on the other notes generally are fixed and range from 5.0% to 17.5%. The Company reserves for estimated losses on the other notes based on current economic conditions that may affect the borrower’s ability to pay, the borrower’s financial strength, and historical loss experience.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2026, the Company had concentrations of other notes receivable with three independent third-parties and their respective affiliates that equated to 19.2%, 18.1%, and 17.1% of the principal balance outstanding, all of which were secured by the manufactured homes. As of December 31, 2025, the Company had concentrations of other notes receivable with three independent third-parties and their respective affiliates that equated to 54.9%, 10.6%, and 9.2% of the principal balance outstanding, all of which were secured by the manufactured homes.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and December 31, 2025 there were past due balances of $0.2 million on other notes.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and six months ended June 30, 2026 and 2025, there were no charge offs recorded for other notes. Allowance for loan loss for the other notes was $0.2 million as of June 30, 2026 and December 31, 2025. As of June 30, 2026 and December 31, 2025, the impaired balance of other notes was $0.1 million. Collateral for repossessed loans is acquired through foreclosure or similar proceedings and is recorded at the estimated fair value of the home, less the costs to sell.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870" w:name="Tc_uf4_Egb020-qQC5YYxfIlg_6_20"/>
      <w:bookmarkStart w:id="871" w:name="Tc_CRE8epBabE-rl9BIb76P_Q_6_17"/>
      <w:bookmarkStart w:id="872" w:name="Tc_J6gdRIZXU02LSu4jH5jbgA_6_15"/>
      <w:bookmarkStart w:id="873" w:name="Tc_DYwkNF2ExEOeMb1304fVoQ_6_14"/>
      <w:bookmarkStart w:id="874" w:name="Tc_Fvf-ieIhaUa1ouQkV9A-jg_6_11"/>
      <w:bookmarkStart w:id="875" w:name="Tc_g2R_r7O1P02_NpJfNneTOw_6_8"/>
      <w:bookmarkStart w:id="876" w:name="Tc_4xUscMfRo0CZiZpxM1AHqw_6_5"/>
      <w:bookmarkStart w:id="877" w:name="Tc_vE8lnaqJckSina23J6E3Aw_6_2"/>
      <w:bookmarkStart w:id="878" w:name="Tc_Sx5OD2JFhUSiR1bskkf7VA_6_0"/>
      <w:bookmarkStart w:id="879" w:name="Tc_iZvm3hJvHkmy6JkCk4GlEA_5_18"/>
      <w:bookmarkStart w:id="880" w:name="Tc_1ApzNifXZ0CA-dvDrtGNng_5_15"/>
      <w:bookmarkStart w:id="881" w:name="Tc_piDp7lwBvE-lYa8m6-Jcqw_5_9"/>
      <w:bookmarkStart w:id="882" w:name="Tc_X0ioFZ3slE2KmBMym2fjBA_5_3"/>
      <w:bookmarkStart w:id="883" w:name="Tc_LlMyH3Ousk-KZa4tkAaeRA_5_0"/>
      <w:bookmarkStart w:id="884" w:name="Tc_mXG9xJ5zGEK_YPpLtHjU_A_4_24"/>
      <w:bookmarkStart w:id="885" w:name="Tc_okCQ5-I0XE656a3JGTI3wQ_4_21"/>
      <w:bookmarkStart w:id="886" w:name="Tc_xlixPluDQkeZIHKD2M9Rrw_4_18"/>
      <w:bookmarkStart w:id="887" w:name="Tc_PCFSfLGjvEuYSEDaxM6aCA_4_15"/>
      <w:bookmarkStart w:id="888" w:name="Tc_fF7rO8c4CE-roYbvkhnQeQ_4_12"/>
      <w:bookmarkStart w:id="889" w:name="Tc_WzOxKZ-idEeGcvSXdK8qcQ_4_9"/>
      <w:bookmarkStart w:id="890" w:name="Tc_jzTen6ThJ0WWh7HH75ZYWw_4_6"/>
      <w:bookmarkStart w:id="891" w:name="Tc_mUe_JomlOk6H3fosAD2DAg_4_3"/>
      <w:bookmarkStart w:id="892" w:name="Tc_dIgUh9ojT0CGtMQEOP6Srw_4_0"/>
      <w:bookmarkStart w:id="893" w:name="Tc_KopXqpMf9ku1TbtONpkn3Q_3_20"/>
      <w:bookmarkStart w:id="894" w:name="Tc_Dlr7SbQ_EkCLO0RCUs5eGQ_3_17"/>
      <w:bookmarkStart w:id="895" w:name="Tc_rafvxPZOA0ytUp3j5gzCFA_3_15"/>
      <w:bookmarkStart w:id="896" w:name="Tc_35g50VBUEU-5CamOtD2TJg_3_14"/>
      <w:bookmarkStart w:id="897" w:name="Tc_mhvm7jq8f0ia7RU70CWkZQ_3_11"/>
      <w:bookmarkStart w:id="898" w:name="Tc_vloBlDc0ukys01AaYanItg_3_8"/>
      <w:bookmarkStart w:id="899" w:name="Tc_9Vqh_kIcLECc0r0U9mhbuA_3_5"/>
      <w:bookmarkStart w:id="900" w:name="Tc__w6-hdt_vUuo3tjkxRS7vw_3_2"/>
      <w:bookmarkStart w:id="901" w:name="Tc_nHy4nPzWnkKTUuHOVj9zQA_3_0"/>
      <w:bookmarkStart w:id="902" w:name="Tc_lfarZASgb0OwVRgY9Fi4zw_2_23"/>
      <w:bookmarkStart w:id="903" w:name="Tc_qIR1MRywuEa09w2OL5OjYg_2_20"/>
      <w:bookmarkStart w:id="904" w:name="Tc_30XGL7Yg90uwhJaUQ-c-8Q_2_17"/>
      <w:bookmarkStart w:id="905" w:name="Tc_AtlhSWyhz0iSt6xJWD9PFg_2_14"/>
      <w:bookmarkStart w:id="906" w:name="Tc_FuocRR7YZUKSpxZ0f7JqRw_2_11"/>
      <w:bookmarkStart w:id="907" w:name="Tc_Q4QoZAo9Q0m8Eirbm8cXog_2_8"/>
      <w:bookmarkStart w:id="908" w:name="Tc_r-OkmnBzM0eMHJtvWdc4Hw_2_5"/>
      <w:bookmarkStart w:id="909" w:name="Tc_J37ncFNfe0yuBHYTq8X4ow_2_2"/>
      <w:bookmarkStart w:id="910" w:name="Tc_Y2ihB6l58UG6S9zjR3wcVg_1_2"/>
      <w:bookmarkStart w:id="911" w:name="Tc_tTqg7aOsJUyMdnZ9Oa1Igw_6_11"/>
      <w:bookmarkStart w:id="912" w:name="Tc_exV64OEBukqMgjuuqtbGfw_6_8"/>
      <w:bookmarkStart w:id="913" w:name="Tc_IoZUFjNik0OL959rlkO3uA_6_5"/>
      <w:bookmarkStart w:id="914" w:name="Tc_paxt5hAop0-aCiQiZDkLog_6_2"/>
      <w:bookmarkStart w:id="915" w:name="Tc_He8MZGxKnU2KpIcVlv7oqQ_6_0"/>
      <w:bookmarkStart w:id="916" w:name="Tc_hZTkbmrKsUe7EqmOnxUyhA_5_0"/>
      <w:bookmarkStart w:id="917" w:name="Tc_9cw95Wxh3UGP_i9OFLwazw_4_11"/>
      <w:bookmarkStart w:id="918" w:name="Tc_Pnaw2O1-nEyZx1fbiaqaqw_4_8"/>
      <w:bookmarkStart w:id="919" w:name="Tc_iXzRz-hvUkyw_HJQkMYTVA_4_5"/>
      <w:bookmarkStart w:id="920" w:name="Tc_maDo9blCZEGA3ZxIz4CBUg_4_2"/>
      <w:bookmarkStart w:id="921" w:name="Tc_0xt84me2AEqhmGYVO4Mjhw_4_0"/>
      <w:bookmarkStart w:id="922" w:name="Tc_1qgcNBg4z0KoL6w9ykkccg_3_11"/>
      <w:bookmarkStart w:id="923" w:name="Tc_6B_aE0MiQE6Dea4QogyMPw_3_8"/>
      <w:bookmarkStart w:id="924" w:name="Tc_6ZlgWg8mLEWDgcJ0Xwt3RA_3_5"/>
      <w:bookmarkStart w:id="925" w:name="Tc_OFovTL8Er0K9Gh-VT7zDRw_3_2"/>
      <w:bookmarkStart w:id="926" w:name="Tc_nAqyKCmRvkKR2i9h2DwCpw_2_8"/>
      <w:bookmarkStart w:id="927" w:name="Tc_vN41haY11Ui35NLtKYwKuQ_2_2"/>
      <w:bookmarkStart w:id="928" w:name="Tc_lvTt9cU_IEGfqUyEZgZRig_1_8"/>
      <w:bookmarkStart w:id="929" w:name="Tc_FH8NXZGnnE2blXAOxJrULw_1_2"/>
      <w:bookmarkStart w:id="930" w:name="Tc__eRwFhq7Sk2CNHYSpsShFw_6_8"/>
      <w:bookmarkStart w:id="931" w:name="Tc_Cu6vm-rQH0O-aT98wyvIFQ_6_5"/>
      <w:bookmarkStart w:id="932" w:name="Tc_lKh4OLvr20eZCt3xVazDYQ_6_2"/>
      <w:bookmarkStart w:id="933" w:name="Tc_LYFIMkGX5Uel3bKwMcAyiw_6_0"/>
      <w:bookmarkStart w:id="934" w:name="Tc_P2IeSrR2dkyfmUY0C73ePg_5_0"/>
      <w:bookmarkStart w:id="935" w:name="Tc_OT1H3wyxjU6e5idBay63KA_4_0"/>
      <w:bookmarkStart w:id="936" w:name="Tc_xn_HaS9-BUyWFwM9V3jzAg_3_8"/>
      <w:bookmarkStart w:id="937" w:name="Tc_ABRuouevVEmpsYvVFxS1Ng_3_5"/>
      <w:bookmarkStart w:id="938" w:name="Tc_YS1ruKxA1kWxHsak3xJ22g_3_2"/>
      <w:bookmarkStart w:id="939" w:name="Tc_884P-9hsDkC6Jar_pzpeXw_3_0"/>
      <w:bookmarkStart w:id="940" w:name="Tc_DUqyM9zEEE-CICNtucy5ng_2_8"/>
      <w:bookmarkStart w:id="941" w:name="Tc_LaHOG0wmbEqE0YDIKGzTZg_2_5"/>
      <w:bookmarkStart w:id="942" w:name="Tc_IRM2rQmh1kCpp6J2wZgwbA_2_2"/>
      <w:bookmarkStart w:id="943" w:name="Tc_c4-UdFec6ke9X9TzorCo4Q_1_8"/>
      <w:bookmarkStart w:id="944" w:name="Tc_r023BdJHvE2YedHx-t4vFw_1_5"/>
      <w:bookmarkStart w:id="945" w:name="Tc_I2YdZKNgz0W3lzUiG7FEpw_1_2"/>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r>
        <w:rPr>
          <w:rFonts w:ascii="Times New Roman;Times;serif" w:hAnsi="Times New Roman;Times;serif"/>
          <w:sz w:val="20"/>
        </w:rPr>
        <w:t xml:space="preserve">Other notes receivable, net of allowance for loan losses and deferred financing fees, consisted of the following (in thousands): </w:t>
      </w:r>
    </w:p>
    <w:p>
      <w:pPr>
        <w:pStyle w:val="TextBody"/>
        <w:bidi w:val="0"/>
        <w:spacing w:before="0" w:after="0"/>
        <w:ind w:left="0" w:right="0" w:hanging="0"/>
        <w:jc w:val="left"/>
        <w:rPr/>
      </w:pPr>
      <w:r>
        <w:rPr/>
        <w:t>​</w:t>
      </w:r>
    </w:p>
    <w:tbl>
      <w:tblPr>
        <w:tblW w:w="8677" w:type="dxa"/>
        <w:jc w:val="left"/>
        <w:tblInd w:w="0" w:type="dxa"/>
        <w:tblLayout w:type="fixed"/>
        <w:tblCellMar>
          <w:top w:w="0" w:type="dxa"/>
          <w:left w:w="0" w:type="dxa"/>
          <w:bottom w:w="0" w:type="dxa"/>
          <w:right w:w="0" w:type="dxa"/>
        </w:tblCellMar>
      </w:tblPr>
      <w:tblGrid>
        <w:gridCol w:w="3526"/>
        <w:gridCol w:w="346"/>
        <w:gridCol w:w="320"/>
        <w:gridCol w:w="865"/>
        <w:gridCol w:w="109"/>
        <w:gridCol w:w="420"/>
        <w:gridCol w:w="1140"/>
        <w:gridCol w:w="346"/>
        <w:gridCol w:w="341"/>
        <w:gridCol w:w="1264"/>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239010" cy="175260"/>
                      <wp:effectExtent l="0" t="0" r="0" b="0"/>
                      <wp:wrapNone/>
                      <wp:docPr id="226" name="Frame226"/>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3200" cy="175260"/>
                      <wp:effectExtent l="0" t="0" r="0" b="0"/>
                      <wp:wrapNone/>
                      <wp:docPr id="228" name="Frame22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49275" cy="175260"/>
                      <wp:effectExtent l="0" t="0" r="0" b="0"/>
                      <wp:wrapNone/>
                      <wp:docPr id="229" name="Frame229"/>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66700" cy="175260"/>
                      <wp:effectExtent l="0" t="0" r="0" b="0"/>
                      <wp:wrapNone/>
                      <wp:docPr id="231" name="Frame23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23900" cy="175260"/>
                      <wp:effectExtent l="0" t="0" r="0" b="0"/>
                      <wp:wrapNone/>
                      <wp:docPr id="232" name="Frame232"/>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6535" cy="175260"/>
                      <wp:effectExtent l="0" t="0" r="0" b="0"/>
                      <wp:wrapNone/>
                      <wp:docPr id="234" name="Frame23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802640" cy="175260"/>
                      <wp:effectExtent l="0" t="0" r="0" b="0"/>
                      <wp:wrapNone/>
                      <wp:docPr id="235" name="Frame235"/>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15,412</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14,916</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a detail of the activity in the allowance for loan losses (in thousands): </w:t>
      </w:r>
    </w:p>
    <w:p>
      <w:pPr>
        <w:pStyle w:val="TextBody"/>
        <w:bidi w:val="0"/>
        <w:spacing w:before="0" w:after="0"/>
        <w:ind w:left="0" w:right="0" w:hanging="0"/>
        <w:jc w:val="left"/>
        <w:rPr/>
      </w:pPr>
      <w:r>
        <w:rPr/>
        <w:t>​</w:t>
      </w:r>
    </w:p>
    <w:tbl>
      <w:tblPr>
        <w:tblW w:w="7216" w:type="dxa"/>
        <w:jc w:val="left"/>
        <w:tblInd w:w="0" w:type="dxa"/>
        <w:tblLayout w:type="fixed"/>
        <w:tblCellMar>
          <w:top w:w="0" w:type="dxa"/>
          <w:left w:w="0" w:type="dxa"/>
          <w:bottom w:w="0" w:type="dxa"/>
          <w:right w:w="0" w:type="dxa"/>
        </w:tblCellMar>
      </w:tblPr>
      <w:tblGrid>
        <w:gridCol w:w="3901"/>
        <w:gridCol w:w="109"/>
        <w:gridCol w:w="241"/>
        <w:gridCol w:w="499"/>
        <w:gridCol w:w="124"/>
        <w:gridCol w:w="241"/>
        <w:gridCol w:w="499"/>
        <w:gridCol w:w="109"/>
        <w:gridCol w:w="211"/>
        <w:gridCol w:w="436"/>
        <w:gridCol w:w="109"/>
        <w:gridCol w:w="211"/>
        <w:gridCol w:w="52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477135" cy="175260"/>
                      <wp:effectExtent l="0" t="0" r="0" b="0"/>
                      <wp:wrapNone/>
                      <wp:docPr id="236" name="Frame23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53035" cy="175260"/>
                      <wp:effectExtent l="0" t="0" r="0" b="0"/>
                      <wp:wrapNone/>
                      <wp:docPr id="238" name="Frame23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16865" cy="175260"/>
                      <wp:effectExtent l="0" t="0" r="0" b="0"/>
                      <wp:wrapNone/>
                      <wp:docPr id="239" name="Frame239"/>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8740" cy="175260"/>
                      <wp:effectExtent l="0" t="0" r="0" b="0"/>
                      <wp:wrapNone/>
                      <wp:docPr id="240" name="Frame24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53035" cy="175260"/>
                      <wp:effectExtent l="0" t="0" r="0" b="0"/>
                      <wp:wrapNone/>
                      <wp:docPr id="241" name="Frame24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16865" cy="175260"/>
                      <wp:effectExtent l="0" t="0" r="0" b="0"/>
                      <wp:wrapNone/>
                      <wp:docPr id="242" name="Frame242"/>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76860" cy="175260"/>
                      <wp:effectExtent l="0" t="0" r="0" b="0"/>
                      <wp:wrapNone/>
                      <wp:docPr id="245" name="Frame24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34010" cy="175260"/>
                      <wp:effectExtent l="0" t="0" r="0" b="0"/>
                      <wp:wrapNone/>
                      <wp:docPr id="248" name="Frame24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4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left"/>
              <w:rPr/>
            </w:pPr>
            <w:r>
              <w:rPr/>
              <w:t>​</w:t>
            </w:r>
          </w:p>
        </w:tc>
        <w:tc>
          <w:tcPr>
            <w:tcW w:w="14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4"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124"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24"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24"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evaluate the credit quality of our Other notes receivable portfolio based on the aging status of the loan and by payment activity. Loan delinquency reporting generally is based on borrower payment activity relative to the contractual terms of the loan. The following table disaggregates the outstanding principal balance of Other notes receivable by credit quality indicator based on delinquency status and fiscal year of origination and is presented as of June 30, 2026 (in thousands):</w:t>
      </w:r>
    </w:p>
    <w:p>
      <w:pPr>
        <w:pStyle w:val="TextBody"/>
        <w:bidi w:val="0"/>
        <w:spacing w:before="0" w:after="0"/>
        <w:ind w:left="0" w:right="0" w:hanging="0"/>
        <w:jc w:val="left"/>
        <w:rPr/>
      </w:pPr>
      <w:r>
        <w:rPr/>
        <w:t>​</w:t>
      </w:r>
    </w:p>
    <w:tbl>
      <w:tblPr>
        <w:tblW w:w="8402" w:type="dxa"/>
        <w:jc w:val="left"/>
        <w:tblInd w:w="0" w:type="dxa"/>
        <w:tblLayout w:type="fixed"/>
        <w:tblCellMar>
          <w:top w:w="0" w:type="dxa"/>
          <w:left w:w="0" w:type="dxa"/>
          <w:bottom w:w="0" w:type="dxa"/>
          <w:right w:w="0" w:type="dxa"/>
        </w:tblCellMar>
      </w:tblPr>
      <w:tblGrid>
        <w:gridCol w:w="1741"/>
        <w:gridCol w:w="109"/>
        <w:gridCol w:w="211"/>
        <w:gridCol w:w="421"/>
        <w:gridCol w:w="109"/>
        <w:gridCol w:w="211"/>
        <w:gridCol w:w="571"/>
        <w:gridCol w:w="109"/>
        <w:gridCol w:w="211"/>
        <w:gridCol w:w="421"/>
        <w:gridCol w:w="109"/>
        <w:gridCol w:w="211"/>
        <w:gridCol w:w="421"/>
        <w:gridCol w:w="109"/>
        <w:gridCol w:w="211"/>
        <w:gridCol w:w="346"/>
        <w:gridCol w:w="109"/>
        <w:gridCol w:w="211"/>
        <w:gridCol w:w="346"/>
        <w:gridCol w:w="109"/>
        <w:gridCol w:w="211"/>
        <w:gridCol w:w="571"/>
        <w:gridCol w:w="109"/>
        <w:gridCol w:w="203"/>
        <w:gridCol w:w="101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05535" cy="175260"/>
                      <wp:effectExtent l="0" t="0" r="0" b="0"/>
                      <wp:wrapNone/>
                      <wp:docPr id="249" name="Frame24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67335" cy="175260"/>
                      <wp:effectExtent l="0" t="0" r="0" b="0"/>
                      <wp:wrapNone/>
                      <wp:docPr id="252" name="Frame25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2585" cy="175260"/>
                      <wp:effectExtent l="0" t="0" r="0" b="0"/>
                      <wp:wrapNone/>
                      <wp:docPr id="255"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67335" cy="175260"/>
                      <wp:effectExtent l="0" t="0" r="0" b="0"/>
                      <wp:wrapNone/>
                      <wp:docPr id="258" name="Frame25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67335" cy="175260"/>
                      <wp:effectExtent l="0" t="0" r="0" b="0"/>
                      <wp:wrapNone/>
                      <wp:docPr id="261" name="Frame26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2585" cy="175260"/>
                      <wp:effectExtent l="0" t="0" r="0" b="0"/>
                      <wp:wrapNone/>
                      <wp:docPr id="270" name="Frame2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8905" cy="175260"/>
                      <wp:effectExtent l="0" t="0" r="0" b="0"/>
                      <wp:wrapNone/>
                      <wp:docPr id="272" name="Frame27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2620" cy="175260"/>
                      <wp:effectExtent l="0" t="0" r="0" b="0"/>
                      <wp:wrapNone/>
                      <wp:docPr id="273" name="Frame273"/>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2"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109"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46" w:name="Tc_6JarZClfJkGIzzP1cjlPDA_5_8"/>
      <w:bookmarkStart w:id="947" w:name="Tc_jArVdh7-dEaFmG2pPDwFPA_5_5"/>
      <w:bookmarkStart w:id="948" w:name="Tc_BzT8SwOZ6UWpAyRlG0T-Nw_5_2"/>
      <w:bookmarkStart w:id="949" w:name="Tc_O-cUXaGt6EeePOsGsheqew_5_0"/>
      <w:bookmarkStart w:id="950" w:name="Tc_Ky-88H9rgUyAVf4x764XyQ_4_0"/>
      <w:bookmarkStart w:id="951" w:name="Tc_yLhp9orWXUS0Zw1cI1YOtw_3_8"/>
      <w:bookmarkStart w:id="952" w:name="Tc_xzOOcZ8RmE-P3O3UIoO7fA_3_5"/>
      <w:bookmarkStart w:id="953" w:name="Tc_2hV3CaoRhkuQ9L8LC9A1hg_3_2"/>
      <w:bookmarkStart w:id="954" w:name="Tc_yox1u0UUuk6NMxUbNsS4_g_3_0"/>
      <w:bookmarkStart w:id="955" w:name="Tc_QMggdysyEUOgrHJTCc8mzQ_2_8"/>
      <w:bookmarkStart w:id="956" w:name="Tc_NnQCu6lna0SkHl118kN0LA_2_5"/>
      <w:bookmarkStart w:id="957" w:name="Tc_ukFl75T8DECNSWYwQu1jsA_2_2"/>
      <w:bookmarkStart w:id="958" w:name="Tc_lRY_dWwIv0qlSZQz8kF7Fg_1_8"/>
      <w:bookmarkStart w:id="959" w:name="Tc_Z1DekqdiHEeC_UGh26f6tw_1_5"/>
      <w:bookmarkStart w:id="960" w:name="Tc_0XECzzHbZ0a3PoBP3ZMg-g_1_2"/>
      <w:bookmarkStart w:id="961" w:name="_eb1c655f_ea33_476d_8daa_5ebdef6ec01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b/>
          <w:sz w:val="20"/>
        </w:rPr>
        <w:t xml:space="preserve">6. DEALER FINANCED RECEIVABLES </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val="false"/>
          <w:sz w:val="20"/>
        </w:rPr>
        <w:t>Dealer financed receivables are receivables for loans that we make to independent retailers, or dealers, for the purchase of manufactured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w:t>
      </w:r>
      <w:r>
        <w:rPr>
          <w:rFonts w:ascii="Times New Roman;Times;serif" w:hAnsi="Times New Roman;Times;serif"/>
          <w:b/>
          <w:sz w:val="20"/>
        </w:rPr>
        <w:t xml:space="preserve"> </w:t>
      </w:r>
      <w:r>
        <w:rPr>
          <w:rFonts w:ascii="Times New Roman;Times;serif" w:hAnsi="Times New Roman;Times;serif"/>
          <w:b w:val="false"/>
          <w:sz w:val="20"/>
        </w:rPr>
        <w:t>term, a monthly interest payment, an annual curtailment payment and require the retailer to pay the principal amount of the loan to the Company upon the earlier of the sale of the home by the retailer to its customer or the end of the term.</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Dealer financed notes receivable, net of allowance for loan losses, consisted of the following (in thousands): </w:t>
      </w:r>
    </w:p>
    <w:tbl>
      <w:tblPr>
        <w:tblW w:w="7213" w:type="dxa"/>
        <w:jc w:val="left"/>
        <w:tblInd w:w="0" w:type="dxa"/>
        <w:tblLayout w:type="fixed"/>
        <w:tblCellMar>
          <w:top w:w="0" w:type="dxa"/>
          <w:left w:w="0" w:type="dxa"/>
          <w:bottom w:w="0" w:type="dxa"/>
          <w:right w:w="0" w:type="dxa"/>
        </w:tblCellMar>
      </w:tblPr>
      <w:tblGrid>
        <w:gridCol w:w="2581"/>
        <w:gridCol w:w="109"/>
        <w:gridCol w:w="266"/>
        <w:gridCol w:w="874"/>
        <w:gridCol w:w="109"/>
        <w:gridCol w:w="371"/>
        <w:gridCol w:w="1189"/>
        <w:gridCol w:w="109"/>
        <w:gridCol w:w="341"/>
        <w:gridCol w:w="1264"/>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38935" cy="175260"/>
                      <wp:effectExtent l="0" t="0" r="0" b="0"/>
                      <wp:wrapNone/>
                      <wp:docPr id="274" name="Frame27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8910" cy="175260"/>
                      <wp:effectExtent l="0" t="0" r="0" b="0"/>
                      <wp:wrapNone/>
                      <wp:docPr id="276" name="Frame27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54990" cy="175260"/>
                      <wp:effectExtent l="0" t="0" r="0" b="0"/>
                      <wp:wrapNone/>
                      <wp:docPr id="277" name="Frame27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35585" cy="175260"/>
                      <wp:effectExtent l="0" t="0" r="0" b="0"/>
                      <wp:wrapNone/>
                      <wp:docPr id="279" name="Frame27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55015" cy="175260"/>
                      <wp:effectExtent l="0" t="0" r="0" b="0"/>
                      <wp:wrapNone/>
                      <wp:docPr id="280" name="Frame280"/>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6535" cy="175260"/>
                      <wp:effectExtent l="0" t="0" r="0" b="0"/>
                      <wp:wrapNone/>
                      <wp:docPr id="282" name="Frame28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802640" cy="175260"/>
                      <wp:effectExtent l="0" t="0" r="0" b="0"/>
                      <wp:wrapNone/>
                      <wp:docPr id="283" name="Frame283"/>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24,788</w:t>
            </w:r>
          </w:p>
        </w:tc>
        <w:tc>
          <w:tcPr>
            <w:tcW w:w="10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28,403</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109" w:type="dxa"/>
            <w:tcBorders/>
            <w:vAlign w:val="center"/>
          </w:tcPr>
          <w:p>
            <w:pPr>
              <w:pStyle w:val="TableContents"/>
              <w:bidi w:val="0"/>
              <w:spacing w:before="0" w:after="0"/>
              <w:ind w:left="0" w:right="0" w:hanging="0"/>
              <w:jc w:val="righ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23,153</w:t>
            </w:r>
          </w:p>
        </w:tc>
        <w:tc>
          <w:tcPr>
            <w:tcW w:w="109" w:type="dxa"/>
            <w:tcBorders/>
            <w:shd w:fill="CCEEFF" w:val="clear"/>
            <w:vAlign w:val="center"/>
          </w:tcPr>
          <w:p>
            <w:pPr>
              <w:pStyle w:val="TableContents"/>
              <w:bidi w:val="0"/>
              <w:spacing w:before="0" w:after="0"/>
              <w:ind w:left="0" w:right="0" w:hanging="0"/>
              <w:jc w:val="righ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26,685</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32,585</w:t>
            </w:r>
          </w:p>
        </w:tc>
      </w:tr>
    </w:tbl>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962" w:name="Tc_UwC0N6iUWk2MlVIHsNVDkw_7_17"/>
      <w:bookmarkStart w:id="963" w:name="Tc_GfXwagmdXE6rCpp3Y984bQ_7_14"/>
      <w:bookmarkStart w:id="964" w:name="Tc_pnzkZzCVpE2fKqpJeuod2A_7_11"/>
      <w:bookmarkStart w:id="965" w:name="Tc_hEvOVHQBXEegWYndMKL4-A_7_8"/>
      <w:bookmarkStart w:id="966" w:name="Tc_-fDr6tc-fkWyDIrXxyxE3g_7_5"/>
      <w:bookmarkStart w:id="967" w:name="Tc_-EM6gAJb506jJxAzEf4lRQ_7_2"/>
      <w:bookmarkStart w:id="968" w:name="Tc_9876VGz_I0q5_kNKUYPNnw_7_0"/>
      <w:bookmarkStart w:id="969" w:name="Tc_bLTNFvsti0m6U9gBXMSZcw_6_9"/>
      <w:bookmarkStart w:id="970" w:name="Tc_OXDSRbJyyUqP-sCEWHHYzg_6_6"/>
      <w:bookmarkStart w:id="971" w:name="Tc_iOuHfRcUPEeJkvJlhMn7Vw_6_3"/>
      <w:bookmarkStart w:id="972" w:name="Tc_KlTvi2Py70SnyLNQw8erDw_6_0"/>
      <w:bookmarkStart w:id="973" w:name="Tc_CSt0mK6tbEWwEXMBq-Gf3g_5_15"/>
      <w:bookmarkStart w:id="974" w:name="Tc_-U-EgIpjR0SXEwEc2euM8Q_5_6"/>
      <w:bookmarkStart w:id="975" w:name="Tc_2-Lm3lryP0GUxssVUNmygw_5_3"/>
      <w:bookmarkStart w:id="976" w:name="Tc_ryBEA0D5r06jccdBqV-Xqg_5_0"/>
      <w:bookmarkStart w:id="977" w:name="Tc_wb63hGRXdUeeqVZMHP1n5Q_4_15"/>
      <w:bookmarkStart w:id="978" w:name="Tc_WS4lyqRkaECY-AVYx1PR3g_4_12"/>
      <w:bookmarkStart w:id="979" w:name="Tc_N-M3VtpzC0CtDbguq4yvGg_4_3"/>
      <w:bookmarkStart w:id="980" w:name="Tc_gmGuaLIIHUSKW3xwltIK6A_4_0"/>
      <w:bookmarkStart w:id="981" w:name="Tc_au36jLar3UuCmPQprMq0wg_3_17"/>
      <w:bookmarkStart w:id="982" w:name="Tc_KNyCxdpgc0uNFGj0_sJqOQ_3_15"/>
      <w:bookmarkStart w:id="983" w:name="Tc_2G2H0vdQakSUDwX_mjkelw_3_14"/>
      <w:bookmarkStart w:id="984" w:name="Tc_awJKRPoRd06w_PnrgKJzBQ_3_12"/>
      <w:bookmarkStart w:id="985" w:name="Tc_1d19yVsyp0WUCnmzuJaxvw_3_11"/>
      <w:bookmarkStart w:id="986" w:name="Tc_Usey4SKeXkGxs-phA4PvnQ_3_9"/>
      <w:bookmarkStart w:id="987" w:name="Tc_DbatGYnXakSslUow1cGBgQ_3_8"/>
      <w:bookmarkStart w:id="988" w:name="Tc_Vt2YoYTGiESnIs6nEjUqYA_3_5"/>
      <w:bookmarkStart w:id="989" w:name="Tc_5a5v3eLQrEWUZMo-NlumQg_3_2"/>
      <w:bookmarkStart w:id="990" w:name="Tc_dsoWQc5ta0udJ3SNlMHbYA_3_0"/>
      <w:bookmarkStart w:id="991" w:name="Tc_6KmZu-whuUCwgKqozeNPlw_2_20"/>
      <w:bookmarkStart w:id="992" w:name="Tc_iLGU5CuOMkOIzfPQYFH8Iw_2_17"/>
      <w:bookmarkStart w:id="993" w:name="Tc_Cx9JWNQPyEG9kt-7TSNZAA_2_14"/>
      <w:bookmarkStart w:id="994" w:name="Tc_28pPN3xGNkK2JH9i9DKO2Q_2_11"/>
      <w:bookmarkStart w:id="995" w:name="Tc_8u_b7FWspUSV5RcCmJUeJA_2_8"/>
      <w:bookmarkStart w:id="996" w:name="Tc_I6BCUsxbi0WCgI-h__fENw_2_5"/>
      <w:bookmarkStart w:id="997" w:name="Tc_a1721KR_kEOjsvmE7Kmn-g_2_2"/>
      <w:bookmarkStart w:id="998" w:name="Tc_rxldWnTpM0e0ptIMRybj0Q_1_2"/>
      <w:bookmarkStart w:id="999" w:name="Tc_83DZG1anBUmXyq1dzdq2Kw_6_11"/>
      <w:bookmarkStart w:id="1000" w:name="Tc_TgZbCoJCR0G3lzwRzH2Q8Q_6_8"/>
      <w:bookmarkStart w:id="1001" w:name="Tc_D7ulH6kkiEyv-YUpDkNZsA_6_5"/>
      <w:bookmarkStart w:id="1002" w:name="Tc_WXCUNSq_fUCxaahpeEFz8A_6_2"/>
      <w:bookmarkStart w:id="1003" w:name="Tc_r2M80wrwoE-2gVd74qcwiA_6_0"/>
      <w:bookmarkStart w:id="1004" w:name="Tc_2hT_G2eDaEeD6kKEao1Prg_5_0"/>
      <w:bookmarkStart w:id="1005" w:name="Tc_MaQ4J1CbS06YXG6VxpCLJw_4_11"/>
      <w:bookmarkStart w:id="1006" w:name="Tc_eaXm6WuOIU-daLE3thCesg_4_8"/>
      <w:bookmarkStart w:id="1007" w:name="Tc_pyAQ6PdVPU6XAmwc-ChJaQ_4_5"/>
      <w:bookmarkStart w:id="1008" w:name="Tc_jpK1PnbpNkm_VfyogeK-0A_4_2"/>
      <w:bookmarkStart w:id="1009" w:name="Tc_gBHlU6Vl9ku3fFjspaMkrA_4_0"/>
      <w:bookmarkStart w:id="1010" w:name="Tc_P5KkKSesxE-2sR2-SvG2wA_3_11"/>
      <w:bookmarkStart w:id="1011" w:name="Tc_pK9myUvbrEWK01YLb3LUyw_3_8"/>
      <w:bookmarkStart w:id="1012" w:name="Tc_8vOkF803_0ue0bsSkWas7Q_3_5"/>
      <w:bookmarkStart w:id="1013" w:name="Tc_V09-7hMwdEaqzVwbUn-fDw_3_2"/>
      <w:bookmarkStart w:id="1014" w:name="Tc_AE1voNG30EWn_XV0T83jXQ_2_8"/>
      <w:bookmarkStart w:id="1015" w:name="Tc__4YqXPz-p0W-AdIQuaxXmg_2_2"/>
      <w:bookmarkStart w:id="1016" w:name="Tc_TZw3Z45Rt0G2486smpmH_w_1_8"/>
      <w:bookmarkStart w:id="1017" w:name="Tc_dCqxMgsmyU6sI1h40Uc-dw_1_2"/>
      <w:bookmarkStart w:id="1018" w:name="_1c933eea_9276_49a2_b009_4e940cd51e16"/>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ascii="Times New Roman;Times;serif" w:hAnsi="Times New Roman;Times;serif"/>
          <w:sz w:val="20"/>
        </w:rPr>
        <w:t xml:space="preserve">The following table presents a detail of the activity in the allowance for loan losses (in thousands): </w:t>
      </w:r>
    </w:p>
    <w:tbl>
      <w:tblPr>
        <w:tblW w:w="7306" w:type="dxa"/>
        <w:jc w:val="left"/>
        <w:tblInd w:w="0" w:type="dxa"/>
        <w:tblLayout w:type="fixed"/>
        <w:tblCellMar>
          <w:top w:w="0" w:type="dxa"/>
          <w:left w:w="0" w:type="dxa"/>
          <w:bottom w:w="0" w:type="dxa"/>
          <w:right w:w="0" w:type="dxa"/>
        </w:tblCellMar>
      </w:tblPr>
      <w:tblGrid>
        <w:gridCol w:w="3901"/>
        <w:gridCol w:w="109"/>
        <w:gridCol w:w="216"/>
        <w:gridCol w:w="585"/>
        <w:gridCol w:w="111"/>
        <w:gridCol w:w="216"/>
        <w:gridCol w:w="431"/>
        <w:gridCol w:w="109"/>
        <w:gridCol w:w="211"/>
        <w:gridCol w:w="571"/>
        <w:gridCol w:w="109"/>
        <w:gridCol w:w="211"/>
        <w:gridCol w:w="52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77135" cy="175260"/>
                      <wp:effectExtent l="0" t="0" r="0" b="0"/>
                      <wp:wrapNone/>
                      <wp:docPr id="284" name="Frame28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7160" cy="175260"/>
                      <wp:effectExtent l="0" t="0" r="0" b="0"/>
                      <wp:wrapNone/>
                      <wp:docPr id="286" name="Frame28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71475" cy="175260"/>
                      <wp:effectExtent l="0" t="0" r="0" b="0"/>
                      <wp:wrapNone/>
                      <wp:docPr id="287" name="Frame287"/>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0485" cy="175260"/>
                      <wp:effectExtent l="0" t="0" r="0" b="0"/>
                      <wp:wrapNone/>
                      <wp:docPr id="288" name="Frame28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7160" cy="175260"/>
                      <wp:effectExtent l="0" t="0" r="0" b="0"/>
                      <wp:wrapNone/>
                      <wp:docPr id="289" name="Frame28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73685" cy="175260"/>
                      <wp:effectExtent l="0" t="0" r="0" b="0"/>
                      <wp:wrapNone/>
                      <wp:docPr id="290" name="Frame290"/>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62585" cy="175260"/>
                      <wp:effectExtent l="0" t="0" r="0" b="0"/>
                      <wp:wrapNone/>
                      <wp:docPr id="293" name="Frame2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34010" cy="175260"/>
                      <wp:effectExtent l="0" t="0" r="0" b="0"/>
                      <wp:wrapNone/>
                      <wp:docPr id="296" name="Frame29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left"/>
              <w:rPr/>
            </w:pPr>
            <w:r>
              <w:rPr/>
              <w:t>​</w:t>
            </w:r>
          </w:p>
        </w:tc>
        <w:tc>
          <w:tcPr>
            <w:tcW w:w="162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left"/>
              <w:rPr/>
            </w:pPr>
            <w:r>
              <w:rPr/>
              <w:t>​</w:t>
            </w:r>
          </w:p>
        </w:tc>
        <w:tc>
          <w:tcPr>
            <w:tcW w:w="16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c>
          <w:tcPr>
            <w:tcW w:w="111"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111"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w:t>
            </w:r>
          </w:p>
        </w:tc>
        <w:tc>
          <w:tcPr>
            <w:tcW w:w="111"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295</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The allowance for loan losses reflects management’s estimate of losses inherent in the dealer loans that may be uncollectible based on review and evaluation of the dealer loan portfolio as of the date of the balance sheet. An allowance for loan losses is determined after considering, among other things, the loan characteristics, the financial condition of the dealer and the value and liquidity of collateral.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evaluate the credit quality of our dealer financed receivables based on the length of time the Company’s collateral has remained unsold by the dealer in dealer inventory. This table reflects the age of the loan receivable due (in thousands):</w:t>
      </w:r>
    </w:p>
    <w:p>
      <w:pPr>
        <w:pStyle w:val="TextBody"/>
        <w:bidi w:val="0"/>
        <w:spacing w:before="0" w:after="0"/>
        <w:ind w:left="0" w:right="0" w:hanging="0"/>
        <w:jc w:val="left"/>
        <w:rPr/>
      </w:pPr>
      <w:r>
        <w:rPr/>
        <w:t>​</w:t>
      </w:r>
    </w:p>
    <w:tbl>
      <w:tblPr>
        <w:tblW w:w="8156" w:type="dxa"/>
        <w:jc w:val="left"/>
        <w:tblInd w:w="0" w:type="dxa"/>
        <w:tblLayout w:type="fixed"/>
        <w:tblCellMar>
          <w:top w:w="0" w:type="dxa"/>
          <w:left w:w="0" w:type="dxa"/>
          <w:bottom w:w="0" w:type="dxa"/>
          <w:right w:w="0" w:type="dxa"/>
        </w:tblCellMar>
      </w:tblPr>
      <w:tblGrid>
        <w:gridCol w:w="1381"/>
        <w:gridCol w:w="109"/>
        <w:gridCol w:w="211"/>
        <w:gridCol w:w="571"/>
        <w:gridCol w:w="109"/>
        <w:gridCol w:w="211"/>
        <w:gridCol w:w="571"/>
        <w:gridCol w:w="109"/>
        <w:gridCol w:w="211"/>
        <w:gridCol w:w="571"/>
        <w:gridCol w:w="109"/>
        <w:gridCol w:w="211"/>
        <w:gridCol w:w="571"/>
        <w:gridCol w:w="109"/>
        <w:gridCol w:w="211"/>
        <w:gridCol w:w="571"/>
        <w:gridCol w:w="109"/>
        <w:gridCol w:w="211"/>
        <w:gridCol w:w="676"/>
        <w:gridCol w:w="109"/>
        <w:gridCol w:w="181"/>
        <w:gridCol w:w="1034"/>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876935" cy="175260"/>
                      <wp:effectExtent l="0" t="0" r="0" b="0"/>
                      <wp:wrapNone/>
                      <wp:docPr id="297" name="Frame297"/>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2585" cy="175260"/>
                      <wp:effectExtent l="0" t="0" r="0" b="0"/>
                      <wp:wrapNone/>
                      <wp:docPr id="300" name="Frame3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2585" cy="175260"/>
                      <wp:effectExtent l="0" t="0" r="0" b="0"/>
                      <wp:wrapNone/>
                      <wp:docPr id="303" name="Frame3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62585" cy="175260"/>
                      <wp:effectExtent l="0" t="0" r="0" b="0"/>
                      <wp:wrapNone/>
                      <wp:docPr id="306" name="Frame3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62585" cy="175260"/>
                      <wp:effectExtent l="0" t="0" r="0" b="0"/>
                      <wp:wrapNone/>
                      <wp:docPr id="309" name="Frame3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12" name="Frame3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9260" cy="175260"/>
                      <wp:effectExtent l="0" t="0" r="0" b="0"/>
                      <wp:wrapNone/>
                      <wp:docPr id="315" name="Frame3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14935" cy="175260"/>
                      <wp:effectExtent l="0" t="0" r="0" b="0"/>
                      <wp:wrapNone/>
                      <wp:docPr id="317" name="Frame3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56590" cy="175260"/>
                      <wp:effectExtent l="0" t="0" r="0" b="0"/>
                      <wp:wrapNone/>
                      <wp:docPr id="318" name="Frame318"/>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666"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3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1 year on lot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1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1-2 years on lot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2-3 years on lot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1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3 years on lot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24,788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13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019" w:name="Tc_UiW_rg5W-0-yUA1xvg53rw_6_5"/>
      <w:bookmarkStart w:id="1020" w:name="Tc_Dv8foqkBpUqnAfnz7__KtA_6_2"/>
      <w:bookmarkStart w:id="1021" w:name="Tc_WKFPoK_-4UWqQ5rw_Gh4bQ_6_0"/>
      <w:bookmarkStart w:id="1022" w:name="Tc_Thf6NpO8XkqTqSKp-jy-Qg_5_0"/>
      <w:bookmarkStart w:id="1023" w:name="Tc_-H_zVCUr7EGRprcIxMJnvA_4_0"/>
      <w:bookmarkStart w:id="1024" w:name="Tc_qHHqpPN4eEuSn9EgIRC05A_3_5"/>
      <w:bookmarkStart w:id="1025" w:name="Tc_fNjkDiOBKUGj9KqzsX_xAw_3_2"/>
      <w:bookmarkStart w:id="1026" w:name="Tc_pUVcfrG8HEG8XdWO36vWfQ_3_0"/>
      <w:bookmarkStart w:id="1027" w:name="Tc_cgx0NVV3bkup2qGB8_13cw_2_5"/>
      <w:bookmarkStart w:id="1028" w:name="Tc_8Lt8mDcI9Uy6V1GWQs9Tkg_2_2"/>
      <w:bookmarkStart w:id="1029" w:name="Tc_oEKZR6H3X0uyLhamBjIN9Q_1_5"/>
      <w:bookmarkStart w:id="1030" w:name="Tc_U8qx87gwqU-R_u3Hb6oNyw_1_2"/>
      <w:bookmarkStart w:id="1031" w:name="_8cb9ab34_4d3a_468f_8db4_e33a355c38b4"/>
      <w:bookmarkEnd w:id="1019"/>
      <w:bookmarkEnd w:id="1020"/>
      <w:bookmarkEnd w:id="1021"/>
      <w:bookmarkEnd w:id="1022"/>
      <w:bookmarkEnd w:id="1023"/>
      <w:bookmarkEnd w:id="1024"/>
      <w:bookmarkEnd w:id="1025"/>
      <w:bookmarkEnd w:id="1026"/>
      <w:bookmarkEnd w:id="1027"/>
      <w:bookmarkEnd w:id="1028"/>
      <w:bookmarkEnd w:id="1029"/>
      <w:bookmarkEnd w:id="1030"/>
      <w:bookmarkEnd w:id="1031"/>
      <w:r>
        <w:rPr>
          <w:rFonts w:ascii="Times New Roman;Times;serif" w:hAnsi="Times New Roman;Times;serif"/>
          <w:b/>
          <w:sz w:val="20"/>
        </w:rPr>
        <w:t xml:space="preserve">7. INVENTORIES, NET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Inventories, net consisted of the following (in thousands): </w:t>
      </w:r>
    </w:p>
    <w:tbl>
      <w:tblPr>
        <w:tblW w:w="5193" w:type="dxa"/>
        <w:jc w:val="left"/>
        <w:tblInd w:w="0" w:type="dxa"/>
        <w:tblLayout w:type="fixed"/>
        <w:tblCellMar>
          <w:top w:w="0" w:type="dxa"/>
          <w:left w:w="0" w:type="dxa"/>
          <w:bottom w:w="0" w:type="dxa"/>
          <w:right w:w="0" w:type="dxa"/>
        </w:tblCellMar>
      </w:tblPr>
      <w:tblGrid>
        <w:gridCol w:w="1711"/>
        <w:gridCol w:w="346"/>
        <w:gridCol w:w="282"/>
        <w:gridCol w:w="903"/>
        <w:gridCol w:w="346"/>
        <w:gridCol w:w="341"/>
        <w:gridCol w:w="1264"/>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086485" cy="175260"/>
                      <wp:effectExtent l="0" t="0" r="0" b="0"/>
                      <wp:wrapNone/>
                      <wp:docPr id="319" name="Frame31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79070" cy="175260"/>
                      <wp:effectExtent l="0" t="0" r="0" b="0"/>
                      <wp:wrapNone/>
                      <wp:docPr id="321" name="Frame32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73405" cy="175260"/>
                      <wp:effectExtent l="0" t="0" r="0" b="0"/>
                      <wp:wrapNone/>
                      <wp:docPr id="322" name="Frame32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6535" cy="175260"/>
                      <wp:effectExtent l="0" t="0" r="0" b="0"/>
                      <wp:wrapNone/>
                      <wp:docPr id="324" name="Frame32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802640" cy="175260"/>
                      <wp:effectExtent l="0" t="0" r="0" b="0"/>
                      <wp:wrapNone/>
                      <wp:docPr id="325" name="Frame325"/>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12,193</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12,595</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 net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31,247</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26,764</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43,941</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39,853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Finished goods includes an allowance of $529 and $559 as of June 30, 2026 and December 31, 2025, respectively.</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32" w:name="Tc_JqeLHwzdMEukc297MqOXrw_11_5"/>
      <w:bookmarkStart w:id="1033" w:name="Tc_nnWN9e147U23pU8jPK2RCg_11_2"/>
      <w:bookmarkStart w:id="1034" w:name="Tc_M9-DF0UntUi1cBvXU5LHwA_11_0"/>
      <w:bookmarkStart w:id="1035" w:name="Tc_OelF3oRjpk68ldPD__Y3bQ_10_0"/>
      <w:bookmarkStart w:id="1036" w:name="Tc_N7tMK6P8IEGqG21BGYcWLw_9_0"/>
      <w:bookmarkStart w:id="1037" w:name="Tc_Pu37ib1VdkaH3dqe6jDtgg_8_0"/>
      <w:bookmarkStart w:id="1038" w:name="Tc_wl-L9P2Q-ESFSUdAkF7ANQ_7_0"/>
      <w:bookmarkStart w:id="1039" w:name="Tc_dyaer_3ar061Yqt2SiwS8g_6_0"/>
      <w:bookmarkStart w:id="1040" w:name="Tc_eIydgoeDA0e8J7BF7rl5bg_5_0"/>
      <w:bookmarkStart w:id="1041" w:name="Tc_YuzhFosu-kS0sAznT2APBw_4_0"/>
      <w:bookmarkStart w:id="1042" w:name="Tc_D4XR8YQrmkGvt5X2R1-MJA_3_5"/>
      <w:bookmarkStart w:id="1043" w:name="Tc_W2s3VK1HE0Wkc-imYrC_XQ_3_2"/>
      <w:bookmarkStart w:id="1044" w:name="Tc_5Oibmmuun0Kdamm6HXEtRQ_3_0"/>
      <w:bookmarkStart w:id="1045" w:name="Tc_itqImXbf40SfjCiVFuvu-Q_2_5"/>
      <w:bookmarkStart w:id="1046" w:name="Tc_OynUUJBLbUyZtjm5lZT4HA_2_2"/>
      <w:bookmarkStart w:id="1047" w:name="Tc_HzZesnSsc0S5ka-ii_qyLQ_1_5"/>
      <w:bookmarkStart w:id="1048" w:name="Tc_Dl3EMLNAEUGHt0GweQEkvw_1_2"/>
      <w:bookmarkStart w:id="1049" w:name="_f78461b4_13a0_47fa_879a_a5fe657895a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ascii="Times New Roman;Times;serif" w:hAnsi="Times New Roman;Times;serif"/>
          <w:b/>
          <w:sz w:val="20"/>
        </w:rPr>
        <w:t xml:space="preserve">8. PROPERTY, PLANT AND EQUIPMENT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Property, plant and equipment consisted of the following (in thousands): </w:t>
      </w:r>
    </w:p>
    <w:tbl>
      <w:tblPr>
        <w:tblW w:w="6783" w:type="dxa"/>
        <w:jc w:val="left"/>
        <w:tblInd w:w="0" w:type="dxa"/>
        <w:tblLayout w:type="fixed"/>
        <w:tblCellMar>
          <w:top w:w="0" w:type="dxa"/>
          <w:left w:w="0" w:type="dxa"/>
          <w:bottom w:w="0" w:type="dxa"/>
          <w:right w:w="0" w:type="dxa"/>
        </w:tblCellMar>
      </w:tblPr>
      <w:tblGrid>
        <w:gridCol w:w="3301"/>
        <w:gridCol w:w="346"/>
        <w:gridCol w:w="248"/>
        <w:gridCol w:w="937"/>
        <w:gridCol w:w="346"/>
        <w:gridCol w:w="341"/>
        <w:gridCol w:w="1264"/>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96135" cy="175260"/>
                      <wp:effectExtent l="0" t="0" r="0" b="0"/>
                      <wp:wrapNone/>
                      <wp:docPr id="326" name="Frame32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57480" cy="175260"/>
                      <wp:effectExtent l="0" t="0" r="0" b="0"/>
                      <wp:wrapNone/>
                      <wp:docPr id="328" name="Frame32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94995" cy="175260"/>
                      <wp:effectExtent l="0" t="0" r="0" b="0"/>
                      <wp:wrapNone/>
                      <wp:docPr id="329" name="Frame32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6535" cy="175260"/>
                      <wp:effectExtent l="0" t="0" r="0" b="0"/>
                      <wp:wrapNone/>
                      <wp:docPr id="331" name="Frame33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802640" cy="175260"/>
                      <wp:effectExtent l="0" t="0" r="0" b="0"/>
                      <wp:wrapNone/>
                      <wp:docPr id="332" name="Frame332"/>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19,690</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14,856</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34,917</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7,446</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78,841</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(13,436)</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65,405</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60,497</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Depreciation expense was $0.4 million for the three months ended June 30, 2026 and 2025, and includes depreciation expense for leased manufactured homes. Depreciation expense also includes $0.2 million as a component of cost of product sales for the three months ended June 30, 2026 and 2025. Depreciation expense was $0.8 million for the six months ended June 30, 2026 and 2025, and includes depreciation expense for leased manufactured homes. Depreciation expense also includes $0.5 million and $0.3 million as a component of cost of product sales for the six months ended June 30, 2026 and 2025 respectively. Land includes foreclosed property of $5.5 million and $6.6 million as of June 30, 2026 and December 31, 2025, respectively, which was collateral for MHP and Other notes.</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050" w:name="Tc_h3yZ2jTqIk6KghvLhaQcug_6_5"/>
      <w:bookmarkStart w:id="1051" w:name="Tc_boPsymgYhE2_PXPR6P3PGw_6_2"/>
      <w:bookmarkStart w:id="1052" w:name="Tc_KwQzhM84aECU8iMKx1G71Q_6_0"/>
      <w:bookmarkStart w:id="1053" w:name="Tc_17V7XkRln06rBAtpnq5D1g_5_3"/>
      <w:bookmarkStart w:id="1054" w:name="Tc_a5Sslu46QUScWxUz8ZG2jg_5_0"/>
      <w:bookmarkStart w:id="1055" w:name="Tc_5EbXzVHU1ki-6hSfBsiJoQ_4_0"/>
      <w:bookmarkStart w:id="1056" w:name="Tc_D-G1dwsUh0mkOj2wmNXLhg_3_5"/>
      <w:bookmarkStart w:id="1057" w:name="Tc_vXfEaZ_35U2YLz8zjxw8Bg_3_2"/>
      <w:bookmarkStart w:id="1058" w:name="Tc_5wLKqAvAJEWU7lvzGmVzwA_3_0"/>
      <w:bookmarkStart w:id="1059" w:name="Tc_pOs1hG9F4E2Ubv27Vly6rQ_2_5"/>
      <w:bookmarkStart w:id="1060" w:name="Tc_VULh_N1-cEC1Mj9r9SnGFA_2_2"/>
      <w:bookmarkStart w:id="1061" w:name="Tc_g2RE89o5MUqkxJcqrweUPQ_1_5"/>
      <w:bookmarkStart w:id="1062" w:name="Tc_DIpM2sVAqkivV7W8f3fs0A_1_2"/>
      <w:bookmarkStart w:id="1063" w:name="_e91f8d52_9878_4db7_ba85_4a71ef4b79e7"/>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b/>
          <w:sz w:val="20"/>
        </w:rPr>
        <w:t xml:space="preserve">9. OTHER ASSETS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assets consisted of the following (in thousands):</w:t>
      </w:r>
    </w:p>
    <w:tbl>
      <w:tblPr>
        <w:tblW w:w="6273" w:type="dxa"/>
        <w:jc w:val="left"/>
        <w:tblInd w:w="0" w:type="dxa"/>
        <w:tblLayout w:type="fixed"/>
        <w:tblCellMar>
          <w:top w:w="0" w:type="dxa"/>
          <w:left w:w="0" w:type="dxa"/>
          <w:bottom w:w="0" w:type="dxa"/>
          <w:right w:w="0" w:type="dxa"/>
        </w:tblCellMar>
      </w:tblPr>
      <w:tblGrid>
        <w:gridCol w:w="2791"/>
        <w:gridCol w:w="346"/>
        <w:gridCol w:w="282"/>
        <w:gridCol w:w="903"/>
        <w:gridCol w:w="346"/>
        <w:gridCol w:w="341"/>
        <w:gridCol w:w="126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72285" cy="175260"/>
                      <wp:effectExtent l="0" t="0" r="0" b="0"/>
                      <wp:wrapNone/>
                      <wp:docPr id="333" name="Frame33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9070" cy="175260"/>
                      <wp:effectExtent l="0" t="0" r="0" b="0"/>
                      <wp:wrapNone/>
                      <wp:docPr id="335" name="Frame33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73405" cy="175260"/>
                      <wp:effectExtent l="0" t="0" r="0" b="0"/>
                      <wp:wrapNone/>
                      <wp:docPr id="336" name="Frame33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6535" cy="175260"/>
                      <wp:effectExtent l="0" t="0" r="0" b="0"/>
                      <wp:wrapNone/>
                      <wp:docPr id="338" name="Frame33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02640" cy="175260"/>
                      <wp:effectExtent l="0" t="0" r="0" b="0"/>
                      <wp:wrapNone/>
                      <wp:docPr id="339" name="Frame339"/>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Repossessed homes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14,627</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Corpus AmeriCasa</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15,215</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13,911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Repossessed homes, net of allowances, as of June 30, 2026 include $10.7 million for homes repossessed from the consumer loan portfolio, $1.8 million for homes repossessed from the MHP loan portfolio, and $2.2 million for homes repossessed from dealers. Repossessed homes, net of allowances, as of December 31, 2025 include $8.4 million for homes repossessed from the consumer loan portfolio, $1.8 million for homes repossessed from the MHP loan portfolio, and $2.4 million for homes repossessed from dealers.</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also held a 28.75% equity interest in Corpus AmeriCasa, an entity affiliated with AmeriCasa, which was included in other assets at approximately $0.6 million as of December 31, 2025. As of June 30, 2026, the Company determined that this investment was not recoverable and wrote down its entire carrying value to zero as a non-operating expense.</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64" w:name="Tc_TAnEqS0afUC73jsXrzLAHg_13_5"/>
      <w:bookmarkStart w:id="1065" w:name="Tc_4huFWiAgEk65kfm0hrfI7Q_13_2"/>
      <w:bookmarkStart w:id="1066" w:name="Tc_pTWI0hPRLUuujyaF2e9g5A_13_0"/>
      <w:bookmarkStart w:id="1067" w:name="Tc_BaDJ3Ns5L0yh4j8nWfTJEA_12_0"/>
      <w:bookmarkStart w:id="1068" w:name="Tc_PF9xgh5LY0iJGUL3gmPCCg_11_0"/>
      <w:bookmarkStart w:id="1069" w:name="Tc_WPCDxeatGku9oTG2jbglUQ_10_0"/>
      <w:bookmarkStart w:id="1070" w:name="Tc_wCoN-z6MK0eqhwe6mo7cbg_9_0"/>
      <w:bookmarkStart w:id="1071" w:name="Tc_qXCwzr2S6EmozVwdW2Ye-w_8_0"/>
      <w:bookmarkStart w:id="1072" w:name="Tc_f5EYUp_0yUuFrDAkb5-PEg_7_0"/>
      <w:bookmarkStart w:id="1073" w:name="Tc_pZ7IPb0jXk6GQQF49B5RyA_6_0"/>
      <w:bookmarkStart w:id="1074" w:name="Tc_XvcQS4mJd0uprj6n40wZPA_5_0"/>
      <w:bookmarkStart w:id="1075" w:name="Tc_Z6PY6WVMJU2Q8wL3tJHH9w_4_0"/>
      <w:bookmarkStart w:id="1076" w:name="Tc_O9Xkx8MWv0Cu9CKtn0RWDA_3_5"/>
      <w:bookmarkStart w:id="1077" w:name="Tc_evBqfrSvhEqto-BquXSSUw_3_2"/>
      <w:bookmarkStart w:id="1078" w:name="Tc_wUJqmFqj0kaZp_TQHJI8rg_3_0"/>
      <w:bookmarkStart w:id="1079" w:name="Tc_KY9-RIK4aU6MoinJP2KsYg_2_5"/>
      <w:bookmarkStart w:id="1080" w:name="Tc_r4xH0hh6q0i4yk7xZFOsmw_2_2"/>
      <w:bookmarkStart w:id="1081" w:name="Tc_GjRUGeqSq068mwRTfq9n8g_1_5"/>
      <w:bookmarkStart w:id="1082" w:name="Tc_T8p2O5AzdUmsvck6eqdiig_1_2"/>
      <w:bookmarkStart w:id="1083" w:name="_976ee996_c8a0_4981_a434_e12986596dfc"/>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sz w:val="20"/>
        </w:rPr>
        <w:t xml:space="preserve">10. ACCRUED LIABILITIES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Accrued liabilities consisted of the following (in thousands): </w:t>
      </w:r>
    </w:p>
    <w:tbl>
      <w:tblPr>
        <w:tblW w:w="6078" w:type="dxa"/>
        <w:jc w:val="left"/>
        <w:tblInd w:w="0" w:type="dxa"/>
        <w:tblLayout w:type="fixed"/>
        <w:tblCellMar>
          <w:top w:w="0" w:type="dxa"/>
          <w:left w:w="0" w:type="dxa"/>
          <w:bottom w:w="0" w:type="dxa"/>
          <w:right w:w="0" w:type="dxa"/>
        </w:tblCellMar>
      </w:tblPr>
      <w:tblGrid>
        <w:gridCol w:w="2596"/>
        <w:gridCol w:w="346"/>
        <w:gridCol w:w="282"/>
        <w:gridCol w:w="903"/>
        <w:gridCol w:w="346"/>
        <w:gridCol w:w="341"/>
        <w:gridCol w:w="1264"/>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48460" cy="175260"/>
                      <wp:effectExtent l="0" t="0" r="0" b="0"/>
                      <wp:wrapNone/>
                      <wp:docPr id="340" name="Frame34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79070" cy="175260"/>
                      <wp:effectExtent l="0" t="0" r="0" b="0"/>
                      <wp:wrapNone/>
                      <wp:docPr id="342" name="Frame34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73405" cy="175260"/>
                      <wp:effectExtent l="0" t="0" r="0" b="0"/>
                      <wp:wrapNone/>
                      <wp:docPr id="343" name="Frame343"/>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6535" cy="175260"/>
                      <wp:effectExtent l="0" t="0" r="0" b="0"/>
                      <wp:wrapNone/>
                      <wp:docPr id="345" name="Frame34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802640" cy="175260"/>
                      <wp:effectExtent l="0" t="0" r="0" b="0"/>
                      <wp:wrapNone/>
                      <wp:docPr id="346" name="Frame34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reserve</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reserve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taxes and title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rebates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income taxes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Unclaimed Property</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17,596</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25,063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11. LINES OF CREDIT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$50.0 million and an additional $25.0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$0.3 million, which were capitalized as unamortized debt issuance costs and included within prepaids and other current assets in the accompanying balance sheets and are amortized to interest expense over the life of the Revolver. The Revolver matures July 28, 2027.</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and 2025, interest expense under the Revolver was $0 and $3 thousand respectively. For the six months ended June 30, 2026 and 2025, interest expense under the Revolver was $11 thousand and $3 thousand, respectively The outstanding balance of the Revolver as of June 30, 2026 and December 31, 2025 was $0. The interest rate in effect as of June 30, 2026 and December 31, 2025 for the Revolver was 6.13% and 6.69%, respectively. The amount of available credit under the Revolver was $50 million as of June 30, 2026 and December 31, 2025, respectively. The Revolver requires the Company to comply with certain financial and non-financial covenants. As of June 30, 2026, the Company was in compliance with all financial covenants, including that it maintains a maximum leverage ratio of no more than 1.00 to 1.00 and a minimum fixed charge coverage ratio of no less than 1.75 to 1.00. </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12. INCOME TAXES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provision for income tax expense for the three months ended June 30, 2026 and 2025 was $3.0 million and $3.1 million, respectively. The Company's effective tax rate for the three month periods ended June 30, 2026 and June 30, 2025 was 11.2% and 17.3%, respectively. The primary drivers of the variance from the federal statutory tax rate for the three month period ended June 30, 2026 were discrete activity related to the release of uncertain tax benefits, Federal Energy Efficient Home Improvement credit, and the discount on transferable tax credits. The primary driver of the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variance from the federal statutory tax rate for the three month period ended June 30, 2025 was the Federal Energy Efficient Home Improvement credit, which was partially offset by state income taxes.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provision for income tax expense for the six months ended June 30, 2026 and 2025 was $5.1 million and $5.5 million, respectively. The Company's effective tax rate for the six month period ended June 30, 2026 and June 30, 2025 was 12.8% and 18.1%, respectively. The primary drivers of the variance from the federal statutory tax rate for the six month period ended June 30, 2026 were discrete activity related to the release of uncertain tax benefits, Federal Energy Efficient Home Improvement credit, and the discount on transferable tax credits. The primary driver of the variance from the federal statutory tax rate for the six month period ended June 30, 2025 was the Federal Energy Efficient Home Improvement credit, which was partially offset by state income taxes.</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13. COMMITMENTS AND CONTINGENCIES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June 30, 2026 and December 31, 2025, the Company accrued a $0.2 million and $0.8 million liability for incurred but not reported claims, respectively. These accrued amounts are included in accrued liabilities on the accompanying balance sheet.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$0.5 million and $0.8 million at June 30, 2026 and December 31, 2025 respectively without reduction for the resale value of the homes. The Company considers its obligations on current contracts to be immaterial and accordingly has not recorded any reserve for repurchase commitment as of June 30, 2026 and December 31, 2025.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leases facilities under operating leases that typically have 10 year terms. These leases usually offer the Company a right of first refusal that affords the Company the option to purchase the leased premises under certain terms in the event the landlord attempts to sell the leased premises to a third party. Rent expense for the three months ended June 30, 2026 and 2025 was $0.2 million and $0.1 million respectively. Rent expense for the six months ended June 30, 2026 and 2025 was $0.3 million. The Company also subleases properties to third parties, ranging from </w:t>
      </w:r>
      <w:r>
        <w:rPr>
          <w:rFonts w:ascii="Times New Roman;Times;serif" w:hAnsi="Times New Roman;Times;serif"/>
          <w:b w:val="false"/>
          <w:i w:val="false"/>
          <w:caps w:val="false"/>
          <w:smallCaps w:val="false"/>
          <w:sz w:val="20"/>
        </w:rPr>
        <w:t>3-year</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11-year</w:t>
      </w:r>
      <w:r>
        <w:rPr>
          <w:rFonts w:ascii="Times New Roman;Times;serif" w:hAnsi="Times New Roman;Times;serif"/>
          <w:sz w:val="20"/>
        </w:rPr>
        <w:t xml:space="preserve"> terms with various renewal options. Rental income from the subleased properties for the three and six months ended June 30, 2026 and 2025 was immaterial.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Legal Matters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 xml:space="preserve">Legal Proceedings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 party to certain legal proceedings that arise in the ordinary course of business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such claims. The Company has included legal reserves of $0.9 million and $1.0 million as of June 30, 2026 and December 31, 2025 respectively, in accrued liabilities on the accompanying balance sheets. Although litigation is inherently uncertain, based on past experience and the information currently available, management does not believe that the currently pending and threatened ordinary course litigation or claims will have a material adverse effect on the Company's financial position, liquidity, or results of operations. However, future events or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circumstances currently unknown to management will determine whether the resolution of pending or threatened litigation or claims will ultimately have a material effect on the Company's financial position, liquidity, or results of operations in any future reporting.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 xml:space="preserve">AmeriCasa Litigation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March 13, 2026, the Company filed an Original Petition in the District Court of Tarrant County, Texas against the seller entities and certain individuals related to the Company's November 2025 acquisition of substantially all of the assets of AmeriCasa Solutions, LLC and its affiliates. The Company's claims relate principally to alleged misrepresentations and omissions made in connection with the acquisition and to the alleged post-closing misappropriation of receipts attributable to the acquired assets. A description of the proceeding is included in Part II, Item 1, Legal Proceedings, of this Quarterly Report on Form 10-Q.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litigation is not material to the Company's financial position, liquidity, or results of operations. The Company has not accrued a loss contingency with respect to this matter. The acquired assets remain within the measurement period under ASC 805, Business Combinations, and the Company continues to evaluate the facts and circumstances surrounding the acquisition, including information that may become available through the litigation, for purposes of finalizing its acquisition accounting and assessing recoverability of the acquired assets. An adverse outcome in the litigation, or further developments concerning the underlying facts, could result in an adjustment to the provisional amounts recorded in connection with the acquisition, or both, in a future period. For information regarding receivables and payables between the Company and the Seller arising from post-closing operations of the acquired business, see Note 16 — Related Party Transactions.</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14. FAIR VALUE MEASUREMENTS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accounts for its investments and derivative instruments in accordance with the provisions of “ASC 820-10”, Fair Value Measurement,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Fair Value Measurement, are as follows:</w:t>
      </w:r>
    </w:p>
    <w:p>
      <w:pPr>
        <w:pStyle w:val="TextBody"/>
        <w:pBdr/>
        <w:bidi w:val="0"/>
        <w:spacing w:before="0" w:after="200"/>
        <w:ind w:left="720" w:right="0" w:hanging="936"/>
        <w:jc w:val="left"/>
        <w:rPr>
          <w:rFonts w:ascii="Times New Roman;Times;serif" w:hAnsi="Times New Roman;Times;serif"/>
          <w:sz w:val="20"/>
        </w:rPr>
      </w:pPr>
      <w:r>
        <w:rPr>
          <w:rFonts w:ascii="Times New Roman;Times;serif" w:hAnsi="Times New Roman;Times;serif"/>
          <w:sz w:val="20"/>
        </w:rPr>
        <w:t>Level I       Quoted prices are available in active markets for identical assets or liabilities that the reporting entity has the ability to access at the measurement date.</w:t>
      </w:r>
    </w:p>
    <w:p>
      <w:pPr>
        <w:pStyle w:val="TextBody"/>
        <w:pBdr/>
        <w:bidi w:val="0"/>
        <w:spacing w:before="0" w:after="200"/>
        <w:ind w:left="720" w:right="0" w:hanging="936"/>
        <w:jc w:val="left"/>
        <w:rPr>
          <w:rFonts w:ascii="Times New Roman;Times;serif" w:hAnsi="Times New Roman;Times;serif"/>
          <w:sz w:val="20"/>
        </w:rPr>
      </w:pPr>
      <w:r>
        <w:rPr>
          <w:rFonts w:ascii="Times New Roman;Times;serif" w:hAnsi="Times New Roman;Times;serif"/>
          <w:sz w:val="20"/>
        </w:rPr>
        <w:t>Level II      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pStyle w:val="TextBody"/>
        <w:pBdr/>
        <w:bidi w:val="0"/>
        <w:spacing w:before="0" w:after="200"/>
        <w:ind w:left="720" w:right="0" w:hanging="936"/>
        <w:jc w:val="left"/>
        <w:rPr>
          <w:rFonts w:ascii="Times New Roman;Times;serif" w:hAnsi="Times New Roman;Times;serif"/>
          <w:sz w:val="20"/>
        </w:rPr>
      </w:pPr>
      <w:r>
        <w:rPr>
          <w:rFonts w:ascii="Times New Roman;Times;serif" w:hAnsi="Times New Roman;Times;serif"/>
          <w:sz w:val="20"/>
        </w:rPr>
        <w:t>Level III     Significant unobservable inputs that reflect an entity’s own assumptions that market participants would use in pricing the assets or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asset or liability fair value measurement level within the fair value hierarchy is based on the lowest level of any input that is significant to the fair value measurement.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financial instruments consist primarily of cash, accounts receivable, consumer loans, MHP Notes, other notes, accounts payable, and lines of credit. The carrying amounts of cash, accounts receivable, and accounts payable approximate their respective fair values because of the short-term maturities or expected settlement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084" w:name="Tc_xQsvh1I-7kiA-X0FVEhgTw_9_0"/>
      <w:bookmarkStart w:id="1085" w:name="Tc_ap5nOHA980uOdiG47Ftr8Q_8_0"/>
      <w:bookmarkStart w:id="1086" w:name="Tc_vTbRIx8A4EWjwxxznXCvMg_7_0"/>
      <w:bookmarkStart w:id="1087" w:name="Tc_BV1N4QXLFU2O28Bs5zFq7Q_6_0"/>
      <w:bookmarkStart w:id="1088" w:name="Tc_21UfEXlLcUqC4v6Ry29htQ_5_0"/>
      <w:bookmarkStart w:id="1089" w:name="Tc_UIhM0eimYkm0YJz-VMr24g_4_0"/>
      <w:bookmarkStart w:id="1090" w:name="Tc_h1lHhvf4tkKQ6Uc9Y8eb3g_3_5"/>
      <w:bookmarkStart w:id="1091" w:name="Tc_JZe7m6JPj0uG2NW7qc7mIQ_3_2"/>
      <w:bookmarkStart w:id="1092" w:name="Tc_NvigoQblyUa0Ue-UYwOgVg_3_0"/>
      <w:bookmarkStart w:id="1093" w:name="Tc_cfZooIdf_Uqdy0aHV8LV-g_2_5"/>
      <w:bookmarkStart w:id="1094" w:name="Tc_iTb0OYHjJECVeJGyg9mroQ_2_2"/>
      <w:bookmarkStart w:id="1095" w:name="Tc_QEcJLJKeB02A25-5z23ylQ_1_5"/>
      <w:bookmarkStart w:id="1096" w:name="Tc_oT1dwpDp9UW5wCdUGcrUmA_1_2"/>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rFonts w:ascii="Times New Roman;Times;serif" w:hAnsi="Times New Roman;Times;serif"/>
          <w:sz w:val="20"/>
        </w:rPr>
        <w:t xml:space="preserve">dates of these instruments. This is considered a Level I valuation technique. The following table shows the estimated fair market value and book value of our consumer loan portfolio, MHP Notes and other notes, net of allowances, loan discount fees and deferred financing fees (in thousands): </w:t>
      </w:r>
    </w:p>
    <w:p>
      <w:pPr>
        <w:pStyle w:val="TextBody"/>
        <w:bidi w:val="0"/>
        <w:spacing w:before="0" w:after="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3136"/>
        <w:gridCol w:w="109"/>
        <w:gridCol w:w="252"/>
        <w:gridCol w:w="933"/>
        <w:gridCol w:w="109"/>
        <w:gridCol w:w="326"/>
        <w:gridCol w:w="1279"/>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991360" cy="175260"/>
                      <wp:effectExtent l="0" t="0" r="0" b="0"/>
                      <wp:wrapNone/>
                      <wp:docPr id="347" name="Frame347"/>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0020" cy="175260"/>
                      <wp:effectExtent l="0" t="0" r="0" b="0"/>
                      <wp:wrapNone/>
                      <wp:docPr id="349" name="Frame34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92455" cy="175260"/>
                      <wp:effectExtent l="0" t="0" r="0" b="0"/>
                      <wp:wrapNone/>
                      <wp:docPr id="350" name="Frame35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812165" cy="175260"/>
                      <wp:effectExtent l="0" t="0" r="0" b="0"/>
                      <wp:wrapNone/>
                      <wp:docPr id="353" name="Frame353"/>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182,997</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185,985</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book value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202,174</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198,814</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177,806</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182,298</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book value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186,864</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186,600</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rate MHP Notes, book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22,153</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9,938</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fair value</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3,062</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5,968</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book value</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3,248</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6,093</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Part of the MHP Notes, part of the other notes receivable, and our line of credit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notes receivable with fixed rates based on the discounted value of the remaining principal and interest cash flows. This is considered a Level III valuation technique.</w:t>
      </w:r>
    </w:p>
    <w:p>
      <w:pPr>
        <w:pStyle w:val="TextBody"/>
        <w:bidi w:val="0"/>
        <w:spacing w:before="0" w:after="20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097" w:name="Tc_kotmGe3_bEyb2g3Brw_TxA_14_12"/>
      <w:bookmarkStart w:id="1098" w:name="Tc_IqBW88_zuUC9ZgvXHEKZSg_14_9"/>
      <w:bookmarkStart w:id="1099" w:name="Tc_gVw0Md-Cbkyq38RH-7FLPw_14_5"/>
      <w:bookmarkStart w:id="1100" w:name="Tc_1_c2WrO4y0aj1v8IpPfLNA_14_2"/>
      <w:bookmarkStart w:id="1101" w:name="Tc_ubYc6Xd4RUy97XwhYCb8_g_14_0"/>
      <w:bookmarkStart w:id="1102" w:name="Tc_sDMsgWGNtki7ZfGsgNf4Gg_13_12"/>
      <w:bookmarkStart w:id="1103" w:name="Tc_lCbDMuUackGb4l1RFRG3OA_13_9"/>
      <w:bookmarkStart w:id="1104" w:name="Tc_c1bYfggFnUabg5rO-7cPeQ_13_5"/>
      <w:bookmarkStart w:id="1105" w:name="Tc_LcyLpk4N6UC0l7XMMbrItg_13_2"/>
      <w:bookmarkStart w:id="1106" w:name="Tc_tAzUs3ds5Ueh7oucippilw_13_0"/>
      <w:bookmarkStart w:id="1107" w:name="Tc_rYuFMXwexkGKAjDnWpjRRw_12_0"/>
      <w:bookmarkStart w:id="1108" w:name="Tc_9u49-Gd5f02FpFyrlk6hPA_11_0"/>
      <w:bookmarkStart w:id="1109" w:name="Tc_40--WPxSOEikvHIDfOxD0g_10_0"/>
      <w:bookmarkStart w:id="1110" w:name="Tc_rdjLpHzaCUC5CiBwJ7yZYQ_9_0"/>
      <w:bookmarkStart w:id="1111" w:name="Tc_TNQsiZzW9E6BaHooHdPSnQ_8_0"/>
      <w:bookmarkStart w:id="1112" w:name="Tc_qurOVY1bb0SfqwEW--xo-Q_7_0"/>
      <w:bookmarkStart w:id="1113" w:name="Tc_w-zyCDCJPkCOzyK3jwPpdw_6_0"/>
      <w:bookmarkStart w:id="1114" w:name="Tc_IRDn-g1-pUGLmRKePTWe2w_5_12"/>
      <w:bookmarkStart w:id="1115" w:name="Tc_72kNMbgsnU-W_kAmLfYi1A_5_9"/>
      <w:bookmarkStart w:id="1116" w:name="Tc_1PrXQuCpoE6DzWTS-jVbXQ_5_5"/>
      <w:bookmarkStart w:id="1117" w:name="Tc_qNhygBFR40KbbVXCHCY7JQ_5_2"/>
      <w:bookmarkStart w:id="1118" w:name="Tc_hlMgH-_WhEaPgz4-8tqHiQ_5_0"/>
      <w:bookmarkStart w:id="1119" w:name="Tc_xV5W84f4N0WBRIPGoMqjXw_4_0"/>
      <w:bookmarkStart w:id="1120" w:name="Tc_kuvcghnrzEKbkJJQm52tPQ_3_12"/>
      <w:bookmarkStart w:id="1121" w:name="Tc_HG0Ohf_KxUyFzfXaT0LrQQ_3_9"/>
      <w:bookmarkStart w:id="1122" w:name="Tc_EIev-G6QXEKoSFcRJiURDA_3_5"/>
      <w:bookmarkStart w:id="1123" w:name="Tc_gnWvv3TPmE-SarGyVrtQMw_3_2"/>
      <w:bookmarkStart w:id="1124" w:name="Tc_6GaEi0iKd0CmV4G06UoV6w_2_9"/>
      <w:bookmarkStart w:id="1125" w:name="Tc_OLqNUj9QgkGGqaU8f5VaZA_2_2"/>
      <w:bookmarkStart w:id="1126" w:name="Tc_vJcMyEN-9kOwAz-pejj8AQ_1_9"/>
      <w:bookmarkStart w:id="1127" w:name="Tc_5abJFGSnw0W99vZD27aoSg_1_2"/>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sz w:val="20"/>
        </w:rPr>
        <w:t>15. EARNINGS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53"/>
        <w:gridCol w:w="109"/>
        <w:gridCol w:w="211"/>
        <w:gridCol w:w="1036"/>
        <w:gridCol w:w="346"/>
        <w:gridCol w:w="211"/>
        <w:gridCol w:w="1036"/>
        <w:gridCol w:w="109"/>
        <w:gridCol w:w="109"/>
        <w:gridCol w:w="211"/>
        <w:gridCol w:w="1036"/>
        <w:gridCol w:w="346"/>
        <w:gridCol w:w="211"/>
        <w:gridCol w:w="1081"/>
      </w:tblGrid>
      <w:tr>
        <w:trPr/>
        <w:tc>
          <w:tcPr>
            <w:tcW w:w="4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637155" cy="175260"/>
                      <wp:effectExtent l="0" t="0" r="0" b="0"/>
                      <wp:wrapNone/>
                      <wp:docPr id="354" name="Frame354"/>
                      <a:graphic xmlns:a="http://schemas.openxmlformats.org/drawingml/2006/main">
                        <a:graphicData uri="http://schemas.microsoft.com/office/word/2010/wordprocessingShape">
                          <wps:wsp>
                            <wps:cNvSpPr txBox="1"/>
                            <wps:spPr>
                              <a:xfrm>
                                <a:off x="0" y="0"/>
                                <a:ext cx="2637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57860" cy="175260"/>
                      <wp:effectExtent l="0" t="0" r="0" b="0"/>
                      <wp:wrapNone/>
                      <wp:docPr id="357" name="Frame3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57860" cy="175260"/>
                      <wp:effectExtent l="0" t="0" r="0" b="0"/>
                      <wp:wrapNone/>
                      <wp:docPr id="360" name="Frame3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57860" cy="175260"/>
                      <wp:effectExtent l="0" t="0" r="0" b="0"/>
                      <wp:wrapNone/>
                      <wp:docPr id="364" name="Frame3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86435" cy="175260"/>
                      <wp:effectExtent l="0" t="0" r="0" b="0"/>
                      <wp:wrapNone/>
                      <wp:docPr id="367" name="Frame36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8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1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(in 000's)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24,971</w:t>
            </w:r>
          </w:p>
        </w:tc>
      </w:tr>
      <w:tr>
        <w:trPr/>
        <w:tc>
          <w:tcPr>
            <w:tcW w:w="41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1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23,781,601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24,050,252</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23,795,389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24,091,086</w:t>
            </w:r>
          </w:p>
        </w:tc>
      </w:tr>
      <w:tr>
        <w:trPr/>
        <w:tc>
          <w:tcPr>
            <w:tcW w:w="41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1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1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550,167</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557,282</w:t>
            </w:r>
          </w:p>
        </w:tc>
      </w:tr>
      <w:tr>
        <w:trPr/>
        <w:tc>
          <w:tcPr>
            <w:tcW w:w="41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23,813,873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24,600,720</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23,826,244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24,648,705</w:t>
            </w:r>
          </w:p>
        </w:tc>
      </w:tr>
      <w:tr>
        <w:trPr/>
        <w:tc>
          <w:tcPr>
            <w:tcW w:w="41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41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0.61</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1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repurchased 29,385 shares of common stock for $0.7 million in the open market during the three months ended March 31, 2025. We repurchased 260,635 shares of common stock for $5.8 million in the open market during the three months ended June 30, 2025. We repurchased 56,386 shares of common stock for $1.1 million in the open market during the three months ended December 31, 2025. We repurchased a total of 346,406 shares of common stock for $7.6 million in the open market during the year ended December 31, 2025. The November 2022 share repurchase program expired on October 31, 2025.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6, 2026, the Board of Directors authorized a new stock repurchase program (the "Repurchase Program") under which the Company may repurchase up to $10.0 million of its outstanding common stock from time to time through February 28, 2029. Repurchases may be made in the open market or through privately negotiated transactions, with the timing, manner, price and volume of any repurchases determined by the Company's Executive Chairman and Chief Executive Officer, or either of them, in their sole discretion, based on market conditions, the Company's cash reserves and cash flow, and the relative attractiveness of alternative uses of capital for operations, growth and share repurchases.</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repurchased 30,740 shares of its common stock under the Repurchase Program at an aggregate cost of approximately $0.7 million, or an average price of $21.66 per share, of which none were made in the three months ended June 30, 2026, leaving approximately $9.3 million available for future repurchases under the Repurchase Program.</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Open market repurchases under the Repurchase Program are intended to be made in compliance with the non-exclusive safe harbor conditions of Rule 10b-18 under the Securities Exchange Act of 1934, as amended. The Repurchase Program does not obligate the Company to acquire any particular amount of common stock, has no expiration date prior to February 28, 2029, and may be suspended, modified or discontinued at any time without prior notice. Shares repurchased under the program will be held as treasury shares. The Company has determined that repurchases under the Repurchase Program are permitted under the terms of its existing bank credit facilities and other indebtedness.</w:t>
      </w:r>
    </w:p>
    <w:p>
      <w:pPr>
        <w:pStyle w:val="TextBody"/>
        <w:bidi w:val="0"/>
        <w:spacing w:before="280" w:after="200"/>
        <w:ind w:left="0" w:right="0" w:hanging="0"/>
        <w:jc w:val="left"/>
        <w:rPr>
          <w:rFonts w:ascii="Times New Roman;Times;serif" w:hAnsi="Times New Roman;Times;serif"/>
          <w:b/>
          <w:sz w:val="20"/>
        </w:rPr>
      </w:pPr>
      <w:r>
        <w:rPr>
          <w:rFonts w:ascii="Times New Roman;Times;serif" w:hAnsi="Times New Roman;Times;serif"/>
          <w:b/>
          <w:sz w:val="20"/>
        </w:rPr>
        <w:t xml:space="preserve">16. RELATED PARTY TRANSACTIONS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Bell Mobile Homes (“Bell”), a retailer owned by one of the Company’s significant stockholders, purchases manufactured homes from the Company. Accounts receivable balances due from Bell were $0.4 million and $0.6 million as of June 30, 2026 and December 31, 2025, respectively. Home sales to Bell were $0.7 million and $1.2 million for the three months ended June 30, 2026 and 2025, respectively. Home sales to Bell were $1.6 million and $1.5 million for the six months ended June 30, 2026 and 2025,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Shipley Bros., Ltd. and Crazy Red’s Mobile Homes (together, “Shipley”), retailers owned by one of the Company’s significant shareholders, purchase manufactured homes from the Company. Accounts receivable balances due from Shipley were $0.2 million and $0.1 million as of June 30, 2026 and December 31, 2025, respectively. Home sales to Shipley were $0.4 million and $0.8 million for the three months ended June 30, 2026 and 2025, respectively. Home sales to Shipley were $0.5 million and $1.2 million for the six months ended June 30, 2026 and 2025, respectively.</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AmeriCasa Solutions, LLC and its affiliates ("AmeriCasa") are the seller entities from which the Company acquired substantially all of the assets of AmeriCasa's business in November 2025 pursuant to the Asset and Membership Interest Purchase Agreement dated October 30, 2025, as amended. The Company and AmeriCasa continue to reconcile amounts arising from operations of the acquired business between the November 1, 2025 effective date and June 30, 2026. As of June 30, 2026, the Company had recorded approximately $1.0 million in accounts receivable from AmeriCasa, included in accounts receivable, net, and approximately $0.8 million payable to AmeriCasa, included in accrued liabilities, on the accompanying balance sheet. These amounts do not include any amounts held in escrow or subject to purchase-price holdbacks under the Asset and Membership Interest Purchase Agreement. Realization of the recorded receivable and the ultimate amount of any payable to AmeriCasa are subject to the matters described in Note 13 — Commitments and Contingencies and Part II, Item 1 — Legal Proceedings of this Quarterly Report.</w:t>
      </w:r>
    </w:p>
    <w:p>
      <w:pPr>
        <w:pStyle w:val="TextBody"/>
        <w:bidi w:val="0"/>
        <w:spacing w:before="0" w:after="200"/>
        <w:ind w:left="0" w:right="0" w:firstLine="72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Company also held a 28.75% equity interest in Corpus AmeriCasa, an entity affiliated with AmeriCasa, which was included in other assets at approximately $0.6 million as of December 31, 2025. As of June 30, 2026, the Company determined that this investment was not recoverable and wrote down its entire carrying value to zero. See Note 9 — Other Assets.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FINANCIAL STATEMENTS (UNAUDITED)</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17. SUBSEQUENT EVENTS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evaluated subsequent events through the date these financial statements were issued.</w:t>
      </w:r>
    </w:p>
    <w:p>
      <w:pPr>
        <w:pStyle w:val="TextBody"/>
        <w:bidi w:val="0"/>
        <w:spacing w:before="0" w:after="0"/>
        <w:ind w:left="60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Retirement of Executive Chairman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July 17, 2026, Curtis D. Hodgson notified the Company of his decision to retire from his positions as Executive Chairman and as a member of the Board of Directors, effective July 21, 2026. The Company reported Mr. Hodgson's retirement in a Current Report on Form 8-K filed with the Securities and Exchange Commission on July 22, 2026, which included Mr. Hodgson's related correspondence as an exhibit. The Board of Directors has not yet named a successor Chairman or appointed a replacement director, and the timing of any such action has not been determined. Kenneth E. Shipley continues as Chief Executive Officer and, following Mr. Hodgson's retirement, serves as the Company's sole chief operating decision maker. </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Mobile Home Park Note — Subsequent Maturity and Modification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New Note described in Note 4, with an outstanding principal balance of approximately $48.6 million at June 30, 2026, matured in July 2026 and was not repaid in full at maturity. Subsequent to June 30, 2026, the Company received a principal reduction payment of $2.0 million and agreed with the borrowers to a forbearance and modification of the New Note that provides for a 90-day forbearance period followed by an 18-month interest-only period (subject to a further six-month extension) and, thereafter, amortizing principal and interest payments at a market-based variable rate. The modification also includes additional collateral consisting of a manufactured housing community in Mississippi valued at approximately $4.0 million and an increased personal guaranty. The Company does not currently expect to recognize a loss with respect to the New Note. The Company is finalizing the definitive loan documentation.</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28" w:name="Item2ManagementsDiscussionandAnalysisofF"/>
      <w:bookmarkStart w:id="1129" w:name="_aa58dd89_1fdf_47d0_a7d3_cac743e1042f"/>
      <w:bookmarkEnd w:id="1128"/>
      <w:bookmarkEnd w:id="1129"/>
      <w:r>
        <w:rPr>
          <w:rFonts w:ascii="Times New Roman;Times;serif" w:hAnsi="Times New Roman;Times;serif"/>
          <w:b/>
          <w:sz w:val="20"/>
        </w:rPr>
        <w:t xml:space="preserve">Item 2. Management’s Discussion and Analysis of Financial Condition and Results of Operations. </w:t>
      </w:r>
    </w:p>
    <w:p>
      <w:pPr>
        <w:pStyle w:val="TextBody"/>
        <w:bidi w:val="0"/>
        <w:spacing w:before="0" w:after="264"/>
        <w:ind w:left="0" w:right="0" w:firstLine="792"/>
        <w:jc w:val="left"/>
        <w:rPr>
          <w:rFonts w:ascii="Times New Roman;Times;serif" w:hAnsi="Times New Roman;Times;serif"/>
          <w:i/>
          <w:sz w:val="20"/>
        </w:rPr>
      </w:pPr>
      <w:r>
        <w:rPr>
          <w:rFonts w:ascii="Times New Roman;Times;serif" w:hAnsi="Times New Roman;Times;serif"/>
          <w:i/>
          <w:sz w:val="20"/>
        </w:rPr>
        <w:t>The following discussion should be read in conjunction with the financial statements and accompanying notes and the information contained in other sections of this Form 10-Q. It contains forward 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 looking statements as a result of various factors, including those discussed in this Form 10-Q and our Annual Report on Form 10-K for the year ended December 31, 2025, particularly under the heading “Risk Factors.” Dollar amounts are in thousands unless otherwise noted.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2026, total net revenue was $66.3 million, an increase of 32.3% over the same period in 2025, and net income was $23.5 million, or $0.99 per diluted share, compared to net income of $14.7 million, or $0.60 per diluted share, in the prior-year quarter. Overall net income increased $8.8 million for the quarter, up 59.8%. The increase was driven primarily by a 40.0% increase in product sales, reflecting the commencement of deliveries under a large workforce-housing order that contributed approximately $25.5 million of product sales during the quarter, partially offset by lower inventory finance sales. For the six months ended June 30, 2026, total net revenue was $100.7 million and net income was $34.4 million, or $1.44 per diluted share. We ended the quarter with $29.0 million of cash and no borrowings outstanding under our $50.0 million revolving credit facility. Gross margin during the quarter benefited from approximately $0.7 million of tariff refunds, although uncertainty regarding future tariff levels remains. We continue to see growing demand for workforce housing across our markets and view our ability to recruit and retain trained labor as our principal near-term constraint on growth.</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build, sell and finance manufactured homes and “Tiny Houses” that are distributed through a network of independent retailers and company-owned stores and are sold directly to manufactured housing communities. We are one of the largest producers of manufactured homes in the United States. With current operations focused primarily in the southern United States, we offer our customers an array of quality homes ranging in size from approximately 395 to 2,667 square feet consisting of 1 to 5 bedrooms, with 1 to 3½ bathrooms. Our homes range in price, at retail, from approximately $47,000 to $200,000. For the three months ended June 30, 2026 and 2025 we sold 718 (consisting of 774 floors) and 564 units (consisting of 697 floors) (which are entire homes or single floors that are combined to create complete homes), respectively. For the six months ended June 30, 2026 and 2025 we sold 1,030 (consisting of 1,138 floors) and 914 units (consisting of 1,124 floors), respectively.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up to, on average, approximately 70 home sections, or 60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state-of-the-art kitchens. While substantially all of the homes we sell are constructed at our three manufacturing facilities, we also purchase a limited number of homes at wholesale from third-party manufacturers for resale. These purchased homes have historically represented approximately 50 units per quarter but exceeded 100 units during the three months ended June 30, 2026.</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homes are marketed under our premier “Legacy” brand name and currently are sold primarily across 15 states through a large network of independent retail locations, 14 company-owned retail locations and through direct sales to owners of manufactured home communities. Our 14 company-owned retail locations consist of 13 Heritage Housing stores, which exclusively sell our homes, and one location that operates under the AmeriCasa name and sells both our homes and those of several other manufacturers.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2026, approximately 65% of our manufactured homes were sold in Texas, followed by 4% per state in Ohio and Georgia, and 3% per state in Oklahoma, North Carolina, Kansas, Florida, and Illinois. The remaining 12% sold are from thirteen other states.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offer three types of financing solutions to our customers. We provide inventory financing for our independent retailers who purchase homes from us and then sell them to consumers. We provide consumer financing for our products which are sold to end-users through both independent and company-owned retail locations. We also provide financing solutions to manufactured housing community owners that buy our products for use in their communities. Our ability to offer competitive financing options at our retail locations provides us with several competitive advantages and allows us to capture sales which may not have otherwise occurred without our ability to offer consumer financing.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Management Transition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17, 2026, Curtis D. Hodgson notified the Company of his decision to retire from his positions as Executive Chairman and as a member of the Board of Directors, effective July 21, 2026 at 5:00 p.m. Central Time. The Board of Directors has not yet named a successor Chairman or appointed a replacement director, and the timing of any such action has not been determined. Kenneth E. Shipley continues to serve as the Company’s Chief Executive Officer. Prior to Mr. Hodgson’s retirement, Mr. Hodgson and Mr. Shipley together served as the Company’s co-chief operating decision makers; following his retirement, Mr. Shipley serves as the Company’s sole chief operating decision maker. This change did not affect the Company’s single reportable segment or the manner in which the Company reviews financial and operating performance and allocates resources. The Company does not expect Mr. Hodgson’s retirement to have a material effect on its results of operations, financial position, or liquidity. See Note 1 — Nature of Operations (Segment Reporting) and Note 17 — Subsequent Events.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Factors Affecting Our Performance </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believe that the growth of our business and our future success depend on various opportunities, challenges, trends and other factors, including the following: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During the second quarter of 2026, U.S. inflation remained above the Federal Reserve's long-term target but moderated late in the quarter. After rising to a three-year high of 4.2% in May 2026 — driven in significant part by a sharp increase in energy prices following geopolitical events in the Middle East — the annual rate of inflation eased to 3.5% in June 2026 as energy prices declined, with core inflation (excluding food and energy) at 2.6%. Our ability to maintain gross margins can be adversely impacted by sudden increases in specific costs, such as raw materials, transportation, and labor. The Federal Reserve held its benchmark interest rate steady at its June 2026 meeting, and average 30-year mortgage rates remained above 6%. Although chattel financing rates for manufactured homes generally move independently of mortgage rates, sustained elevated borrowing costs can affect the ability of home buyers to obtain affordable financing. We continue to explore opportunities to minimize the impact of inflation and elevated borrowing costs on our future profitability.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financial performance depends on how well we can fulfill orders from dealers and customers for our manufactured homes. Our Georgia facility has room to grow, and with additional investment we can expand capacity to produce more homes. Given the strength of our balance sheet and our sustained profitability, we believe we are well positioned to fund that growth; our most significant near-term constraint is securing and retaining enough trained labor to meet demand — a challenge that would intensify if we are successful in converting a meaningful portion of our current workforce-housing opportunities. To address this, management is implementing new recruiting and retention programs intended to expand and stabilize our skilled workforce. Sustained growth also requires accurate forecasting across several dimensions: the volume of business we pursue and accept, our product mix, production scheduling, and the management of inventory, equipment, and staffing levels. We continue to evaluate both organic expansion and acquisition opportunities to add capacity in regions where demand is strongest.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first quarter of 2026, the Company received a non-refundable advance deposit of approximately $7.1 million from a single customer in connection with a large order of manufactured homes intended for use as workforce housing. The order covers a total of 380 units. Amounts received from the customer are recorded as customer deposits until the related units are delivered, at which point the corresponding product sales are recognized. Production commenced during the first quarter of 2026 and continued during the second quarter, and the Company began deliveries during the second quarter of 2026, shipping 113 units during the quarter. The Company expects to complete deliveries under the contract during the remainder of 2026. Workforce housing is receiving significant attention across our market areas, and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given the number of projects currently underway or planned in those areas, we believe there is a meaningful opportunity for additional orders of this type. The Company's ability to fulfill this order, and any future orders, on schedule depends on production capacity, the availability of trained labor, raw material availability, and other factors discussed elsewhere in this Quarterly Report.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During the second quarter of 2026, the Company continued to incur elevated input costs attributable in part to tariffs on imported goods, including goods imported from China. Certain materials and components used in the manufacture of our homes — including electrical fixtures, hardware, appliances, and other finished products — are sourced either directly from China or through domestic suppliers affected by these tariffs. In contrast to the significant volatility in tariff rates during the first half of 2025, rates remained essentially stable between the first and second quarters of 2026, which improved our ability to forecast input costs. The U.S. tariff environment nonetheless continued to evolve. In February 2026, the U.S. Supreme Court held that the International Emergency Economic Powers Act (“IEEPA”) did not authorize certain of the emergency tariffs imposed in 2025, and U.S. Customs and Border Protection began winding down collection of those duties. The U.S. Trade Representative subsequently initiated new Section 301 investigations in March 2026 that could provide an alternative legal basis for tariffs on imports from China and other trading partners. In addition, effective April 6, 2026, additional Section 232 duties were imposed on aluminum, steel, and copper products and their derivatives, which are inputs used by certain of our suppliers. Pursuant to the November 2025 U.S.–China understanding, the lowered reciprocal tariff rate on Chinese imports has been extended through November 10, 2026, but combined effective rates on most Chinese-origin goods remain materially above pre-2025 levels. During the second quarter, the Company applied for and received tariff refunds of approximately $0.7 million from U.S. Customs and Border Protection in connection with the IEEPA ruling, which benefited gross margin during the quarter. Notwithstanding these refunds and the recent stability in rates, considerable uncertainty remains as to the ultimate level and legal basis of tariffs, and the resulting cost pressures may continue to weigh on our gross margins depending on how these legal and trade-policy developments evolve. Management continues to take steps to mitigate these effects through supplier diversification, increased domestic sourcing where practical, and selective price adjustments.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have acquired several properties in our market area for the purpose of developing manufactured housing communities and subdivisions. As of June 30, 2026, these properties include the following (in thousands):</w:t>
      </w:r>
    </w:p>
    <w:tbl>
      <w:tblPr>
        <w:tblW w:w="10205" w:type="dxa"/>
        <w:jc w:val="left"/>
        <w:tblInd w:w="0" w:type="dxa"/>
        <w:tblLayout w:type="fixed"/>
        <w:tblCellMar>
          <w:top w:w="0" w:type="dxa"/>
          <w:left w:w="0" w:type="dxa"/>
          <w:bottom w:w="0" w:type="dxa"/>
          <w:right w:w="0" w:type="dxa"/>
        </w:tblCellMar>
      </w:tblPr>
      <w:tblGrid>
        <w:gridCol w:w="2090"/>
        <w:gridCol w:w="346"/>
        <w:gridCol w:w="1131"/>
        <w:gridCol w:w="406"/>
        <w:gridCol w:w="2037"/>
        <w:gridCol w:w="346"/>
        <w:gridCol w:w="211"/>
        <w:gridCol w:w="676"/>
        <w:gridCol w:w="346"/>
        <w:gridCol w:w="386"/>
        <w:gridCol w:w="755"/>
        <w:gridCol w:w="346"/>
        <w:gridCol w:w="346"/>
        <w:gridCol w:w="783"/>
      </w:tblGrid>
      <w:tr>
        <w:trPr/>
        <w:tc>
          <w:tcPr>
            <w:tcW w:w="2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27150" cy="175260"/>
                      <wp:effectExtent l="0" t="0" r="0" b="0"/>
                      <wp:wrapNone/>
                      <wp:docPr id="368" name="Frame368"/>
                      <a:graphic xmlns:a="http://schemas.openxmlformats.org/drawingml/2006/main">
                        <a:graphicData uri="http://schemas.microsoft.com/office/word/2010/wordprocessingShape">
                          <wps:wsp>
                            <wps:cNvSpPr txBox="1"/>
                            <wps:spPr>
                              <a:xfrm>
                                <a:off x="0" y="0"/>
                                <a:ext cx="1327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18185" cy="175260"/>
                      <wp:effectExtent l="0" t="0" r="0" b="0"/>
                      <wp:wrapNone/>
                      <wp:docPr id="370" name="Frame370"/>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57810" cy="175260"/>
                      <wp:effectExtent l="0" t="0" r="0" b="0"/>
                      <wp:wrapNone/>
                      <wp:docPr id="371" name="Frame37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93495" cy="175260"/>
                      <wp:effectExtent l="0" t="0" r="0" b="0"/>
                      <wp:wrapNone/>
                      <wp:docPr id="372" name="Frame372"/>
                      <a:graphic xmlns:a="http://schemas.openxmlformats.org/drawingml/2006/main">
                        <a:graphicData uri="http://schemas.microsoft.com/office/word/2010/wordprocessingShape">
                          <wps:wsp>
                            <wps:cNvSpPr txBox="1"/>
                            <wps:spPr>
                              <a:xfrm>
                                <a:off x="0" y="0"/>
                                <a:ext cx="1293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29260" cy="175260"/>
                      <wp:effectExtent l="0" t="0" r="0" b="0"/>
                      <wp:wrapNone/>
                      <wp:docPr id="375" name="Frame3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45110" cy="175260"/>
                      <wp:effectExtent l="0" t="0" r="0" b="0"/>
                      <wp:wrapNone/>
                      <wp:docPr id="377" name="Frame3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79425" cy="175260"/>
                      <wp:effectExtent l="0" t="0" r="0" b="0"/>
                      <wp:wrapNone/>
                      <wp:docPr id="378" name="Frame378"/>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97205" cy="175260"/>
                      <wp:effectExtent l="0" t="0" r="0" b="0"/>
                      <wp:wrapNone/>
                      <wp:docPr id="381" name="Frame38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406" w:type="dxa"/>
            <w:tcBorders/>
            <w:vAlign w:val="center"/>
          </w:tcPr>
          <w:p>
            <w:pPr>
              <w:pStyle w:val="TableContents"/>
              <w:bidi w:val="0"/>
              <w:spacing w:before="0" w:after="0"/>
              <w:ind w:left="0" w:right="0" w:hanging="0"/>
              <w:jc w:val="left"/>
              <w:rPr/>
            </w:pPr>
            <w:r>
              <w:rPr/>
              <w:t>​</w:t>
            </w:r>
          </w:p>
        </w:tc>
        <w:tc>
          <w:tcPr>
            <w:tcW w:w="20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Acquisition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46" w:type="dxa"/>
            <w:tcBorders/>
            <w:vAlign w:val="center"/>
          </w:tcPr>
          <w:p>
            <w:pPr>
              <w:pStyle w:val="TableContents"/>
              <w:bidi w:val="0"/>
              <w:spacing w:before="0" w:after="0"/>
              <w:ind w:left="0" w:right="0" w:hanging="0"/>
              <w:jc w:val="left"/>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Bastrop County, Texas</w:t>
            </w:r>
          </w:p>
        </w:tc>
        <w:tc>
          <w:tcPr>
            <w:tcW w:w="346" w:type="dxa"/>
            <w:tcBorders/>
            <w:shd w:fill="CCEEFF" w:val="clear"/>
            <w:vAlign w:val="center"/>
          </w:tcPr>
          <w:p>
            <w:pPr>
              <w:pStyle w:val="TableContents"/>
              <w:bidi w:val="0"/>
              <w:spacing w:before="0" w:after="0"/>
              <w:ind w:left="0" w:right="0" w:hanging="0"/>
              <w:jc w:val="left"/>
              <w:rPr/>
            </w:pPr>
            <w:r>
              <w:rPr/>
              <w:t> </w:t>
            </w:r>
          </w:p>
        </w:tc>
        <w:tc>
          <w:tcPr>
            <w:tcW w:w="1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368 Acres</w:t>
            </w:r>
          </w:p>
        </w:tc>
        <w:tc>
          <w:tcPr>
            <w:tcW w:w="406" w:type="dxa"/>
            <w:tcBorders/>
            <w:shd w:fill="CCEEFF" w:val="clear"/>
            <w:vAlign w:val="center"/>
          </w:tcPr>
          <w:p>
            <w:pPr>
              <w:pStyle w:val="TableContents"/>
              <w:bidi w:val="0"/>
              <w:spacing w:before="0" w:after="0"/>
              <w:ind w:left="0" w:right="0" w:hanging="0"/>
              <w:jc w:val="left"/>
              <w:rPr/>
            </w:pPr>
            <w:r>
              <w:rPr/>
              <w:t> </w:t>
            </w:r>
          </w:p>
        </w:tc>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35,319</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46" w:type="dxa"/>
            <w:tcBorders/>
            <w:vAlign w:val="center"/>
          </w:tcPr>
          <w:p>
            <w:pPr>
              <w:pStyle w:val="TableContents"/>
              <w:bidi w:val="0"/>
              <w:spacing w:before="0" w:after="0"/>
              <w:ind w:left="0" w:right="0" w:hanging="0"/>
              <w:jc w:val="left"/>
              <w:rPr/>
            </w:pPr>
            <w:r>
              <w:rPr/>
              <w:t>  ​ ​ ​</w:t>
            </w:r>
          </w:p>
        </w:tc>
        <w:tc>
          <w:tcPr>
            <w:tcW w:w="1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69 Acres</w:t>
            </w:r>
          </w:p>
        </w:tc>
        <w:tc>
          <w:tcPr>
            <w:tcW w:w="406" w:type="dxa"/>
            <w:tcBorders/>
            <w:vAlign w:val="center"/>
          </w:tcPr>
          <w:p>
            <w:pPr>
              <w:pStyle w:val="TableContents"/>
              <w:bidi w:val="0"/>
              <w:spacing w:before="0" w:after="0"/>
              <w:ind w:left="0" w:right="0" w:hanging="0"/>
              <w:jc w:val="left"/>
              <w:rPr/>
            </w:pPr>
            <w:r>
              <w:rPr/>
              <w:t>  ​ ​ ​ ​</w:t>
            </w:r>
          </w:p>
        </w:tc>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 ​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Horseshoe Bay, Texas</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38.5 Acres</w:t>
            </w:r>
          </w:p>
        </w:tc>
        <w:tc>
          <w:tcPr>
            <w:tcW w:w="406" w:type="dxa"/>
            <w:tcBorders/>
            <w:shd w:fill="CCEEFF" w:val="clear"/>
            <w:vAlign w:val="center"/>
          </w:tcPr>
          <w:p>
            <w:pPr>
              <w:pStyle w:val="TableContents"/>
              <w:bidi w:val="0"/>
              <w:spacing w:before="0" w:after="0"/>
              <w:ind w:left="0" w:right="0" w:hanging="0"/>
              <w:jc w:val="left"/>
              <w:rPr/>
            </w:pPr>
            <w:r>
              <w:rPr/>
              <w:t> </w:t>
            </w:r>
          </w:p>
        </w:tc>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2018-2019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County, Texas</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91.5 Acres</w:t>
            </w:r>
          </w:p>
        </w:tc>
        <w:tc>
          <w:tcPr>
            <w:tcW w:w="406" w:type="dxa"/>
            <w:tcBorders/>
            <w:vAlign w:val="center"/>
          </w:tcPr>
          <w:p>
            <w:pPr>
              <w:pStyle w:val="TableContents"/>
              <w:bidi w:val="0"/>
              <w:spacing w:before="0" w:after="0"/>
              <w:ind w:left="0" w:right="0" w:hanging="0"/>
              <w:jc w:val="left"/>
              <w:rPr/>
            </w:pPr>
            <w:r>
              <w:rPr/>
              <w:t> </w:t>
            </w:r>
          </w:p>
        </w:tc>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Venus, Texas</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Acres</w:t>
            </w:r>
          </w:p>
        </w:tc>
        <w:tc>
          <w:tcPr>
            <w:tcW w:w="406" w:type="dxa"/>
            <w:tcBorders/>
            <w:shd w:fill="CCEEFF" w:val="clear"/>
            <w:vAlign w:val="center"/>
          </w:tcPr>
          <w:p>
            <w:pPr>
              <w:pStyle w:val="TableContents"/>
              <w:bidi w:val="0"/>
              <w:spacing w:before="0" w:after="0"/>
              <w:ind w:left="0" w:right="0" w:hanging="0"/>
              <w:jc w:val="left"/>
              <w:rPr/>
            </w:pPr>
            <w:r>
              <w:rPr/>
              <w:t> </w:t>
            </w:r>
          </w:p>
        </w:tc>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Wise County, Texas</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81.5 Acres</w:t>
            </w:r>
          </w:p>
        </w:tc>
        <w:tc>
          <w:tcPr>
            <w:tcW w:w="406"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 Acres</w:t>
            </w:r>
          </w:p>
        </w:tc>
        <w:tc>
          <w:tcPr>
            <w:tcW w:w="406" w:type="dxa"/>
            <w:tcBorders/>
            <w:shd w:fill="CCEEFF" w:val="clear"/>
            <w:vAlign w:val="center"/>
          </w:tcPr>
          <w:p>
            <w:pPr>
              <w:pStyle w:val="TableContents"/>
              <w:bidi w:val="0"/>
              <w:spacing w:before="0" w:after="0"/>
              <w:ind w:left="0" w:right="0" w:hanging="0"/>
              <w:jc w:val="left"/>
              <w:rPr/>
            </w:pPr>
            <w:r>
              <w:rPr/>
              <w:t>​</w:t>
            </w:r>
          </w:p>
        </w:tc>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Richland, Mississippi (1)</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 Acres</w:t>
            </w:r>
          </w:p>
        </w:tc>
        <w:tc>
          <w:tcPr>
            <w:tcW w:w="406"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Bonham, Texas</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124.71 Acres </w:t>
            </w:r>
          </w:p>
        </w:tc>
        <w:tc>
          <w:tcPr>
            <w:tcW w:w="406" w:type="dxa"/>
            <w:tcBorders/>
            <w:shd w:fill="CCEEFF" w:val="clear"/>
            <w:vAlign w:val="center"/>
          </w:tcPr>
          <w:p>
            <w:pPr>
              <w:pStyle w:val="TableContents"/>
              <w:bidi w:val="0"/>
              <w:spacing w:before="0" w:after="0"/>
              <w:ind w:left="0" w:right="0" w:hanging="0"/>
              <w:jc w:val="left"/>
              <w:rPr/>
            </w:pPr>
            <w:r>
              <w:rPr/>
              <w:t>​</w:t>
            </w:r>
          </w:p>
        </w:tc>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December 2024 &amp; Sept 2025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Balch Springs, Texas (2)</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7.47 Acres</w:t>
            </w:r>
          </w:p>
        </w:tc>
        <w:tc>
          <w:tcPr>
            <w:tcW w:w="406"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2024 &amp; July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Austin, Texas (Travis County)</w:t>
            </w:r>
          </w:p>
        </w:tc>
        <w:tc>
          <w:tcPr>
            <w:tcW w:w="34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 Acres</w:t>
            </w:r>
          </w:p>
        </w:tc>
        <w:tc>
          <w:tcPr>
            <w:tcW w:w="406" w:type="dxa"/>
            <w:tcBorders/>
            <w:shd w:fill="CCEEFF" w:val="clear"/>
            <w:vAlign w:val="center"/>
          </w:tcPr>
          <w:p>
            <w:pPr>
              <w:pStyle w:val="TableContents"/>
              <w:bidi w:val="0"/>
              <w:spacing w:before="0" w:after="0"/>
              <w:ind w:left="0" w:right="0" w:hanging="0"/>
              <w:jc w:val="left"/>
              <w:rPr/>
            </w:pPr>
            <w:r>
              <w:rPr/>
              <w:t>​</w:t>
            </w:r>
          </w:p>
        </w:tc>
        <w:tc>
          <w:tcPr>
            <w:tcW w:w="20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20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15,080</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49,989</w:t>
            </w:r>
          </w:p>
        </w:tc>
      </w:tr>
    </w:tbl>
    <w:p>
      <w:pPr>
        <w:pStyle w:val="TextBody"/>
        <w:bidi w:val="0"/>
        <w:spacing w:before="0" w:after="0"/>
        <w:ind w:left="0" w:right="0" w:hanging="0"/>
        <w:jc w:val="left"/>
        <w:rPr/>
      </w:pPr>
      <w:r>
        <w:rPr/>
        <w:t>​</w:t>
      </w:r>
    </w:p>
    <w:tbl>
      <w:tblPr>
        <w:tblW w:w="9407" w:type="dxa"/>
        <w:jc w:val="left"/>
        <w:tblInd w:w="0" w:type="dxa"/>
        <w:tblLayout w:type="fixed"/>
        <w:tblCellMar>
          <w:top w:w="0" w:type="dxa"/>
          <w:left w:w="0" w:type="dxa"/>
          <w:bottom w:w="0" w:type="dxa"/>
          <w:right w:w="0" w:type="dxa"/>
        </w:tblCellMar>
      </w:tblPr>
      <w:tblGrid>
        <w:gridCol w:w="346"/>
        <w:gridCol w:w="90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and improvement values do not include the value of Company owned homes located in this community.</w:t>
            </w:r>
          </w:p>
        </w:tc>
      </w:tr>
    </w:tbl>
    <w:tbl>
      <w:tblPr>
        <w:tblW w:w="4502" w:type="dxa"/>
        <w:jc w:val="left"/>
        <w:tblInd w:w="0" w:type="dxa"/>
        <w:tblLayout w:type="fixed"/>
        <w:tblCellMar>
          <w:top w:w="0" w:type="dxa"/>
          <w:left w:w="0" w:type="dxa"/>
          <w:bottom w:w="0" w:type="dxa"/>
          <w:right w:w="0" w:type="dxa"/>
        </w:tblCellMar>
      </w:tblPr>
      <w:tblGrid>
        <w:gridCol w:w="346"/>
        <w:gridCol w:w="41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total land is due to a partial land sale.</w:t>
            </w:r>
          </w:p>
        </w:tc>
      </w:tr>
    </w:tbl>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also may provide financing solutions to certain manufactured housing community-owner customers in a manner that includes developing new sites for products in or near urban locations where there is a shortage of sites to place our products. These solutions are structured to give us an attractive return on investment when coupled with the gross margin we expect to make on products specifically targeted for sale to these new manufactured housing communities.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discussion should be read in conjunction with the information set forth in the financial statements and the accompanying notes appearing elsewhere in this Form 10-Q.</w:t>
      </w:r>
    </w:p>
    <w:p>
      <w:pPr>
        <w:pStyle w:val="TextBody"/>
        <w:bidi w:val="0"/>
        <w:spacing w:before="0" w:after="200"/>
        <w:ind w:left="0" w:right="0" w:firstLine="72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2026 and 2025 (in thousands)</w:t>
      </w:r>
    </w:p>
    <w:tbl>
      <w:tblPr>
        <w:tblW w:w="9103" w:type="dxa"/>
        <w:jc w:val="left"/>
        <w:tblInd w:w="0" w:type="dxa"/>
        <w:tblLayout w:type="fixed"/>
        <w:tblCellMar>
          <w:top w:w="0" w:type="dxa"/>
          <w:left w:w="0" w:type="dxa"/>
          <w:bottom w:w="0" w:type="dxa"/>
          <w:right w:w="0" w:type="dxa"/>
        </w:tblCellMar>
      </w:tblPr>
      <w:tblGrid>
        <w:gridCol w:w="3736"/>
        <w:gridCol w:w="346"/>
        <w:gridCol w:w="211"/>
        <w:gridCol w:w="691"/>
        <w:gridCol w:w="346"/>
        <w:gridCol w:w="211"/>
        <w:gridCol w:w="691"/>
        <w:gridCol w:w="346"/>
        <w:gridCol w:w="346"/>
        <w:gridCol w:w="691"/>
        <w:gridCol w:w="346"/>
        <w:gridCol w:w="826"/>
        <w:gridCol w:w="31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372360" cy="175260"/>
                      <wp:effectExtent l="0" t="0" r="0" b="0"/>
                      <wp:wrapNone/>
                      <wp:docPr id="382" name="Frame38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38785" cy="175260"/>
                      <wp:effectExtent l="0" t="0" r="0" b="0"/>
                      <wp:wrapNone/>
                      <wp:docPr id="385" name="Frame3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38785" cy="175260"/>
                      <wp:effectExtent l="0" t="0" r="0" b="0"/>
                      <wp:wrapNone/>
                      <wp:docPr id="388" name="Frame3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38785" cy="175260"/>
                      <wp:effectExtent l="0" t="0" r="0" b="0"/>
                      <wp:wrapNone/>
                      <wp:docPr id="391" name="Frame3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24510" cy="175260"/>
                      <wp:effectExtent l="0" t="0" r="0" b="0"/>
                      <wp:wrapNone/>
                      <wp:docPr id="393" name="Frame3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0660" cy="175260"/>
                      <wp:effectExtent l="0" t="0" r="0" b="0"/>
                      <wp:wrapNone/>
                      <wp:docPr id="394" name="Frame3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38,387</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15,373</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50,161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16,187</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25,941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other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 for loan loss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6,546</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16,817</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9,641</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8,670</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14,695</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8,786</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Product sales primarily consist of direct sales, commercial sales, inventory finance sales, retail store sales and workforce housing sales. Product sales increased $15.4 million, or 40.0%, during the three months ended June 30, 2026 as compared to the same period in 2025. This increase was driven primarily by the commencement of deliveries under the workforce-housing order described above, together with higher commercial sales, partially offset by lower inventory finance sales.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the three months ended June 30, 2026 and 2025:</w:t>
      </w:r>
    </w:p>
    <w:tbl>
      <w:tblPr>
        <w:tblW w:w="7393" w:type="dxa"/>
        <w:jc w:val="left"/>
        <w:tblInd w:w="0" w:type="dxa"/>
        <w:tblLayout w:type="fixed"/>
        <w:tblCellMar>
          <w:top w:w="0" w:type="dxa"/>
          <w:left w:w="0" w:type="dxa"/>
          <w:bottom w:w="0" w:type="dxa"/>
          <w:right w:w="0" w:type="dxa"/>
        </w:tblCellMar>
      </w:tblPr>
      <w:tblGrid>
        <w:gridCol w:w="2161"/>
        <w:gridCol w:w="346"/>
        <w:gridCol w:w="211"/>
        <w:gridCol w:w="676"/>
        <w:gridCol w:w="346"/>
        <w:gridCol w:w="211"/>
        <w:gridCol w:w="676"/>
        <w:gridCol w:w="346"/>
        <w:gridCol w:w="211"/>
        <w:gridCol w:w="676"/>
        <w:gridCol w:w="34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72235" cy="175260"/>
                      <wp:effectExtent l="0" t="0" r="0" b="0"/>
                      <wp:wrapNone/>
                      <wp:docPr id="395" name="Frame39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29260" cy="175260"/>
                      <wp:effectExtent l="0" t="0" r="0" b="0"/>
                      <wp:wrapNone/>
                      <wp:docPr id="398" name="Frame3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29260" cy="175260"/>
                      <wp:effectExtent l="0" t="0" r="0" b="0"/>
                      <wp:wrapNone/>
                      <wp:docPr id="401" name="Frame4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29260" cy="175260"/>
                      <wp:effectExtent l="0" t="0" r="0" b="0"/>
                      <wp:wrapNone/>
                      <wp:docPr id="404" name="Frame4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53085" cy="175260"/>
                      <wp:effectExtent l="0" t="0" r="0" b="0"/>
                      <wp:wrapNone/>
                      <wp:docPr id="406" name="Frame40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0660" cy="175260"/>
                      <wp:effectExtent l="0" t="0" r="0" b="0"/>
                      <wp:wrapNone/>
                      <wp:docPr id="407" name="Frame4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15,373</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June 30, 2026, our total product sales increased by 40.0% as compared to the same period in 2025. The increase reflected both an increase in unit volume of 27.3% (from 564 units in Q2 2025 to 718 units in Q2 2026) and an increase in net revenue per unit to $74.9 thousand from $68.1 thousand in Q2 2025, the latter driven by a shift in product mix. The most significant driver was the commencement of deliveries under the workforce-housing order, which contributed $25.5 million of product sales in the quarter, compared to $1.1 million in the prior-year period. Mobile home park (commercial) sales increased $1.5 million, or 12.5%, and other product sales increased $0.9 million, or 39.1%. These increases were partially offset by inventory finance sales, which decreased $10.1 million, or 73.6%, direct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sales, which decreased $0.9 million, or 40.0%, and retail store sales, which decreased $0.5 million, or 7.3%, each during the three months ended June 30, 2026 as compared to the same period in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Consumer, MHP and dealer loans interest income increased $0.6 million, or 5.4%, during the three months ended June 30, 2026 as compared to the same period in 2025, with the increase driven primarily by consumer loan portfolio interest.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Other revenue primarily consists of contract deposit forfeitures, consignment fees, commercial lease rents, land sales, portfolio service revenue, park rental income, storage fees, and other miscellaneous income, which increased $0.2 million, or 25.0%, during the three months ended June 30, 2026 as compared to the same period in 2025, primarily due to higher land sales associated with the sale of a small land parcel in Celina, TX.</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cost of product sales increased $7.6 million, or 29.2%, during the three months ended June 30, 2026 as compared to the same period in 2025, primarily as a result of the increase in units sold, including deliveries under the workforce-housing order. The cost of other sales decreased $0.6 million, or 94.9%, during the three months ended June 30, 2026 as compared to the same period in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Inventories, net increased $4.1 million from $39.9 million at December 31, 2025 to $43.9 million at June 30, 2026, driven primarily by an increase in finished goods inventory to support continued production, including units remaining to be delivered under the workforce-housing order described above.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increased $1.2 million, or 21.1%, during the three months ended June 30, 2026 as compared to the same period in 2025. The increase was driven primarily by a $0.9 million increase in professional and consulting fees, a $0.2 million increase in Heritage Housing payroll, a $0.2 million increase in service and warranty costs, and a combined $0.3 million increase in corporate general payroll and healthcare benefits expense, partially offset by a $0.3 million decrease in incentive compensation and a $0.1 million decrease in property tax.</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Other income (expense) decreased $1.0 million, or 101.2%, during the three months ended June 30, 2026 as compared to the same period in 2025, primarily due to lower non-operating interest income and increased non-operating expense associated with the write-off of a partial ownership interest in a mobile home park located in Corpus Christi, Texas.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During the second quarter of 2026, the Company began presenting provision for loan loss as a separate line item, previously included in selling, general and administrative expenses. Provision for loan loss was $(0.6) million and $1.1 million for the three months ended June 30, 2026 and 2025, respectively.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Income tax expense decreased $0.1 million during the three months ended June 30, 2026 as compared to the same period in 2025. The effective tax rate for the three months ended June 30, 2026 was 11.2%, compared to 17.3% for the same period in 2025, and differs from the federal statutory rate of 21% primarily due to the federal energy-efficient-home tax credit and the reversal of certain uncertain tax position accruals during the quarter.</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2026 and 2025 (in thousands)</w:t>
      </w:r>
    </w:p>
    <w:p>
      <w:pPr>
        <w:pStyle w:val="TextBody"/>
        <w:bidi w:val="0"/>
        <w:spacing w:before="0" w:after="200"/>
        <w:ind w:left="0" w:right="0" w:hanging="0"/>
        <w:jc w:val="left"/>
        <w:rPr/>
      </w:pPr>
      <w:r>
        <w:rPr/>
        <w:t>​</w:t>
      </w:r>
    </w:p>
    <w:tbl>
      <w:tblPr>
        <w:tblW w:w="9193" w:type="dxa"/>
        <w:jc w:val="left"/>
        <w:tblInd w:w="0" w:type="dxa"/>
        <w:tblLayout w:type="fixed"/>
        <w:tblCellMar>
          <w:top w:w="0" w:type="dxa"/>
          <w:left w:w="0" w:type="dxa"/>
          <w:bottom w:w="0" w:type="dxa"/>
          <w:right w:w="0" w:type="dxa"/>
        </w:tblCellMar>
      </w:tblPr>
      <w:tblGrid>
        <w:gridCol w:w="3736"/>
        <w:gridCol w:w="346"/>
        <w:gridCol w:w="211"/>
        <w:gridCol w:w="781"/>
        <w:gridCol w:w="346"/>
        <w:gridCol w:w="211"/>
        <w:gridCol w:w="691"/>
        <w:gridCol w:w="346"/>
        <w:gridCol w:w="346"/>
        <w:gridCol w:w="691"/>
        <w:gridCol w:w="346"/>
        <w:gridCol w:w="826"/>
        <w:gridCol w:w="31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372360" cy="175260"/>
                      <wp:effectExtent l="0" t="0" r="0" b="0"/>
                      <wp:wrapNone/>
                      <wp:docPr id="408" name="Frame40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5935" cy="175260"/>
                      <wp:effectExtent l="0" t="0" r="0" b="0"/>
                      <wp:wrapNone/>
                      <wp:docPr id="411" name="Frame4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8785" cy="175260"/>
                      <wp:effectExtent l="0" t="0" r="0" b="0"/>
                      <wp:wrapNone/>
                      <wp:docPr id="414" name="Frame4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38785" cy="175260"/>
                      <wp:effectExtent l="0" t="0" r="0" b="0"/>
                      <wp:wrapNone/>
                      <wp:docPr id="417" name="Frame4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24510" cy="175260"/>
                      <wp:effectExtent l="0" t="0" r="0" b="0"/>
                      <wp:wrapNone/>
                      <wp:docPr id="419" name="Frame4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0660" cy="175260"/>
                      <wp:effectExtent l="0" t="0" r="0" b="0"/>
                      <wp:wrapNone/>
                      <wp:docPr id="420" name="Frame4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62,677</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12,633</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14,883</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5,324</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other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 for loan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57,423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4,444</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10,439</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30,504</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9,438</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Product sales increased $12.6 million, or 20.2%, during the six months ended June 30, 2026 as compared to the same period in 2025. This increase was driven primarily by the commencement of deliveries under the workforce-housing order and by higher commercial and retail store sales, partially offset by lower inventory finance sales.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the six months ended June 30, 2026 and 2025:</w:t>
      </w:r>
    </w:p>
    <w:tbl>
      <w:tblPr>
        <w:tblW w:w="7393" w:type="dxa"/>
        <w:jc w:val="left"/>
        <w:tblInd w:w="0" w:type="dxa"/>
        <w:tblLayout w:type="fixed"/>
        <w:tblCellMar>
          <w:top w:w="0" w:type="dxa"/>
          <w:left w:w="0" w:type="dxa"/>
          <w:bottom w:w="0" w:type="dxa"/>
          <w:right w:w="0" w:type="dxa"/>
        </w:tblCellMar>
      </w:tblPr>
      <w:tblGrid>
        <w:gridCol w:w="2161"/>
        <w:gridCol w:w="346"/>
        <w:gridCol w:w="211"/>
        <w:gridCol w:w="676"/>
        <w:gridCol w:w="346"/>
        <w:gridCol w:w="211"/>
        <w:gridCol w:w="676"/>
        <w:gridCol w:w="346"/>
        <w:gridCol w:w="211"/>
        <w:gridCol w:w="676"/>
        <w:gridCol w:w="34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72235" cy="175260"/>
                      <wp:effectExtent l="0" t="0" r="0" b="0"/>
                      <wp:wrapNone/>
                      <wp:docPr id="421" name="Frame42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29260" cy="175260"/>
                      <wp:effectExtent l="0" t="0" r="0" b="0"/>
                      <wp:wrapNone/>
                      <wp:docPr id="424" name="Frame4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29260" cy="175260"/>
                      <wp:effectExtent l="0" t="0" r="0" b="0"/>
                      <wp:wrapNone/>
                      <wp:docPr id="427" name="Frame4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29260" cy="175260"/>
                      <wp:effectExtent l="0" t="0" r="0" b="0"/>
                      <wp:wrapNone/>
                      <wp:docPr id="430" name="Frame4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53085" cy="175260"/>
                      <wp:effectExtent l="0" t="0" r="0" b="0"/>
                      <wp:wrapNone/>
                      <wp:docPr id="432" name="Frame43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0660" cy="175260"/>
                      <wp:effectExtent l="0" t="0" r="0" b="0"/>
                      <wp:wrapNone/>
                      <wp:docPr id="433" name="Frame4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12,633</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2026, product sales increased $12.6 million, or 20.2%, reflecting a 12.7% increase in units sold and a 6.6% increase in net revenue per unit, the latter driven by a shift in mix toward higher-value units, including units delivered under the workforce-housing order. The commencement of deliveries under that order contributed $27.2 million of product sales, compared to $1.2 million in the prior-year period. Commercial sales increased $1.6 million, or 8.6%, retail store sales increased $2.2 million, or 20.5%, and other product sales increased $1.1 million, or 26.8%. These increases were partially offset by inventory finance sales, which decreased $17.7 million, or 71.5%, and direct sales, which decreased $0.6 million, or 15.5%, each during the six months ended June 30, 2026 as compared to the same period in 2025.</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Consumer, MHP and dealer loans interest income increased $1.3 million, or 5.8%, during the six months ended June 30, 2026 as compared to the same period in 2025, with the increase driven primarily by consumer loan portfolio interest, while MHP and dealer interest were essentially flat.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Other revenue increased $1.0 million, or 61.6%, during the six months ended June 30, 2026 as compared to the same period in 2025. This increase was primarily due to a $1 million increase in land sales compared to the same period in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cost of product sales increased $5.3 million, or 12.3%, during the six months ended June 30, 2026 as compared to the same period in 2025, primarily as a result of the increase in units sold, including deliveries under the workforce-housing order. The cost of other sales was $1.2 million during the six months ended June 30, 2026.</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Inventories, net increased $4.1 million from $39.9 million at December 31, 2025 to $43.9 million at June 30, 2026, driven primarily by an increase in finished goods inventory to support continued production, including units remaining to be delivered under the workforce-housing order described above.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decreased $0.2 million, or 2.1%, during the six months ended June 30, 2026 as compared to the same period in 2025. Increases in Heritage Housing payroll $0.5 million, professional and consulting fees $0.6 million, and depreciation and amortization $0.3 million were substantially offset by decreases in payroll-related healthcare costs $0.5 million, corporate and general payroll $0.4 million, payroll incentive compensation $0.5 million, and service and warranty costs $0.2 million.</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Other income (expense) decreased $1.5 million, or 70.3%, during the six months ended June 30, 2026 as compared to the same period in 2025, primarily due to lower miscellaneous income (including a $0.3 million contract cancellation fee received during the six months ended June 30, 2025) and lower non-operating interest income.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Provisions for loan loss were $0.8 million and $1.6 million for the six months ended June 30, 2026 and 2025,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Income tax expense decreased $0.5 million during the six months ended June 30, 2026 as compared to the same period in 2025. The effective tax rate for the six months ended June 30, 2026 was 12.8%, compared to 18.1% for the same period in 2025, and differs from the federal statutory rate of 21% primarily due to the federal energy-efficient-home tax credit and the reversal of certain uncertain tax position accruals.</w:t>
      </w:r>
    </w:p>
    <w:p>
      <w:pPr>
        <w:pStyle w:val="TextBody"/>
        <w:bidi w:val="0"/>
        <w:spacing w:before="0" w:after="200"/>
        <w:ind w:left="0" w:right="0" w:hanging="0"/>
        <w:jc w:val="left"/>
        <w:rPr/>
      </w:pPr>
      <w:r>
        <w:rPr/>
        <w:t>​</w:t>
      </w:r>
    </w:p>
    <w:p>
      <w:pPr>
        <w:pStyle w:val="TextBody"/>
        <w:bidi w:val="0"/>
        <w:spacing w:before="240" w:after="18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believe that cash flow from operations and cash at June 30, 2026, and availability on our lines of credit will be sufficient to fund our operations and provide for growth for the next 12 to 18 months and into the foreseeable future. See Lines of Credit, below, for additional information.</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Cash</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We maintain cash balances in bank accounts that may, at times, exceed federally insured limits. We have not incurred any losses from such accounts, and management considers the risk of loss to be minimal. As of June 30, 2026, we had approximately $29.0 million in cash, compared to $8.5 million as of December 31, 2025. We consider all cash and highly liquid investments with an original maturity of three months or less to be cash equivalents.</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720" w:right="0" w:hanging="0"/>
        <w:jc w:val="left"/>
        <w:rPr>
          <w:rFonts w:ascii="Times New Roman;Times;serif" w:hAnsi="Times New Roman;Times;serif"/>
          <w:b/>
          <w:i/>
          <w:sz w:val="20"/>
        </w:rPr>
      </w:pPr>
      <w:r>
        <w:rPr>
          <w:rFonts w:ascii="Times New Roman;Times;serif" w:hAnsi="Times New Roman;Times;serif"/>
          <w:b/>
          <w:i/>
          <w:sz w:val="20"/>
        </w:rPr>
        <w:t>Cash Flow Activities</w:t>
      </w:r>
    </w:p>
    <w:tbl>
      <w:tblPr>
        <w:tblW w:w="6007" w:type="dxa"/>
        <w:jc w:val="left"/>
        <w:tblInd w:w="0" w:type="dxa"/>
        <w:tblLayout w:type="fixed"/>
        <w:tblCellMar>
          <w:top w:w="0" w:type="dxa"/>
          <w:left w:w="0" w:type="dxa"/>
          <w:bottom w:w="0" w:type="dxa"/>
          <w:right w:w="0" w:type="dxa"/>
        </w:tblCellMar>
      </w:tblPr>
      <w:tblGrid>
        <w:gridCol w:w="3466"/>
        <w:gridCol w:w="346"/>
        <w:gridCol w:w="211"/>
        <w:gridCol w:w="691"/>
        <w:gridCol w:w="346"/>
        <w:gridCol w:w="211"/>
        <w:gridCol w:w="7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00910" cy="175260"/>
                      <wp:effectExtent l="0" t="0" r="0" b="0"/>
                      <wp:wrapNone/>
                      <wp:docPr id="434" name="Frame434"/>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38785" cy="175260"/>
                      <wp:effectExtent l="0" t="0" r="0" b="0"/>
                      <wp:wrapNone/>
                      <wp:docPr id="437" name="Frame4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67360" cy="175260"/>
                      <wp:effectExtent l="0" t="0" r="0" b="0"/>
                      <wp:wrapNone/>
                      <wp:docPr id="440" name="Frame44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2,631</w:t>
            </w:r>
          </w:p>
        </w:tc>
      </w:tr>
    </w:tbl>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Comparison of Cash Flow Activities from June 30, 2025 to June 30, 2026</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$24.4 million during the six months ended June 30, 2026, compared to net cash of $11.0 million provided by operating activities during the six months ended June 30, 2025, an increase of approximately $13.4 million. This change was primarily a result of cash provided from net income of $34.4 million, increased by non-cash adjustments of $1.1 million. Non-cash adjustments included increases to operating cash from depreciation and amortization expense, the provision for accounts and notes receivable, and the writeoff of investment in Corpus AmeriCasa, offset by decreases from amortization of deferred revenue, Loss from sale of property, deferred income taxes, and share based compensation expense. Changes in operating assets and liabilities reduced net cash provided by operations by $11.1 million, primarily as a result of increases in the consumer loan portfolio, notes receivable MHP portfolio, inventory, and other assets, together with decreases in accounts payable and accrued liabilities and the dealer incentive liability. These were partially offset by a $3.9 million decrease in accounts receivable, primarily related to a federal income tax refund, a decrease in the dealer inventory loan portfolio, and a $10.7 million increase in customer deposits. Approximately $7.1 million of the increase in customer deposits was attributable to a non-refundable advance deposit received during the first quarter of 2026 from a single customer in connection with a large order of manufactured homes intended for use as workforce housing; deliveries under that order commenced during the second quarter of 2026.</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$2.3 million for the six months ended June 30, 2026 compared to $3.1 million net cash used in investing activities for the six months ended June 30, 2025. Net cash used in investing activities for the six months ended June 30, 2026 was primarily attributable to $6.6 million used in development of property and purchases of machinery and equipment, as well as $0.8 million related to the issuance and modification of notes receivable. This was offset by increases to net cash from investing activities of $1.3 million from the sale of property, $3.7 million from notes receivable collections, and $0.1 million from purchased loan collections.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$1.7 million for the six months ended June 30, 2026 compared to $6.4 million net cash used in financing activities for the six months ended June 30, 2025. Net cash used in financing activities for the six months ended June 30, 2026 was primarily attributable to $0.7 million of stock repurchases and net payments of $1.0 million on lines of credit.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6, 2026, our Board of Directors authorized a new stock repurchase program under which the Company may repurchase up to $10.0 million of its outstanding common stock, par value $0.001 per share, from time to time through February 28, 2029. Repurchases may be made in the open market or through privately negotiated transactions, with the timing, manner, price and volume of any repurchases determined by the Company's Executive Chairman and Chief Executive Officer, or either of them, in their sole discretion, based on market conditions, the Company's cash reserves and cash flow, and the relative attractiveness of alternative uses of capital for operations, growth and share repurchases. Open market repurchases under the program are intended to be made in compliance with the non-exclusive safe harbor conditions of Rule 10b-18 under the Securities Exchange Act of 1934, as amended. Shares repurchased under the program will be held as treasury shares. The program does not obligate the Company to acquire any particular amount of common stock, has no expiration date prior to February 28, 2029, and may be suspended, modified or discontinued at any time without prior notice. The Company has determined that repurchases under the program are permitted under the terms of its existing bank credit facilities and other indebtedness. During the three months ended March 31, 2026, the Company repurchased 30,740 shares of common stock for $0.7 million under this program. The Company made no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repurchases in the three months ended June 30, 2026. As of June 30, 2026, the Company had a remaining authorization of approximately $9.3 million under this program.</w:t>
      </w:r>
    </w:p>
    <w:p>
      <w:pPr>
        <w:pStyle w:val="TextBody"/>
        <w:bidi w:val="0"/>
        <w:spacing w:before="80" w:after="80"/>
        <w:ind w:left="0" w:right="0" w:hanging="0"/>
        <w:jc w:val="left"/>
        <w:rPr>
          <w:rFonts w:ascii="Times New Roman;Times;serif" w:hAnsi="Times New Roman;Times;serif"/>
          <w:i/>
          <w:sz w:val="20"/>
        </w:rPr>
      </w:pPr>
      <w:r>
        <w:rPr>
          <w:rFonts w:ascii="Times New Roman;Times;serif" w:hAnsi="Times New Roman;Times;serif"/>
          <w:i/>
          <w:sz w:val="20"/>
        </w:rPr>
        <w:t>Lines of Credit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July 28, 2023, the Company entered into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 million and an additional $25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in Prepaid Expenses and Other Current Assets in the accompanying balance sheets and are amortized to interest expense over the life of the Revolver. The Revolver matures July 28, 2027.</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June 30, 2026 and 2025, interest expense under the Revolver was $0 and $3 thousand, respectively. The outstanding balance of the Revolver as of June 30, 2026 and December 31, 2025 was $0 and $0, respectively. The interest rate in effect as of June 30, 2026 and December 31, 2025 for the Revolver was 6.13% and 6.69%, respectively. The amount of available credit under the Revolver was $50 million and $50 million as of June 30, 2026 and December 31, 2025, respectively. The Revolver requires the Company to comply with certain financial and non-financial covenants. As of June 30, 2026, the Company was in compliance with all financial covenants, including that it maintain a maximum leverage ratio of no more than 1.00 to 1.00 and a minimum fixed charge coverage ratio of no less than 1.75 to 1.00.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Contractual Obligations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contractual cash obligations as of June 30, 2026:</w:t>
      </w:r>
    </w:p>
    <w:tbl>
      <w:tblPr>
        <w:tblW w:w="8352" w:type="dxa"/>
        <w:jc w:val="left"/>
        <w:tblInd w:w="0" w:type="dxa"/>
        <w:tblLayout w:type="fixed"/>
        <w:tblCellMar>
          <w:top w:w="0" w:type="dxa"/>
          <w:left w:w="0" w:type="dxa"/>
          <w:bottom w:w="0" w:type="dxa"/>
          <w:right w:w="0" w:type="dxa"/>
        </w:tblCellMar>
      </w:tblPr>
      <w:tblGrid>
        <w:gridCol w:w="2356"/>
        <w:gridCol w:w="346"/>
        <w:gridCol w:w="211"/>
        <w:gridCol w:w="571"/>
        <w:gridCol w:w="406"/>
        <w:gridCol w:w="466"/>
        <w:gridCol w:w="346"/>
        <w:gridCol w:w="976"/>
        <w:gridCol w:w="346"/>
        <w:gridCol w:w="976"/>
        <w:gridCol w:w="406"/>
        <w:gridCol w:w="94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96060" cy="175260"/>
                      <wp:effectExtent l="0" t="0" r="0" b="0"/>
                      <wp:wrapNone/>
                      <wp:docPr id="441" name="Frame441"/>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62585" cy="175260"/>
                      <wp:effectExtent l="0" t="0" r="0" b="0"/>
                      <wp:wrapNone/>
                      <wp:docPr id="444" name="Frame4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57810" cy="175260"/>
                      <wp:effectExtent l="0" t="0" r="0" b="0"/>
                      <wp:wrapNone/>
                      <wp:docPr id="445" name="Frame44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95910" cy="175260"/>
                      <wp:effectExtent l="0" t="0" r="0" b="0"/>
                      <wp:wrapNone/>
                      <wp:docPr id="446" name="Frame44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19760" cy="175260"/>
                      <wp:effectExtent l="0" t="0" r="0" b="0"/>
                      <wp:wrapNone/>
                      <wp:docPr id="448" name="Frame44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19760" cy="175260"/>
                      <wp:effectExtent l="0" t="0" r="0" b="0"/>
                      <wp:wrapNone/>
                      <wp:docPr id="450" name="Frame4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57810" cy="175260"/>
                      <wp:effectExtent l="0" t="0" r="0" b="0"/>
                      <wp:wrapNone/>
                      <wp:docPr id="451" name="Frame45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00710" cy="175260"/>
                      <wp:effectExtent l="0" t="0" r="0" b="0"/>
                      <wp:wrapNone/>
                      <wp:docPr id="452" name="Frame45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65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 (in thousands)</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406" w:type="dxa"/>
            <w:tcBorders/>
            <w:vAlign w:val="center"/>
          </w:tcPr>
          <w:p>
            <w:pPr>
              <w:pStyle w:val="TableContents"/>
              <w:bidi w:val="0"/>
              <w:spacing w:before="0" w:after="0"/>
              <w:ind w:left="0" w:right="0" w:hanging="0"/>
              <w:jc w:val="left"/>
              <w:rPr/>
            </w:pPr>
            <w:r>
              <w:rPr/>
              <w:t>  ​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2027 - 2028</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2029 - 2030</w:t>
            </w:r>
          </w:p>
        </w:tc>
        <w:tc>
          <w:tcPr>
            <w:tcW w:w="406" w:type="dxa"/>
            <w:tcBorders/>
            <w:vAlign w:val="center"/>
          </w:tcPr>
          <w:p>
            <w:pPr>
              <w:pStyle w:val="TableContents"/>
              <w:bidi w:val="0"/>
              <w:spacing w:before="0" w:after="0"/>
              <w:ind w:left="0" w:right="0" w:hanging="0"/>
              <w:jc w:val="left"/>
              <w:rPr/>
            </w:pPr>
            <w:r>
              <w:rPr/>
              <w:t>  ​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2030</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Lines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40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40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We did not have any off-balance sheet arrangements that are reasonably likely to have a current or future effect on our financial condition, net sales, results of operations, liquidity or capital expenditures. However, we do have repurchase agreements with financial institutions providing inventory financing for independent retailers of our products. Under these agreements, we have agreed to repurchase homes at declining prices over the term of the agreement. Our obligation under these repurchase agreements ceases upon the purchase of the home by the retail customer. The maximum amount of our contingent obligations under such repurchase agreements was approximately $0.5 million and $0.8 million as of June 30, 2026 and December 31, 2025, respectively, without reduction for the resale value of the homes. We may be required to honor contingent repurchase obligations in the future and may incur additional expenses as a consequence of these repurchase agreements. We consider our obligations on current contracts to be immaterial and accordingly we have not recorded any reserve for repurchase commitment as of June 30, 2026.</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Critical accounting estimates are those that we believe are both significant and require us to make difficult, subjective, or complex judgments, often because we need to estimate the effect of inherently uncertain matters. Our critical accounting estimates are identified and described in our Annual Report on Form 10-K for the year ended December 31,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2025. We discuss below the estimate areas in which there were material developments during the period covered by this report.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Allowance for Loan Losses on Consumer, MHP, Dealer, and Other Notes Receivable</w:t>
      </w:r>
    </w:p>
    <w:p>
      <w:pPr>
        <w:pStyle w:val="TextBody"/>
        <w:bidi w:val="0"/>
        <w:spacing w:before="100" w:after="10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allowance for loan losses on our consumer loan, manufactured housing community (MHP) note, dealer financed receivable, and other note receivable portfolios reflects management's estimate of losses inherent in those portfolios as of the balance sheet date. The allowance is composed of two components: a general reserve, calculated using the trailing three-year historical loss rate adjusted for an estimated loss discovery period and qualitative factors (including delinquency trends, borrower financial condition, collateral values and liquidity, and macroeconomic conditions); and specific reserves on individually identified impaired loans. The consumer loan portfolio is the largest and most judgment-intensive of these portfolios, with a balance of approximately $202.2 million as of June 30, 2026, compared to $199.3 million as of March 31, 2026 and $198.8 million as of December 31, 2025.</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total allowance for loan loss was $5.8 million as of June 30, 2026, compared to $6.7 million as of March 31, 2026 and $5.8 million as of December 31, 2025. Changes in delinquency, borrower condition, collateral values, or the qualitative factors described above could result in changes to the allowance that would be recognized in earnings in the period of change. We did not change our allowance methodology during the period.</w:t>
      </w:r>
    </w:p>
    <w:p>
      <w:pPr>
        <w:pStyle w:val="TextBody"/>
        <w:bidi w:val="0"/>
        <w:spacing w:before="0" w:after="16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information regarding recent accounting pronouncements, see Note 1 – Nature of Operations, Recent Accounting Pronouncements to our June 30, 2026 Financial Statements, included in Part I, Item 1, Financial Statements (Unaudited), of this Quarterly Report.</w:t>
      </w:r>
    </w:p>
    <w:p>
      <w:pPr>
        <w:pStyle w:val="TextBody"/>
        <w:bidi w:val="0"/>
        <w:spacing w:before="0" w:after="200"/>
        <w:ind w:left="0" w:right="0" w:hanging="0"/>
        <w:jc w:val="left"/>
        <w:rPr/>
      </w:pPr>
      <w:bookmarkStart w:id="1130" w:name="_f16e6603_edd3_4cfb_9e1b_e1a3a2d363a0"/>
      <w:bookmarkEnd w:id="1130"/>
      <w:r>
        <w:rPr/>
        <w:t>​</w:t>
      </w:r>
    </w:p>
    <w:p>
      <w:pPr>
        <w:pStyle w:val="TextBody"/>
        <w:bidi w:val="0"/>
        <w:spacing w:before="0" w:after="200"/>
        <w:ind w:left="0" w:right="0" w:hanging="0"/>
        <w:jc w:val="left"/>
        <w:rPr>
          <w:rFonts w:ascii="Times New Roman;Times;serif" w:hAnsi="Times New Roman;Times;serif"/>
          <w:b/>
          <w:sz w:val="20"/>
        </w:rPr>
      </w:pPr>
      <w:bookmarkStart w:id="1131" w:name="Item3QuantitativeandQualitativeDisclosur"/>
      <w:bookmarkEnd w:id="1131"/>
      <w:r>
        <w:rPr>
          <w:rFonts w:ascii="Times New Roman;Times;serif" w:hAnsi="Times New Roman;Times;serif"/>
          <w:b/>
          <w:sz w:val="20"/>
        </w:rPr>
        <w:t>Item 3. Quantitative and Qualitative Disclosures About Market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200"/>
        <w:ind w:left="0" w:right="0" w:hanging="0"/>
        <w:jc w:val="left"/>
        <w:rPr>
          <w:rFonts w:ascii="Times New Roman;Times;serif" w:hAnsi="Times New Roman;Times;serif"/>
          <w:b/>
          <w:sz w:val="20"/>
        </w:rPr>
      </w:pPr>
      <w:bookmarkStart w:id="1132" w:name="Item4ControlsandProcedures_709968"/>
      <w:bookmarkStart w:id="1133" w:name="_482adbfe_bf1b_44fd_9928_384318e5636f"/>
      <w:bookmarkEnd w:id="1132"/>
      <w:bookmarkEnd w:id="1133"/>
      <w:r>
        <w:rPr>
          <w:rFonts w:ascii="Times New Roman;Times;serif" w:hAnsi="Times New Roman;Times;serif"/>
          <w:b/>
          <w:sz w:val="20"/>
        </w:rPr>
        <w:t>Item 4. Controls and Procedures.</w:t>
      </w:r>
    </w:p>
    <w:p>
      <w:pPr>
        <w:pStyle w:val="TextBody"/>
        <w:bidi w:val="0"/>
        <w:spacing w:before="0" w:after="264"/>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the evaluation of our disclosure controls and procedures as of June 30, 2026, our Chief Executive Officer and Chief Financial Officer have concluded that our disclosure controls and procedures were not effective as of such date due to material weaknesses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light of the conclusion that our disclosure controls and procedures were not effective as of June 30, 2026, we have applied procedures and processes as necessary to ensure the reliability of our financial reporting in regard to this quarterly report.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material respects our financial condition, results of operations and cash flows as of and for the periods presented in this quarterly report.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previously disclosed in our Annual Report on Form 10-K filed with the SEC for the year ended December 31, 2025,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material weaknesses in financial reporting as of June 30, 2026 are summarized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we have not sufficiently designed, implemented, monitored or tested control activities, and we have not adequately maintained documentation or performed reviews and approvals of certain of these control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we do not have sufficient qualified accounting personnel to support the preparation of financial statements that comply with U.S. GAAP and SEC reporting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determined that we have not sufficiently designed, implemented or maintained information technology general controls over in-scope business processes and financial reporting systems.</w:t>
            </w:r>
            <w:r>
              <w:rPr>
                <w:caps w:val="false"/>
                <w:smallCaps w:val="false"/>
              </w:rPr>
              <w:t xml:space="preserve"> </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second quarter of fiscal 2026 that materially affected, or are reasonably likely to materially affect, our internal control over financial reporting.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Limitations on Effectiveness of Controls and Procedures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errors, mistakes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134" w:name="PARTIIOTHERINFORMATION_170690"/>
      <w:bookmarkStart w:id="1135" w:name="_25eb9292_a0bf_46bd_9179_292e1c07bfc6"/>
      <w:bookmarkEnd w:id="1134"/>
      <w:bookmarkEnd w:id="1135"/>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136" w:name="Item1LegalProceedings_348887"/>
      <w:bookmarkEnd w:id="1136"/>
      <w:r>
        <w:rPr>
          <w:rFonts w:ascii="Times New Roman;Times;serif" w:hAnsi="Times New Roman;Times;serif"/>
          <w:b/>
          <w:sz w:val="20"/>
        </w:rPr>
        <w:t>Item 1. Legal Proceedings.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13, 2026, Legacy Housing Corporation (the "Company") filed an Original Petition in the District Court of Tarrant County, Texas, captioned Legacy Housing Corporation v. AmeriCasa Solutions, LLC, et al. (Cause No. 342-375661-26). The defendants are AmeriCasa Solutions, LLC, AmeriCasa Dream Homes, Inc. (f/k/a Mobile Housing of Texas, Inc.), First Home Financial, LLC (f/k/a MHOT Financial, LLC), MHOT Insurance Agency LLC, AmeriCasa Communities LLC, AmeriCasa Asset Management, LLC, and Newton Visioncorp2, LLC (collectively, the "Seller Entities"); Norman Newton, the former principal of the Seller Entities, who served as the Company's Chief Revenue Officer following the closing and resigned from that position effective February 11, 2026; and Gregg T. Reyes. The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action arises out of the Company's November 17, 2025 acquisition of substantially all of the assets of the Seller Entities pursuant to an Asset and Membership Interest Purchase Agreement dated October 30, 2025, as amended (the "APA").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7, 2026, the Company filed an Amended Petition and Application for Temporary Restraining Order, Temporary Injunction, and Permanent Injunction (the "Amended Petition"). The Amended Petition added AmeriCasa IP Holdings, LLC as a defendant and seeks, among other things, an order requiring certain of the defendants to account for and segregate specified categories of funds attributable to the acquired assets, including escrow balances, consumer loan payments received on or after November 1, 2025, sales proceeds from inventory at the Houston dealership, insurance commissions, and operational credits.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Amended Petition asserts claims for fraudulent inducement and fraud, fraud by omission, statutory fraud in a real estate and stock transaction, breach of contract (under both the APA and Mr. Newton's employment agreement with the Company), conversion, money had and received, tortious interference with employment relationships, and declaratory judgment. The Company's claims relate principally to alleged misrepresentations and omissions made in connection with the APA regarding the historical performance and financial condition of the acquired assets and to the alleged post-closing misappropriation of receipts attributable to the acquired assets. The Company seeks monetary damages in excess of $1.0 million, exemplary damages, attorneys' fees, pre- and post-judgment interest, declaratory and injunctive relief, and, in the alternative, specific performance.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10, 2026, the District Court declined to issue the temporary restraining order requested by the Company, citing the availability of an adequate remedy at law. The Company's application for temporary and permanent injunctive relief, along with its claims for damages and other relief, remains pending.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16, 2026, the seller defendants removed the matter to the Texas Business Court, Eighth Division (Cause No. 26-BC08B-0013). On April 20, 2026, the seller defendants filed an answer asserting affirmative defenses and counterclaims against the Company. The counterclaims allege breach of contract (including alleged underpayment of the purchase price under the APA and alleged failure to honor assumed contracts), unjust enrichment, constructive termination of Mr. Newton's employment, and fraud, and seek monetary damages stated as $1.0 million or more, exemplary damages, and attorneys' fees. The Company believes the counterclaims are without merit and intends to defend against them.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believes its claims are meritorious and intends to pursue them. The litigation is in its early stages, and the Company is unable at this time to predict the outcome or to reasonably estimate the amount or range of any potential loss or recovery. An adverse outcome in the litigation, or further developments concerning the underlying facts, could result in an adjustment to the provisional amounts recorded in connection with the acquisition, or both, in a future period. For additional information, see Note 13 — Commitments and Contingencies, Note 16 — Related Party Transactions, and Note 17 — Subsequent Events to the Company's unaudited financial statements included in Part I, Item 1 of this Quarterly Report on Form 10-Q.</w:t>
      </w:r>
    </w:p>
    <w:p>
      <w:pPr>
        <w:pStyle w:val="TextBody"/>
        <w:bidi w:val="0"/>
        <w:spacing w:before="0" w:after="200"/>
        <w:ind w:left="0" w:right="0" w:hanging="0"/>
        <w:jc w:val="left"/>
        <w:rPr/>
      </w:pPr>
      <w:bookmarkStart w:id="1137" w:name="_33b901bd_1033_4737_8f48_9b5116b2c598"/>
      <w:bookmarkEnd w:id="1137"/>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38" w:name="Item_1A_Risk_Factors"/>
      <w:bookmarkEnd w:id="1138"/>
      <w:r>
        <w:rPr>
          <w:rFonts w:ascii="Times New Roman;Times;serif" w:hAnsi="Times New Roman;Times;serif"/>
          <w:b/>
          <w:sz w:val="20"/>
        </w:rPr>
        <w:t>Item 1A. Risk Factors.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should carefully consider the factors discussed under the section entitled “Risk Factors” in our Annual Report on Form 10-K for the year ended December 31, 2025 filed with the SEC on March 12, 2026, as such factors could materially affect our business, financial condition and future results. The risks described in our Annual Report are not the only risks that we face. Additional risks and uncertainties not currently known to us, or that we currently deem to be immaterial, also may have a material adverse impact on our business, financial condition or results of operations. There have been no material changes to the risk factors identified in our most recent Annual Report on Form 10-K.</w:t>
      </w:r>
    </w:p>
    <w:p>
      <w:pPr>
        <w:pStyle w:val="TextBody"/>
        <w:bidi w:val="0"/>
        <w:spacing w:before="0" w:after="200"/>
        <w:ind w:left="0" w:right="0" w:hanging="0"/>
        <w:jc w:val="left"/>
        <w:rPr>
          <w:rFonts w:ascii="Times New Roman;Times;serif" w:hAnsi="Times New Roman;Times;serif"/>
          <w:b/>
          <w:sz w:val="20"/>
        </w:rPr>
      </w:pPr>
      <w:bookmarkStart w:id="1139" w:name="Item2UnregisteredSalesofEquitySecurities"/>
      <w:bookmarkStart w:id="1140" w:name="_3d8098f0_8e0d_49df_a79b_bb93ca33b576"/>
      <w:bookmarkEnd w:id="1139"/>
      <w:bookmarkEnd w:id="1140"/>
      <w:r>
        <w:rPr>
          <w:rFonts w:ascii="Times New Roman;Times;serif" w:hAnsi="Times New Roman;Times;serif"/>
          <w:b/>
          <w:sz w:val="20"/>
        </w:rPr>
        <w:t xml:space="preserve">Item 2. Unregistered Sales of Equity Securities and Use of Proceeds.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w:t>
      </w:r>
      <w:r>
        <w:rPr>
          <w:rFonts w:ascii="Times New Roman;Times;serif" w:hAnsi="Times New Roman;Times;serif"/>
          <w:b/>
          <w:sz w:val="20"/>
        </w:rPr>
        <w:t>e</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41" w:name="DefaultsUpon_535854"/>
      <w:bookmarkStart w:id="1142" w:name="_188a53b8_7291_4023_a952_c8381b4b6fa6"/>
      <w:bookmarkEnd w:id="1141"/>
      <w:bookmarkEnd w:id="1142"/>
      <w:r>
        <w:rPr>
          <w:rFonts w:ascii="Times New Roman;Times;serif" w:hAnsi="Times New Roman;Times;serif"/>
          <w:b/>
          <w:sz w:val="20"/>
        </w:rPr>
        <w:t>Item 3. Defaults Upon Senior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143" w:name="MineSafety_773765"/>
      <w:bookmarkStart w:id="1144" w:name="_5bcdd3c4_cf39_48a7_9987_45509a5bd5aa"/>
      <w:bookmarkEnd w:id="1143"/>
      <w:bookmarkEnd w:id="1144"/>
      <w:r>
        <w:rPr>
          <w:rFonts w:ascii="Times New Roman;Times;serif" w:hAnsi="Times New Roman;Times;serif"/>
          <w:b/>
          <w:sz w:val="20"/>
        </w:rPr>
        <w:t>Item 4. Mine Safety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145" w:name="OtherInformation_946294"/>
      <w:bookmarkStart w:id="1146" w:name="_7ceec5b6_2b37_4863_812b_ba1cb8f7d009"/>
      <w:bookmarkEnd w:id="1145"/>
      <w:bookmarkEnd w:id="1146"/>
      <w:r>
        <w:rPr>
          <w:rFonts w:ascii="Times New Roman;Times;serif" w:hAnsi="Times New Roman;Times;serif"/>
          <w:b/>
          <w:sz w:val="20"/>
        </w:rPr>
        <w:t>Item 5. Other Information</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Rule 10b5-1 Trading Plans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 officers or directors adopted, modified, or terminated trading plans intended to satisfy the affirmative defense conditions of Rule 10b5-1(c) under the Securities Exchange Act of 1934, as amended.</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47" w:name="Item6Exhibits_809988"/>
      <w:bookmarkStart w:id="1148" w:name="_1ceaa7fe_ebce_42db_b169_6d217c13e3ce"/>
      <w:bookmarkEnd w:id="1147"/>
      <w:bookmarkEnd w:id="1148"/>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1740"/>
        <w:gridCol w:w="346"/>
        <w:gridCol w:w="8119"/>
      </w:tblGrid>
      <w:tr>
        <w:trPr/>
        <w:tc>
          <w:tcPr>
            <w:tcW w:w="1740"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  ​ ​ ​</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3.3</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Bylaws of Legacy Housing Corporation (formerly Legacy Housing Merger Sub, Inc.). (1)</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3.4</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the Bylaws of Legacy Housing Corporation. (1)</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3.5</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No. 2 to the Bylaws of Legacy Housing Corporation. (1)</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3.6</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No. 3 to the Bylaws of Legacy Housing Corporation. (1)</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3.7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Formation of Legacy Housing Corporation (formerly Legacy Housing Merger Sub, Inc.), a Texas for-profit corporation. (3)</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3.8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Merger of Legacy Housing Corporation with and into Legacy Housing Merger Sub, Inc. (3)</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4.1</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Common Stock Certificate. (4)</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4.2</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Description of Securities of the Registrant. (2)</w:t>
              </w:r>
            </w:hyperlink>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31.1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w:anchor="legh-20260630xex31d1.htm">
              <w:r>
                <w:rPr>
                  <w:rStyle w:val="InternetLink"/>
                  <w:rFonts w:ascii="Times New Roman;Times;serif" w:hAnsi="Times New Roman;Times;serif"/>
                  <w:b w:val="false"/>
                  <w:i w:val="false"/>
                  <w:caps w:val="false"/>
                  <w:smallCaps w:val="false"/>
                  <w:sz w:val="20"/>
                </w:rPr>
                <w:t>Rule 13a-14(a) / 15d-14(a) Certification of Principal Executive Officer.</w:t>
              </w:r>
            </w:hyperlink>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31.2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w:anchor="legh-20260630xex31d2.htm">
              <w:r>
                <w:rPr>
                  <w:rStyle w:val="InternetLink"/>
                  <w:rFonts w:ascii="Times New Roman;Times;serif" w:hAnsi="Times New Roman;Times;serif"/>
                  <w:b w:val="false"/>
                  <w:i w:val="false"/>
                  <w:caps w:val="false"/>
                  <w:smallCaps w:val="false"/>
                  <w:sz w:val="20"/>
                </w:rPr>
                <w:t>Rule 13a-14(a) / 15d-14(a) Certification of Principal Financial Officer.</w:t>
              </w:r>
            </w:hyperlink>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32.1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w:anchor="legh-20260630xex32d1.htm">
              <w:r>
                <w:rPr>
                  <w:rStyle w:val="InternetLink"/>
                  <w:rFonts w:ascii="Times New Roman;Times;serif" w:hAnsi="Times New Roman;Times;serif"/>
                  <w:b w:val="false"/>
                  <w:i w:val="false"/>
                  <w:caps w:val="false"/>
                  <w:smallCaps w:val="false"/>
                  <w:sz w:val="20"/>
                </w:rPr>
                <w:t>Section 1350 Certification of Principal Executive Officer.</w:t>
              </w:r>
            </w:hyperlink>
            <w:r>
              <w:rPr>
                <w:rFonts w:ascii="Times New Roman;Times;serif" w:hAnsi="Times New Roman;Times;serif"/>
                <w:sz w:val="20"/>
              </w:rPr>
              <w:t xml:space="preserve"> </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32.2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hyperlink w:anchor="legh-20260630xex32d2.htm">
              <w:r>
                <w:rPr>
                  <w:rStyle w:val="InternetLink"/>
                  <w:rFonts w:ascii="Times New Roman;Times;serif" w:hAnsi="Times New Roman;Times;serif"/>
                  <w:b w:val="false"/>
                  <w:i w:val="false"/>
                  <w:caps w:val="false"/>
                  <w:smallCaps w:val="false"/>
                  <w:sz w:val="20"/>
                </w:rPr>
                <w:t>Section 1350 Certification of Principal Financial Officer.</w:t>
              </w:r>
            </w:hyperlink>
            <w:r>
              <w:rPr>
                <w:rFonts w:ascii="Times New Roman;Times;serif" w:hAnsi="Times New Roman;Times;serif"/>
                <w:sz w:val="20"/>
              </w:rPr>
              <w:t xml:space="preserve"> </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101.INS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101.SCH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101.CAL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101.DEF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101.LAB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7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101.PRE *</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740"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pPr>
            <w:r>
              <w:rPr/>
              <w:t>​</w:t>
            </w:r>
          </w:p>
        </w:tc>
      </w:tr>
      <w:tr>
        <w:trPr/>
        <w:tc>
          <w:tcPr>
            <w:tcW w:w="174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with this Form 10-Q.</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Furnished with Form 10-Q.</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the Company’s Current Report on Form 8-K filed with the SEC on November 3, 2025.</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the Company’s Annual Report on Form 10-K for the year ended December 31, 2025 filed with the SEC on March 12, 2026.</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the Company’s Quarterly Report Form 10-Q for the quarter ended September 30, 2025 filed with the SEC on November 7, 2025.</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herein by reference to the Company’s Registration Statement on Form S-1 filed with the SEC on November 9, 2018</w:t>
            </w:r>
          </w:p>
        </w:tc>
      </w:tr>
    </w:tbl>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149" w:name="SIGNATURES_65971"/>
      <w:bookmarkStart w:id="1150" w:name="_b885e255_39ad_447b_b28e_fdfe839fc99b"/>
      <w:bookmarkEnd w:id="1149"/>
      <w:bookmarkEnd w:id="1150"/>
      <w:r>
        <w:rPr>
          <w:rFonts w:ascii="Times New Roman;Times;serif" w:hAnsi="Times New Roman;Times;serif"/>
          <w:b/>
          <w:sz w:val="20"/>
        </w:rPr>
        <w:t>SIGNATURES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18" w:type="dxa"/>
        <w:jc w:val="left"/>
        <w:tblInd w:w="0" w:type="dxa"/>
        <w:tblLayout w:type="fixed"/>
        <w:tblCellMar>
          <w:top w:w="0" w:type="dxa"/>
          <w:left w:w="0" w:type="dxa"/>
          <w:bottom w:w="0" w:type="dxa"/>
          <w:right w:w="0" w:type="dxa"/>
        </w:tblCellMar>
      </w:tblPr>
      <w:tblGrid>
        <w:gridCol w:w="1846"/>
        <w:gridCol w:w="406"/>
        <w:gridCol w:w="3766"/>
      </w:tblGrid>
      <w:tr>
        <w:trPr/>
        <w:tc>
          <w:tcPr>
            <w:tcW w:w="1846"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LEGACY HOUSING CORPORATION</w:t>
            </w:r>
          </w:p>
        </w:tc>
      </w:tr>
      <w:tr>
        <w:trPr/>
        <w:tc>
          <w:tcPr>
            <w:tcW w:w="1846"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E. SHIPLEY</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E. Shipley</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JON A. LANGBERT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Jon A. Langbert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firstLine="720"/>
        <w:jc w:val="right"/>
        <w:rPr>
          <w:rFonts w:ascii="Times New Roman;Times;serif" w:hAnsi="Times New Roman;Times;serif"/>
          <w:b/>
          <w:sz w:val="20"/>
        </w:rPr>
      </w:pPr>
      <w:bookmarkStart w:id="1151" w:name="legh-20260630xex31d1.htm"/>
      <w:bookmarkStart w:id="1152" w:name="kslegh20260630xex31d1"/>
      <w:bookmarkEnd w:id="1151"/>
      <w:bookmarkEnd w:id="1152"/>
      <w:r>
        <w:rPr>
          <w:rFonts w:ascii="Times New Roman;Times;serif" w:hAnsi="Times New Roman;Times;serif"/>
          <w:b/>
          <w:sz w:val="20"/>
        </w:rPr>
        <w:t>Exhibit 31.1</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Kenneth E. Shipley,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412" w:type="dxa"/>
        <w:jc w:val="center"/>
        <w:tblInd w:w="0" w:type="dxa"/>
        <w:tblLayout w:type="fixed"/>
        <w:tblCellMar>
          <w:top w:w="0" w:type="dxa"/>
          <w:left w:w="0" w:type="dxa"/>
          <w:bottom w:w="0" w:type="dxa"/>
          <w:right w:w="0" w:type="dxa"/>
        </w:tblCellMar>
      </w:tblPr>
      <w:tblGrid>
        <w:gridCol w:w="1846"/>
        <w:gridCol w:w="25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172210" cy="175260"/>
                      <wp:effectExtent l="0" t="0" r="0" b="0"/>
                      <wp:wrapNone/>
                      <wp:docPr id="453" name="Frame45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630045" cy="175260"/>
                      <wp:effectExtent l="0" t="0" r="0" b="0"/>
                      <wp:wrapNone/>
                      <wp:docPr id="454" name="Frame454"/>
                      <a:graphic xmlns:a="http://schemas.openxmlformats.org/drawingml/2006/main">
                        <a:graphicData uri="http://schemas.microsoft.com/office/word/2010/wordprocessingShape">
                          <wps:wsp>
                            <wps:cNvSpPr txBox="1"/>
                            <wps:spPr>
                              <a:xfrm>
                                <a:off x="0" y="0"/>
                                <a:ext cx="163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E. Shipley</w:t>
            </w:r>
          </w:p>
        </w:tc>
      </w:tr>
      <w:tr>
        <w:trPr/>
        <w:tc>
          <w:tcPr>
            <w:tcW w:w="1846" w:type="dxa"/>
            <w:tcBorders/>
            <w:vAlign w:val="center"/>
          </w:tcPr>
          <w:p>
            <w:pPr>
              <w:pStyle w:val="TableContents"/>
              <w:bidi w:val="0"/>
              <w:spacing w:before="0" w:after="0"/>
              <w:ind w:left="0" w:right="0" w:hanging="0"/>
              <w:jc w:val="left"/>
              <w:rPr/>
            </w:pPr>
            <w:r>
              <w:rPr/>
              <w:t>​</w:t>
            </w:r>
          </w:p>
        </w:tc>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Kenneth Shipley</w:t>
            </w:r>
          </w:p>
        </w:tc>
      </w:tr>
      <w:tr>
        <w:trPr/>
        <w:tc>
          <w:tcPr>
            <w:tcW w:w="184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1153" w:name="legh-20260630xex31d2.htm"/>
      <w:bookmarkStart w:id="1154" w:name="kslegh20260630xex31d2"/>
      <w:bookmarkEnd w:id="1153"/>
      <w:bookmarkEnd w:id="1154"/>
      <w:r>
        <w:rPr>
          <w:rFonts w:ascii="Times New Roman;Times;serif" w:hAnsi="Times New Roman;Times;serif"/>
          <w:b/>
          <w:sz w:val="20"/>
        </w:rPr>
        <w:t>Exhibit 31.2</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AND ACCOUNTING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Jon A. Langbert,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5612" w:type="dxa"/>
        <w:jc w:val="center"/>
        <w:tblInd w:w="0" w:type="dxa"/>
        <w:tblLayout w:type="fixed"/>
        <w:tblCellMar>
          <w:top w:w="0" w:type="dxa"/>
          <w:left w:w="0" w:type="dxa"/>
          <w:bottom w:w="0" w:type="dxa"/>
          <w:right w:w="0" w:type="dxa"/>
        </w:tblCellMar>
      </w:tblPr>
      <w:tblGrid>
        <w:gridCol w:w="1846"/>
        <w:gridCol w:w="37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172210" cy="175260"/>
                      <wp:effectExtent l="0" t="0" r="0" b="0"/>
                      <wp:wrapNone/>
                      <wp:docPr id="455" name="Frame45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392045" cy="175260"/>
                      <wp:effectExtent l="0" t="0" r="0" b="0"/>
                      <wp:wrapNone/>
                      <wp:docPr id="456" name="Frame456"/>
                      <a:graphic xmlns:a="http://schemas.openxmlformats.org/drawingml/2006/main">
                        <a:graphicData uri="http://schemas.microsoft.com/office/word/2010/wordprocessingShape">
                          <wps:wsp>
                            <wps:cNvSpPr txBox="1"/>
                            <wps:spPr>
                              <a:xfrm>
                                <a:off x="0" y="0"/>
                                <a:ext cx="2392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Jon A. Langbert</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Jon A. Langbert</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1155" w:name="legh-20260630xex32d1.htm"/>
      <w:bookmarkStart w:id="1156" w:name="kslegh20260630xex32d1"/>
      <w:bookmarkEnd w:id="1155"/>
      <w:bookmarkEnd w:id="1156"/>
      <w:r>
        <w:rPr>
          <w:rFonts w:ascii="Times New Roman;Times;serif" w:hAnsi="Times New Roman;Times;serif"/>
          <w:b/>
          <w:sz w:val="20"/>
        </w:rPr>
        <w:t>Exhibit 32.1</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June 30, 2026, as filed with the Securities and Exchange Commission on the date hereof (the “Report”), I, Kenneth E. Shipley, Chief Executive Officer of the Company, certify, pursuant to 18 U.S.C. §1350, as adopted pursuant to Section 906 of the Sarbanes-Oxley Act of 2002, that to my knowledge:</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4412" w:type="dxa"/>
        <w:jc w:val="center"/>
        <w:tblInd w:w="0" w:type="dxa"/>
        <w:tblLayout w:type="fixed"/>
        <w:tblCellMar>
          <w:top w:w="0" w:type="dxa"/>
          <w:left w:w="0" w:type="dxa"/>
          <w:bottom w:w="0" w:type="dxa"/>
          <w:right w:w="0" w:type="dxa"/>
        </w:tblCellMar>
      </w:tblPr>
      <w:tblGrid>
        <w:gridCol w:w="1846"/>
        <w:gridCol w:w="2566"/>
      </w:tblGrid>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Kenneth E. Shipley </w:t>
            </w:r>
          </w:p>
        </w:tc>
      </w:tr>
      <w:tr>
        <w:trPr/>
        <w:tc>
          <w:tcPr>
            <w:tcW w:w="1846" w:type="dxa"/>
            <w:tcBorders/>
            <w:vAlign w:val="center"/>
          </w:tcPr>
          <w:p>
            <w:pPr>
              <w:pStyle w:val="TableContents"/>
              <w:bidi w:val="0"/>
              <w:spacing w:before="0" w:after="0"/>
              <w:ind w:left="0" w:right="0" w:hanging="0"/>
              <w:jc w:val="left"/>
              <w:rPr/>
            </w:pPr>
            <w:r>
              <w:rPr/>
              <w:t>​</w:t>
            </w:r>
          </w:p>
        </w:tc>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Kenneth E. Shipley</w:t>
            </w:r>
          </w:p>
        </w:tc>
      </w:tr>
      <w:tr>
        <w:trPr/>
        <w:tc>
          <w:tcPr>
            <w:tcW w:w="184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1157" w:name="legh-20260630xex32d2.htm"/>
      <w:bookmarkStart w:id="1158" w:name="kslegh20260630xex32d2"/>
      <w:bookmarkEnd w:id="1157"/>
      <w:bookmarkEnd w:id="1158"/>
      <w:r>
        <w:rPr>
          <w:rFonts w:ascii="Times New Roman;Times;serif" w:hAnsi="Times New Roman;Times;serif"/>
          <w:b/>
          <w:sz w:val="20"/>
        </w:rPr>
        <w:t>Exhibit 32.2</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June 30, 2026, as filed with the Securities and Exchange Commission on the date hereof (the “Report”), I, Jon A. Langbert, Chief Financial Officer of the Company, certify, pursuant to 18 U.S.C. §1350, as adopted pursuant to Section 906 of the Sarbanes-Oxley Act of 2002, that to my knowledge:</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5612" w:type="dxa"/>
        <w:jc w:val="center"/>
        <w:tblInd w:w="0" w:type="dxa"/>
        <w:tblLayout w:type="fixed"/>
        <w:tblCellMar>
          <w:top w:w="0" w:type="dxa"/>
          <w:left w:w="0" w:type="dxa"/>
          <w:bottom w:w="0" w:type="dxa"/>
          <w:right w:w="0" w:type="dxa"/>
        </w:tblCellMar>
      </w:tblPr>
      <w:tblGrid>
        <w:gridCol w:w="1846"/>
        <w:gridCol w:w="3766"/>
      </w:tblGrid>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Jon A. Langbert </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Jon A. Langbert</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6208/000110465925105634/tm2530011d1_ex3-1.htm" TargetMode="External"/><Relationship Id="rId3" Type="http://schemas.openxmlformats.org/officeDocument/2006/relationships/hyperlink" Target="https://www.sec.gov/Archives/edgar/data/1436208/000110465925105634/tm2530011d1_ex3-2.htm" TargetMode="External"/><Relationship Id="rId4" Type="http://schemas.openxmlformats.org/officeDocument/2006/relationships/hyperlink" Target="https://www.sec.gov/Archives/edgar/data/1436208/000110465925105634/tm2530011d1_ex3-3.htm" TargetMode="External"/><Relationship Id="rId5" Type="http://schemas.openxmlformats.org/officeDocument/2006/relationships/hyperlink" Target="https://www.sec.gov/Archives/edgar/data/1436208/000110465925105634/tm2530011d1_ex3-4.htm" TargetMode="External"/><Relationship Id="rId6" Type="http://schemas.openxmlformats.org/officeDocument/2006/relationships/hyperlink" Target="https://www.sec.gov/Archives/edgar/data/1436208/000110465925108551/legh-20250930xex3d3.htm" TargetMode="External"/><Relationship Id="rId7" Type="http://schemas.openxmlformats.org/officeDocument/2006/relationships/hyperlink" Target="https://www.sec.gov/Archives/edgar/data/1436208/000110465925108551/legh-20250930xex3d4.htm" TargetMode="External"/><Relationship Id="rId8" Type="http://schemas.openxmlformats.org/officeDocument/2006/relationships/hyperlink" Target="https://www.sec.gov/Archives/edgar/data/1436208/000104746918007147/a2236789zex-4_1.htm" TargetMode="External"/><Relationship Id="rId9" Type="http://schemas.openxmlformats.org/officeDocument/2006/relationships/hyperlink" Target="https://www.sec.gov/Archives/edgar/data/1436208/000155837025002822/legh-20241231xex4d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21582</Words>
  <Characters>116749</Characters>
  <CharactersWithSpaces>140084</CharactersWithSpaces>
  <Paragraphs>5980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