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74930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4" w:lineRule="exact"/>
        <w:rPr>
          <w:sz w:val="24"/>
          <w:szCs w:val="24"/>
          <w:color w:val="auto"/>
        </w:rPr>
      </w:pPr>
    </w:p>
    <w:p>
      <w:pPr>
        <w:ind w:left="450" w:right="180" w:hanging="450"/>
        <w:spacing w:after="0" w:line="270" w:lineRule="auto"/>
        <w:tabs>
          <w:tab w:leader="none" w:pos="45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7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2" w:lineRule="exact"/>
        <w:rPr>
          <w:sz w:val="24"/>
          <w:szCs w:val="24"/>
          <w:color w:val="auto"/>
        </w:rPr>
      </w:pPr>
    </w:p>
    <w:p>
      <w:pPr>
        <w:ind w:left="450" w:right="160" w:hanging="450"/>
        <w:spacing w:after="0" w:line="270" w:lineRule="auto"/>
        <w:tabs>
          <w:tab w:leader="none" w:pos="45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 w:lineRule="exact"/>
        <w:rPr>
          <w:sz w:val="24"/>
          <w:szCs w:val="24"/>
          <w:color w:val="auto"/>
        </w:rPr>
      </w:pPr>
    </w:p>
    <w:p>
      <w:pPr>
        <w:ind w:left="3770"/>
        <w:spacing w:after="0"/>
        <w:tabs>
          <w:tab w:leader="none" w:pos="62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Legacy Housing Corporation</w:t>
      </w:r>
    </w:p>
    <w:p>
      <w:pPr>
        <w:spacing w:after="0" w:line="4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p>
      <w:pPr>
        <w:spacing w:after="0" w:line="296" w:lineRule="exact"/>
        <w:rPr>
          <w:sz w:val="24"/>
          <w:szCs w:val="24"/>
          <w:color w:val="auto"/>
        </w:rPr>
      </w:pPr>
    </w:p>
    <w:p>
      <w:pPr>
        <w:ind w:left="239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8" w:lineRule="exact"/>
        <w:rPr>
          <w:sz w:val="24"/>
          <w:szCs w:val="24"/>
          <w:color w:val="auto"/>
        </w:rPr>
      </w:pPr>
    </w:p>
    <w:p>
      <w:pPr>
        <w:ind w:left="165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1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20-2897516</w:t>
      </w:r>
    </w:p>
    <w:p>
      <w:pPr>
        <w:spacing w:after="0" w:line="2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0" w:lineRule="exact"/>
        <w:rPr>
          <w:sz w:val="24"/>
          <w:szCs w:val="24"/>
          <w:color w:val="auto"/>
        </w:rPr>
      </w:pPr>
    </w:p>
    <w:p>
      <w:pPr>
        <w:sectPr>
          <w:pgSz w:w="11900" w:h="16838" w:orient="portrait"/>
          <w:cols w:equalWidth="0" w:num="2">
            <w:col w:w="6370" w:space="720"/>
            <w:col w:w="3140"/>
          </w:cols>
          <w:pgMar w:left="830" w:top="661" w:right="839" w:bottom="1440" w:gutter="0" w:footer="0" w:header="0"/>
          <w:type w:val="continuous"/>
        </w:sect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1600 Airport Freeway, #100</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Bedford, Texas 76022</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(Zip Code)</w:t>
      </w:r>
    </w:p>
    <w:p>
      <w:pPr>
        <w:sectPr>
          <w:pgSz w:w="11900" w:h="16838" w:orient="portrait"/>
          <w:cols w:equalWidth="0" w:num="1">
            <w:col w:w="10230"/>
          </w:cols>
          <w:pgMar w:left="830" w:top="661" w:right="839" w:bottom="1440" w:gutter="0" w:footer="0" w:header="0"/>
          <w:type w:val="continuous"/>
        </w:sectPr>
      </w:pP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(817) 799-4900</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135890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2" w:lineRule="exact"/>
        <w:rPr>
          <w:sz w:val="24"/>
          <w:szCs w:val="24"/>
          <w:color w:val="auto"/>
        </w:rPr>
      </w:pPr>
    </w:p>
    <w:p>
      <w:pPr>
        <w:ind w:left="10" w:right="3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left="10" w:right="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0" w:right="52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type w:val="continuous"/>
        </w:sectPr>
      </w:pPr>
    </w:p>
    <w:p>
      <w:pPr>
        <w:spacing w:after="0" w:line="2" w:lineRule="exact"/>
        <w:rPr>
          <w:sz w:val="24"/>
          <w:szCs w:val="24"/>
          <w:color w:val="auto"/>
        </w:rPr>
      </w:pPr>
    </w:p>
    <w:p>
      <w:pPr>
        <w:ind w:left="169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530" w:space="720"/>
            <w:col w:w="2980"/>
          </w:cols>
          <w:pgMar w:left="830" w:top="661" w:right="839" w:bottom="1440" w:gutter="0" w:footer="0" w:header="0"/>
          <w:type w:val="continuous"/>
        </w:sectPr>
      </w:pPr>
    </w:p>
    <w:p>
      <w:pPr>
        <w:spacing w:after="0" w:line="21" w:lineRule="exact"/>
        <w:rPr>
          <w:sz w:val="24"/>
          <w:szCs w:val="24"/>
          <w:color w:val="auto"/>
        </w:rPr>
      </w:pPr>
    </w:p>
    <w:p>
      <w:pPr>
        <w:ind w:left="173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ectPr>
          <w:pgSz w:w="11900" w:h="16838" w:orient="portrait"/>
          <w:cols w:equalWidth="0" w:num="2">
            <w:col w:w="6190" w:space="720"/>
            <w:col w:w="3320"/>
          </w:cols>
          <w:pgMar w:left="830" w:top="661" w:right="839" w:bottom="1440" w:gutter="0" w:footer="0" w:header="0"/>
          <w:type w:val="continuous"/>
        </w:sectPr>
      </w:pPr>
    </w:p>
    <w:p>
      <w:pPr>
        <w:ind w:left="10" w:right="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73"/>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color w:val="auto"/>
              </w:rPr>
              <w:t>LEGH</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14" w:lineRule="exact"/>
        <w:rPr>
          <w:sz w:val="24"/>
          <w:szCs w:val="24"/>
          <w:color w:val="auto"/>
        </w:rPr>
      </w:pPr>
    </w:p>
    <w:p>
      <w:pPr>
        <w:ind w:left="650"/>
        <w:spacing w:after="0"/>
        <w:rPr>
          <w:sz w:val="20"/>
          <w:szCs w:val="20"/>
          <w:color w:val="auto"/>
        </w:rPr>
      </w:pPr>
      <w:r>
        <w:rPr>
          <w:rFonts w:ascii="Times New Roman" w:cs="Times New Roman" w:eastAsia="Times New Roman" w:hAnsi="Times New Roman"/>
          <w:sz w:val="16"/>
          <w:szCs w:val="16"/>
          <w:color w:val="auto"/>
        </w:rPr>
        <w:t>There were 23,783,038 shares of Common Stock ($0.001 par value) outstanding as of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577850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140335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75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8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LEGACY HOUSING CORPORATION</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PART I - FINANCIAL INFORMATION</w:t>
            </w:r>
          </w:p>
        </w:tc>
        <w:tc>
          <w:tcPr>
            <w:tcW w:w="4580" w:type="dxa"/>
            <w:vAlign w:val="bottom"/>
            <w:gridSpan w:val="3"/>
          </w:tcPr>
          <w:p>
            <w:pPr>
              <w:spacing w:after="0"/>
              <w:rPr>
                <w:sz w:val="17"/>
                <w:szCs w:val="17"/>
                <w:color w:val="auto"/>
              </w:rPr>
            </w:pPr>
          </w:p>
        </w:tc>
        <w:tc>
          <w:tcPr>
            <w:tcW w:w="1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Financial Statements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2"/>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640" w:type="dxa"/>
            <w:vAlign w:val="bottom"/>
            <w:tcBorders>
              <w:top w:val="single" w:sz="8" w:color="0000EE"/>
            </w:tcBorders>
            <w:gridSpan w:val="7"/>
          </w:tcPr>
          <w:p>
            <w:pPr>
              <w:ind w:left="80"/>
              <w:spacing w:after="0"/>
              <w:rPr>
                <w:sz w:val="20"/>
                <w:szCs w:val="20"/>
                <w:color w:val="auto"/>
              </w:rPr>
            </w:pPr>
            <w:r>
              <w:rPr>
                <w:rFonts w:ascii="Times New Roman" w:cs="Times New Roman" w:eastAsia="Times New Roman" w:hAnsi="Times New Roman"/>
                <w:sz w:val="18"/>
                <w:szCs w:val="18"/>
                <w:color w:val="0000EE"/>
              </w:rPr>
              <w:t>Legal Proceedings</w:t>
            </w:r>
          </w:p>
        </w:tc>
        <w:tc>
          <w:tcPr>
            <w:tcW w:w="4900" w:type="dxa"/>
            <w:vAlign w:val="bottom"/>
            <w:gridSpan w:val="5"/>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Other Information</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Exhibits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675"/>
        </w:trPr>
        <w:tc>
          <w:tcPr>
            <w:tcW w:w="2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60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80" w:type="dxa"/>
            <w:vAlign w:val="bottom"/>
          </w:tcPr>
          <w:p>
            <w:pPr>
              <w:jc w:val="center"/>
              <w:ind w:left="1572"/>
              <w:spacing w:after="0"/>
              <w:rPr>
                <w:sz w:val="20"/>
                <w:szCs w:val="20"/>
                <w:color w:val="auto"/>
              </w:rPr>
            </w:pPr>
            <w:r>
              <w:rPr>
                <w:rFonts w:ascii="Times New Roman" w:cs="Times New Roman" w:eastAsia="Times New Roman" w:hAnsi="Times New Roman"/>
                <w:sz w:val="14"/>
                <w:szCs w:val="14"/>
                <w:b w:val="1"/>
                <w:bCs w:val="1"/>
                <w:color w:val="auto"/>
              </w:rPr>
              <w:t>LEGACY HOUSING CORPORATION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80" w:type="dxa"/>
            <w:vAlign w:val="bottom"/>
          </w:tcPr>
          <w:p>
            <w:pPr>
              <w:jc w:val="center"/>
              <w:ind w:left="1592"/>
              <w:spacing w:after="0" w:line="157"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80" w:type="dxa"/>
            <w:vAlign w:val="bottom"/>
          </w:tcPr>
          <w:p>
            <w:pPr>
              <w:jc w:val="center"/>
              <w:ind w:left="1572"/>
              <w:spacing w:after="0"/>
              <w:rPr>
                <w:sz w:val="20"/>
                <w:szCs w:val="20"/>
                <w:color w:val="auto"/>
              </w:rPr>
            </w:pPr>
            <w:r>
              <w:rPr>
                <w:rFonts w:ascii="Times New Roman" w:cs="Times New Roman" w:eastAsia="Times New Roman" w:hAnsi="Times New Roman"/>
                <w:sz w:val="11"/>
                <w:szCs w:val="11"/>
                <w:b w:val="1"/>
                <w:bCs w:val="1"/>
                <w:color w:val="auto"/>
                <w:w w:val="98"/>
              </w:rPr>
              <w:t>(in thousands, except share data)</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80" w:type="dxa"/>
            <w:vAlign w:val="bottom"/>
          </w:tcPr>
          <w:p>
            <w:pPr>
              <w:ind w:left="59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30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w w:val="92"/>
              </w:rPr>
              <w:t>2026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75"/>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80" w:type="dxa"/>
            <w:vAlign w:val="bottom"/>
            <w:shd w:val="clear" w:color="auto" w:fill="CCEEFF"/>
          </w:tcPr>
          <w:p>
            <w:pPr>
              <w:jc w:val="center"/>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60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30,839</w:t>
            </w:r>
          </w:p>
        </w:tc>
        <w:tc>
          <w:tcPr>
            <w:tcW w:w="30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30,378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receivable from loan portfolios,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refund receivable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Dealer financed receivables,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Consumer loans receivable, current portion,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Notes receivable from mobile home parks (“MHP”), current portion,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notes receivable, current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39,611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158,890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164,656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66,842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Consumer loans receivable,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194,937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Notes receivable from mobile home parks,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184,372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notes receivable,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 - leased mobile homes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ROU assets - operating leases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6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5,584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gridSpan w:val="2"/>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635,733</w:t>
            </w:r>
          </w:p>
        </w:tc>
        <w:tc>
          <w:tcPr>
            <w:tcW w:w="220" w:type="dxa"/>
            <w:vAlign w:val="bottom"/>
            <w:tcBorders>
              <w:bottom w:val="single" w:sz="8" w:color="CCEEFF"/>
            </w:tcBorders>
            <w:gridSpan w:val="2"/>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580,337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80" w:type="dxa"/>
            <w:vAlign w:val="bottom"/>
            <w:vMerge w:val="restart"/>
          </w:tcPr>
          <w:p>
            <w:pPr>
              <w:jc w:val="center"/>
              <w:ind w:right="692"/>
              <w:spacing w:after="0" w:line="147"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6,119</w:t>
            </w:r>
          </w:p>
        </w:tc>
        <w:tc>
          <w:tcPr>
            <w:tcW w:w="30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Customer deposits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Escrow liability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Borders>
              <w:bottom w:val="single" w:sz="8" w:color="CCEEFF"/>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obligation, current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48,881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46,858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liabilities: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obligation,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Product refund liability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Lines of credit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Borders>
              <w:bottom w:val="single" w:sz="8" w:color="CCEEFF"/>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Dealer incentive liability</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53,338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51,723</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Preferred stock, $.001 par value, 10,000,000 shares authorized: no shares issued or outstanding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4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$.001 par value, 90,000,000 shares authorized; 24,867,779 issued and 23,783,038 and</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23,812,341 outstanding at September 30, 2026 and December 31, 2025, respectively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4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4"/>
                <w:szCs w:val="14"/>
                <w:color w:val="auto"/>
              </w:rPr>
              <w:t>Treasury stock at cost, 1,084,741 and 1,054,001 shares at September 30, 2026 and December 31, 2025,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(18,150)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respectively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182,766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Borders>
              <w:bottom w:val="single" w:sz="8" w:color="CCEEFF"/>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417,747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582,395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528,614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635,733</w:t>
            </w:r>
          </w:p>
        </w:tc>
        <w:tc>
          <w:tcPr>
            <w:tcW w:w="220" w:type="dxa"/>
            <w:vAlign w:val="bottom"/>
            <w:gridSpan w:val="2"/>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580,337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See accompanying notes to unaudited interim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other sales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loan loss (1)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(expense) income</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23,781,960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23,868,727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23,790,864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24,016,152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23,784,322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24,433,224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23,791,957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24,576,028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2660" w:right="1739" w:hanging="2259"/>
        <w:spacing w:after="0" w:line="562" w:lineRule="auto"/>
        <w:tabs>
          <w:tab w:leader="none" w:pos="72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loan loss is broken out from SG&amp;A this period. Prior period amounts were reclassified. See accompanying notes to unaudited interim financial statements.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gridSpan w:val="3"/>
          </w:tcPr>
          <w:p>
            <w:pPr>
              <w:ind w:left="3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2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​​​paid-in-capital</w:t>
            </w:r>
          </w:p>
        </w:tc>
        <w:tc>
          <w:tcPr>
            <w:tcW w:w="900" w:type="dxa"/>
            <w:vAlign w:val="bottom"/>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  earnings</w:t>
            </w: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24,865,906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$ 321,400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$ 493,956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24,866,342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(10,550)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$ 331,676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$ 503,728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24,866,342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(16,367)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$ 346,371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$ 512,780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September 30, 2025</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24,866,342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(16,367)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$ 355,016</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$ 521,598</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gridSpan w:val="3"/>
          </w:tcPr>
          <w:p>
            <w:pPr>
              <w:ind w:left="3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Shares (1)</w:t>
            </w:r>
          </w:p>
        </w:tc>
        <w:tc>
          <w:tcPr>
            <w:tcW w:w="6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2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960" w:type="dxa"/>
            <w:vAlign w:val="bottom"/>
            <w:gridSpan w:val="7"/>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paid-in-capital</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earnings</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2025</w:t>
            </w: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23,812,341</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(17,484)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$ 363,209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$ 528,614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(30,740)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23,781,601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$ 374,137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$ 538,993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June 30, 2026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23,781,601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(18,150)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$ 397,618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Balances, September 30, 2026</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23,783,038</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(18,150)</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$ 417,747</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$ 582,395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Shares are net of treasury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LEGACY HOUSING CORPORATION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40" w:type="dxa"/>
            <w:vAlign w:val="bottom"/>
            <w:gridSpan w:val="2"/>
          </w:tcPr>
          <w:p>
            <w:pPr>
              <w:ind w:left="9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4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56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0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ind w:left="10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54,538</w:t>
            </w:r>
          </w:p>
        </w:tc>
        <w:tc>
          <w:tcPr>
            <w:tcW w:w="20" w:type="dxa"/>
            <w:vAlign w:val="bottom"/>
          </w:tcPr>
          <w:p>
            <w:pPr>
              <w:spacing w:after="0"/>
              <w:rPr>
                <w:sz w:val="12"/>
                <w:szCs w:val="12"/>
                <w:color w:val="auto"/>
              </w:rPr>
            </w:pPr>
          </w:p>
        </w:tc>
        <w:tc>
          <w:tcPr>
            <w:tcW w:w="4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deferred revenue</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lines of credit cost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accounts and notes receivable</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from sale of property</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from loan settlements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Writeoff of investment in Corpus AmeriCasa</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inventories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right of use asset</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 based compensation</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refund receivable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receivable, net</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Consumer loans activity, net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Notes receivable MHP activity, net</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Dealer inventory loan activity, net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7,975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assets - leased mobile homes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(8,887)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Right of use activity, net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Customer deposits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Escrow liability</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Dealer incentive liability</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Product refund liability</w:t>
            </w:r>
          </w:p>
        </w:tc>
        <w:tc>
          <w:tcPr>
            <w:tcW w:w="10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35,337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18,236</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sale of property</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 of short term investments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notes receivable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Notes receivable collections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Purchases of loans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Collections from purchased loans</w:t>
            </w:r>
          </w:p>
        </w:tc>
        <w:tc>
          <w:tcPr>
            <w:tcW w:w="10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(11,320)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657</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lines of credit</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lines of credit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(27,252)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0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(1,656)</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in cash</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22,361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at beginning of period</w:t>
            </w:r>
          </w:p>
        </w:tc>
        <w:tc>
          <w:tcPr>
            <w:tcW w:w="10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at end of period</w:t>
            </w:r>
          </w:p>
        </w:tc>
        <w:tc>
          <w:tcPr>
            <w:tcW w:w="10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30,839</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240" w:type="dxa"/>
            <w:vAlign w:val="bottom"/>
            <w:gridSpan w:val="2"/>
          </w:tcPr>
          <w:p>
            <w:pPr>
              <w:ind w:left="10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2"/>
                <w:szCs w:val="12"/>
                <w:color w:val="auto"/>
              </w:rPr>
            </w:pPr>
          </w:p>
        </w:tc>
        <w:tc>
          <w:tcPr>
            <w:tcW w:w="4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1240" w:type="dxa"/>
            <w:vAlign w:val="bottom"/>
            <w:gridSpan w:val="2"/>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6,254</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interim financial statements.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ind w:left="60" w:right="119" w:firstLine="713"/>
        <w:spacing w:after="0" w:line="261" w:lineRule="auto"/>
        <w:rPr>
          <w:sz w:val="20"/>
          <w:szCs w:val="20"/>
          <w:color w:val="auto"/>
        </w:rPr>
      </w:pPr>
      <w:r>
        <w:rPr>
          <w:rFonts w:ascii="Times New Roman" w:cs="Times New Roman" w:eastAsia="Times New Roman" w:hAnsi="Times New Roman"/>
          <w:sz w:val="18"/>
          <w:szCs w:val="18"/>
          <w:color w:val="auto"/>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39" w:lineRule="exact"/>
        <w:rPr>
          <w:sz w:val="20"/>
          <w:szCs w:val="20"/>
          <w:color w:val="auto"/>
        </w:rPr>
      </w:pPr>
    </w:p>
    <w:p>
      <w:pPr>
        <w:ind w:left="60" w:right="99" w:firstLine="713"/>
        <w:spacing w:after="0" w:line="256" w:lineRule="auto"/>
        <w:rPr>
          <w:sz w:val="20"/>
          <w:szCs w:val="20"/>
          <w:color w:val="auto"/>
        </w:rPr>
      </w:pPr>
      <w:r>
        <w:rPr>
          <w:rFonts w:ascii="Times New Roman" w:cs="Times New Roman" w:eastAsia="Times New Roman" w:hAnsi="Times New Roman"/>
          <w:sz w:val="18"/>
          <w:szCs w:val="18"/>
          <w:color w:val="auto"/>
        </w:rPr>
        <w:t>The Company (1) manufactures and provides for the transport of manufactured homes, (2) provides wholesale financing to dealers and mobile home parks, (3) provides retail financing to consumers and (4) is involved in financing and developing new manufactured home communities. The Company manufactures its homes at plants located in Fort Worth, Texas, Commerce, Texas and Eatonton, Georgia. The Company relies on a network of dealers to market and sell its manufactured homes. The Company also sells homes directly to consumers, through its own retail stores, and to dealers, mobile home parks, and industrial and construction sites.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The accompanying unaudited interim financial statements have been prepared in accordance with accounting principles generally accepted in the United States of America ("GAAP") for interim financial information and pursuant to the rules and regulations of the U.S. Securities and Exchange Commission ("SEC") as required by Regulation S-X, Rule 8-</w:t>
      </w:r>
    </w:p>
    <w:p>
      <w:pPr>
        <w:spacing w:after="0" w:line="2" w:lineRule="exact"/>
        <w:rPr>
          <w:sz w:val="20"/>
          <w:szCs w:val="20"/>
          <w:color w:val="auto"/>
        </w:rPr>
      </w:pPr>
    </w:p>
    <w:p>
      <w:pPr>
        <w:ind w:left="60" w:right="179" w:hanging="10"/>
        <w:spacing w:after="0" w:line="251"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management, the unaudited interim financial statements have been prepared on the same basis as the audited annual financial statements, and include all adjustments, consisting only of normal recurring adjustments, necessary for the fair statement of the Company's financial position for the periods presented. The results for the three and nine months ended September 30, 2026 are not necessarily indicative of the results to be expected for the year ending December 31, 2026, or any other period. The accompanying balance sheet as of December 31, 2025 was derived from audited financial statements included in the Company's Annual Report on Form 10-K for the year ended December 31, 2025 (the “Form 10-K”), filed on March 12, 2026. The accompanying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Significant estimates made in connection with the accompanying financial statements primarily relate to the determination and valuation of notes receivable from mobile home parks, consumer loans receivable, other notes receivable, dealer financed receivables and fair value of financial instruments. Actual results could differ from these estimates.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for customers to facilitate home sales. Accordingly, all significant operating and strategic decisions by the Chief Executive Officer are based upon analysis of the Company as one operating segment.</w:t>
      </w:r>
    </w:p>
    <w:p>
      <w:pPr>
        <w:spacing w:after="0" w:line="156"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We generate revenues through the manufacture and sales of manufactured homes and “Tiny Houses” and the related interest income associated with financing these homes sales. We define the segment primarily based on how internally reported financial and operating information is regularly reviewed by our chief operating decision maker (CODM) to evaluate financial performance, make decisions and allocate resources. The CODM assesses performance for the segment based on net income and total assets that are also reported on the statements of income and balance sheet as net income and total assets, respectively. The accounting policies of the segment are the same as those described in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the summary of significant accounting policies. The CODM assesses our operating and financial performance on a company-wide or consolidated basis.</w:t>
      </w:r>
    </w:p>
    <w:p>
      <w:pPr>
        <w:spacing w:after="0" w:line="121"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On July 17, 2026, the Executive Chairman notified the Company of his retirement, effective July 21, 2026, and the Chief Executive Officer became the Company's sole chief operating decision maker (CODM). This change did not affect the Company's single reportable segment or the manner in which financial and operating performance is reviewed and resources are allocated.</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Product sales primarily consist of sales of manufactured homes to consumers and mobile home parks through various sales channels, which include Direct Sales, Commercial Sales, Inventory Finance Sales, Retail Store Sales, and Workforce Housing Sales. Direct 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 Workforce housing sales include units sold to employers, developers, or operators of construction and industrial sites. These units may be paid for upfront or purchased under financing arrangements.</w:t>
      </w:r>
    </w:p>
    <w:p>
      <w:pPr>
        <w:spacing w:after="0" w:line="194"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Consumer, MHP and dealer loans interest includes interest income from the consumer, MHP and dealer finance loan portfolios. Other revenue consists of contract deposit forfeitures, consignment fees, commercial lease rents, land sales, service fees and other miscellaneous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Short-term investments consist of certificates of deposit with original maturities of more than three months and remaining maturities of less than one year at the balance sheet date. The certificates of deposit are carried at cost, which approximates fair value, and interest earned is recognized in non-operating interest income in the statements of income. As of September 30, 2026, short-term investments totaled $5.3 million, held at one financial institution, with maturities ranging up to eight months and interest rates ranging from 3.9% to 4.4%. The Company had no short-term investments as of December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0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Net accounts receivable includes receivables from direct sales of manufactured homes, sales of parts and supplies to customers, inventory finance fees and interest.</w:t>
      </w:r>
    </w:p>
    <w:p>
      <w:pPr>
        <w:spacing w:after="0" w:line="121"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related to inventory finance fees and interest generally are due upon receipt, and all other accounts receivable generally are due within 30 days. Accounts receivable is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September 30, 2026 and December 31, 2025, the allowance for doubtful accounts totaled $2.3 million and $1.5 million, respectively. At September 30, 2026 and December 31, 2025, accounts receivable, net was $30.4 million and $5.5 million, respectively.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Receivable from Loan Portfolios</w:t>
      </w:r>
    </w:p>
    <w:p>
      <w:pPr>
        <w:spacing w:after="0" w:line="202"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Interest receivable loan portfolios, net relates to accrued interest for consumer loans receivable, notes receivable from mobile home parks, and other notes receivable. The interest accrual is calculated within the Company’s loan management system from the date of last customer payment received through the end of the period. Separately an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interest receivable allowance is established for all interest payments past due more than 90 days. The interest receivable is stated net of the allowance. At September 30, 2026 and December 31, 2025, the interest receivable, net was $3.4 million and $3.5 million, respectively. The interest receivable is stated net of an allowance of $1.1 million and $0.7 million at September 30, 2026 and December 31, 2025, respectively.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Leased Property</w:t>
      </w:r>
    </w:p>
    <w:p>
      <w:pPr>
        <w:spacing w:after="0" w:line="20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offers mobile home park operators the opportunity to lease manufactured homes for rent in lieu of purchasing the homes for cash or under a longer-term financing agreement. In this arrangement, the title for the manufactured homes remains with the Company, and the lease is accounted for as an operating lease.</w:t>
      </w:r>
    </w:p>
    <w:p>
      <w:pPr>
        <w:spacing w:after="0" w:line="1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typical lease agreement is for 96 months or 120 months. It requires the lessee to maintain the home and to return the home to us at the end of the lease in good condition. It provides the lessee with a termination option for a fee, an option to extend the lease and a purchase option at fair market value.</w:t>
      </w:r>
    </w:p>
    <w:p>
      <w:pPr>
        <w:spacing w:after="0" w:line="1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leased manufactured homes are included in other assets on the Company’s balance sheet, capitalized at manufactured cost and depreciated over a 15 year useful life. Homes returned to the Company upon expiration of the lease or in the event of default are sold by the Company through its standard sales and distribution channels.</w:t>
      </w:r>
    </w:p>
    <w:p>
      <w:pPr>
        <w:spacing w:after="0" w:line="17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income under all operating leases for each of the next five years at September 30, 2026, is as follows (in thousands):</w:t>
      </w:r>
    </w:p>
    <w:p>
      <w:pPr>
        <w:spacing w:after="0" w:line="8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18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retail home buyers with a one-year warranty from the date of purchase on manufactured inventory. At this time, we do not provide any warranties with respect to “Tiny Houses”.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the warranty liability balance is included as part of accrued liabilities in the Company’s balance sheet.</w:t>
      </w:r>
    </w:p>
    <w:p>
      <w:pPr>
        <w:spacing w:after="0" w:line="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activity within the warranty liability for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2025 (in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liability, beginning of period</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reserve accrued</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liability, end of period</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intangible assets consist of trade name, internally developed software, customer contracts, and non-compete agreements, and are considered finite-lived, and are amortized over their useful lives. Finite-lived intangibles</w:t>
      </w:r>
    </w:p>
    <w:p>
      <w:pPr>
        <w:sectPr>
          <w:pgSz w:w="11900" w:h="16838" w:orient="portrait"/>
          <w:cols w:equalWidth="0" w:num="1">
            <w:col w:w="9019"/>
          </w:cols>
          <w:pgMar w:left="1440" w:top="513" w:right="1440"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are generally amortized over 1 to 15 years on a straight-line depreciation basis and are reviewed for possible impairment whenever events or changes in circumstances indicate that the carrying amounts may not be recoverable. Amortization expenses recognized on intangible assets was $(0.1) million and $0.4 million for the three months and nine months ended September 30, 2026, respectively. Finite-lived intangibles have a weighted average remaining life of 3.9 years.</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AmeriCasa, the Company determined during the three months ended September 30, 2026, that the trademark and non-compete agreement had no fair value at the acquisition date, based on new information obtained about facts and circumstances that existed at that date. The recorded values of $4.0 million were removed and, net of a related deferred tax asset of $0.9 million, goodwill increased by $3.1 million as a measurement-period adjustment. Amortization of $0.4 million previously recorded on these assets was reversed, of which $0.3 million related to prior periods. The Company also tested the remaining AmeriCasa asset group, consisting of land and a building, for recoverability. The fair value of the asset group exceeded its carrying amount, and no impairment loss was recognized.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shows the book value of our intangible assets, net of amortization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56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5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future amortization expense related to intangible assets (in thousands):</w:t>
      </w:r>
    </w:p>
    <w:p>
      <w:pPr>
        <w:spacing w:after="0" w:line="220"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73"/>
        </w:trPr>
        <w:tc>
          <w:tcPr>
            <w:tcW w:w="3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89" w:lineRule="exact"/>
        <w:rPr>
          <w:sz w:val="20"/>
          <w:szCs w:val="20"/>
          <w:color w:val="auto"/>
        </w:rPr>
      </w:pPr>
    </w:p>
    <w:p>
      <w:pPr>
        <w:jc w:val="both"/>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Company accounts for share-based compensation in accordance with the provisions of Accounting Standards Codification (“ASC”) 718, Compensation—Stock Compensation. Share-based compensation expense is recognized based on an award’s estimated grant date fair value in order to recognize compensation cost for those shares expected to vest.</w:t>
      </w:r>
    </w:p>
    <w:p>
      <w:pPr>
        <w:spacing w:after="0" w:line="2"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Compensation cost is recognized on a straight-line basis over the vesting period of the awards and adjusted as forfeitures occur. The fair value of each option grant with only service-based conditions is estimated using the Black-Scholes pricing model. The fair value of each restricted stock grant with only service-based conditions is calculated based on the closing price of the Company’s common stock on the grant date.</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The volatility is estimated based on the historical volatility of the Company’s common stock. The expected life of awards granted represents the period during which the awards are expected to remain outstanding, based on the “simplified” method, which is allowed for companies that cannot reasonably estimate the expected life of options based on their historical award exercise experience. The Company does not expect to pay dividends on its common stock.</w:t>
      </w:r>
    </w:p>
    <w:p>
      <w:pPr>
        <w:spacing w:after="0" w:line="148" w:lineRule="exact"/>
        <w:rPr>
          <w:sz w:val="20"/>
          <w:szCs w:val="20"/>
          <w:color w:val="auto"/>
        </w:rPr>
      </w:pPr>
    </w:p>
    <w:p>
      <w:pPr>
        <w:jc w:val="both"/>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Pursuant to the Legacy Housing Corporation 2018 Incentive Compensation Plan (the “Plan”), the Company may issue up to 10.0 million equity awards to employees, directors, consultants, and nonemployee service providers in the form of stock options, stock, restricted stock, and stock appreciation rights. Stock options may be granted with a contractual life of up to ten years. At September 30, 2026, the Company had 9.2 million shares available for grant under the Plan.</w:t>
      </w:r>
    </w:p>
    <w:p>
      <w:pPr>
        <w:spacing w:after="0" w:line="164"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2026, stock options to purchase approximately 50,000 shares of common stock were outstanding under the Plan at an exercise price of $19.85, and expire on dates ranging from December 2030 to December 2035, none of which are currently exercisable. Unrecognized compensation expense related to these options at September 30, 2026 was $0.4 million and is expected to be recognized over 7.3 years. Total share-based compensation expense was immaterial for the three and nine months ended September 30, 2026 and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Income Statement Reporting -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 Disaggregation Disclosures (Subtopic 220-40), Disaggregation of Income Statement Expenses</w:t>
      </w:r>
      <w:r>
        <w:rPr>
          <w:rFonts w:ascii="Times New Roman" w:cs="Times New Roman" w:eastAsia="Times New Roman" w:hAnsi="Times New Roman"/>
          <w:sz w:val="18"/>
          <w:szCs w:val="18"/>
          <w:color w:val="auto"/>
        </w:rPr>
        <w:t>. The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improves the disclosures about a public business entity’s expenses by requiring more detailed information about certain types of costs and expenses in the notes to the financial statements.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the disclosure requirements related to the new standard on its financial statements.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0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Product sales primarily consist of sales of manufactured homes to consumers and mobile home parks through various sales channels, which include Direct Sales, Commercial Sales, Inventory Finance Sales, Retail Store Sales, and Workforce Housing Sales. Direct 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 Workforce housing sales include units sold to employers, developers, or operators of construction and industrial sites. These units may be paid for upfront or purchased under financing arrangements.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when the performance obligation under the terms of a contract with our customer is satisfied, which typically occurs upon delivery and transfer of title of the home, as this depicts when control of the promised good is transferred to our customers.</w:t>
      </w:r>
    </w:p>
    <w:p>
      <w:pPr>
        <w:spacing w:after="0" w:line="13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inventory financed sales, the independent dealer enters into a financing arrangement with the Company and is required to make monthly interest payments. Interest income is recorded separately in the statement of income. For other financed sales by the Company, the individual customer enters into a sales and financing contract and is required to make a down payment. These financed sales contain a significant financing component and any interest income is recorded separately in the statements of income.</w:t>
      </w:r>
    </w:p>
    <w:p>
      <w:pPr>
        <w:spacing w:after="0" w:line="156"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Revenue is measured at the amount of consideration expected to be received in exchange for transferring the homes to the customers. Sales and other similar taxes collected concurrently with revenue-producing activities are excluded from revenue.</w:t>
      </w:r>
    </w:p>
    <w:p>
      <w:pPr>
        <w:spacing w:after="0" w:line="13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Warranty costs are included in selling, general, and administrative expenses, in the statements of income. Warranty costs were $0.7 million and $0.5 million for the three months ended September 30, 2026 and 2025, respectively. Warranty costs were $1.8 million and $1.5 million for the nine months ended September 30, 2026 and 2025, respectively.</w:t>
      </w:r>
    </w:p>
    <w:p>
      <w:pPr>
        <w:spacing w:after="0" w:line="13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2026 and 2025, total cost of product sales included $5.5 million and $1.8 million, respectively, costs relating to </w:t>
      </w:r>
      <w:r>
        <w:rPr>
          <w:rFonts w:ascii="Times New Roman" w:cs="Times New Roman" w:eastAsia="Times New Roman" w:hAnsi="Times New Roman"/>
          <w:sz w:val="18"/>
          <w:szCs w:val="18"/>
          <w:color w:val="222222"/>
        </w:rPr>
        <w:t>subcontracted production for commercial sales, transportation and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costs, and certain other costs incurred for retail store and commercial sales. </w:t>
      </w:r>
      <w:r>
        <w:rPr>
          <w:rFonts w:ascii="Times New Roman" w:cs="Times New Roman" w:eastAsia="Times New Roman" w:hAnsi="Times New Roman"/>
          <w:sz w:val="18"/>
          <w:szCs w:val="18"/>
          <w:color w:val="000000"/>
        </w:rPr>
        <w:t>For the nine months ended September 30, 2026</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and 2025, total cost of product sales included $10.2 million and $6.0 million, respectively, costs relating to </w:t>
      </w:r>
      <w:r>
        <w:rPr>
          <w:rFonts w:ascii="Times New Roman" w:cs="Times New Roman" w:eastAsia="Times New Roman" w:hAnsi="Times New Roman"/>
          <w:sz w:val="18"/>
          <w:szCs w:val="18"/>
          <w:color w:val="222222"/>
        </w:rPr>
        <w:t>subcontracted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production for commercial sales, transportation and delivery costs, and certain other costs incurred for retail store and commercial sales.</w:t>
      </w:r>
    </w:p>
    <w:p>
      <w:pPr>
        <w:spacing w:after="0" w:line="13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Other revenue consists of contract deposit forfeitures, consignment fees, commercial lease rents, land sales, service fees and other miscellaneous income. 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 Land sales revenue is comprised of sales of land (real property) that was acquired as a result of maintaining or furthering our primary business of producing, selling, and financing manufactured homes. Land sale revenue for the three months ended September 30, 2026 and 2025 was $2.0 million and $0, respectively. Land sale revenue for the nine months ended September 30, 2026 and 2025 was $3.4 million and $0.1 million, respectively.</w:t>
      </w:r>
    </w:p>
    <w:p>
      <w:pPr>
        <w:spacing w:after="0" w:line="13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one customer accounted for 53.8% of our total product sales. For the nine months ended September 30, 2026, two customers accounted for 39.9% of our total product sales. For the three and nine months ended September 30, 2025, there were no customers that accounted for more than 10% of our total product sales.</w:t>
      </w:r>
    </w:p>
    <w:p>
      <w:pPr>
        <w:spacing w:after="0" w:line="12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the Company received a non-refundable advance deposit of approximately $7.1 million from a single customer in connection with a large order of manufactured homes intended for use as workforce housing. Production commenced in the first quarter of 2026, and the Company began deliveries during the second quarter of 2026. Through September 30, 2026, the Company has recognized related product sales of $21.7 million under</w:t>
      </w:r>
    </w:p>
    <w:p>
      <w:pPr>
        <w:sectPr>
          <w:pgSz w:w="11900" w:h="16838" w:orient="portrait"/>
          <w:cols w:equalWidth="0" w:num="1">
            <w:col w:w="9019"/>
          </w:cols>
          <w:pgMar w:left="1440" w:top="513" w:right="1440"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39"/>
        <w:spacing w:after="0" w:line="273" w:lineRule="auto"/>
        <w:rPr>
          <w:sz w:val="20"/>
          <w:szCs w:val="20"/>
          <w:color w:val="auto"/>
        </w:rPr>
      </w:pPr>
      <w:r>
        <w:rPr>
          <w:rFonts w:ascii="Times New Roman" w:cs="Times New Roman" w:eastAsia="Times New Roman" w:hAnsi="Times New Roman"/>
          <w:sz w:val="17"/>
          <w:szCs w:val="17"/>
          <w:color w:val="auto"/>
        </w:rPr>
        <w:t>this order, net of the refund liability described below, upon delivery and transfer of title. Amounts received in advance of delivery are recorded in customer deposits. Also, during the third quarter of 2026, the Company received a second non-refundable advance deposit of approximately $8.0 million from the same customer in connection with a separate order of manufactured homes. Production commenced during 2026, and the Company began deliveries during the third quarter of 2026, and recognizing the related product sales of $18.0 million, net of the refund liability described below, upon delivery and transfer of title. Amounts received in advance of delivery are recorded in customer deposits as deferred revenue. The Company expects to deliver substantially all remaining units under both agreements by the end of the first quarter of 2027.</w:t>
      </w:r>
    </w:p>
    <w:p>
      <w:pPr>
        <w:spacing w:after="0" w:line="131" w:lineRule="exact"/>
        <w:rPr>
          <w:sz w:val="20"/>
          <w:szCs w:val="20"/>
          <w:color w:val="auto"/>
        </w:rPr>
      </w:pPr>
    </w:p>
    <w:p>
      <w:pPr>
        <w:ind w:left="60" w:right="159" w:firstLine="648"/>
        <w:spacing w:after="0" w:line="271" w:lineRule="auto"/>
        <w:rPr>
          <w:sz w:val="20"/>
          <w:szCs w:val="20"/>
          <w:color w:val="auto"/>
        </w:rPr>
      </w:pPr>
      <w:r>
        <w:rPr>
          <w:rFonts w:ascii="Times New Roman" w:cs="Times New Roman" w:eastAsia="Times New Roman" w:hAnsi="Times New Roman"/>
          <w:sz w:val="17"/>
          <w:szCs w:val="17"/>
          <w:color w:val="auto"/>
        </w:rPr>
        <w:t>The agreements require the Company to grant the customer an option, exercisable between the fourth and sixth anniversaries of delivery, to require the Company to repurchase delivered units at 33% or 25% of the original unit price, depending on the timing of exercise and subject to conditions regarding each unit's condition. Because the repurchase prices are expected to be below the market value of the units at the dates the option may be exercised, the Company concluded that the customer does not have a significant economic incentive to exercise the option, and it accounts for the arrangements as sales with a right of return. Based on its estimate of expected exercise, the Company recorded a refund liability of $2.2 million and an asset for its right to recover the units of $2.2 million at September 30, 2026, and reduced product sales and cost of product sales by the same amount. The refund liability is included in product refund liability and the asset in other assets on the accompanying balance sheet. The Company will update this estimate each reporting period.</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Disaggregation of Revenue. The following table summarizes customer contract revenues disaggregated by the source of the revenue (in thousands):</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4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6"/>
                <w:szCs w:val="16"/>
                <w:color w:val="auto"/>
              </w:rPr>
            </w:pPr>
          </w:p>
        </w:tc>
      </w:tr>
      <w:tr>
        <w:trPr>
          <w:trHeight w:val="199"/>
        </w:trPr>
        <w:tc>
          <w:tcPr>
            <w:tcW w:w="18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r>
      <w:tr>
        <w:trPr>
          <w:trHeight w:val="196"/>
        </w:trPr>
        <w:tc>
          <w:tcPr>
            <w:tcW w:w="18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r>
      <w:tr>
        <w:trPr>
          <w:trHeight w:val="21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5,841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sales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10,271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28,790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22.8%</w:t>
            </w:r>
          </w:p>
        </w:tc>
      </w:tr>
      <w:tr>
        <w:trPr>
          <w:trHeight w:val="198"/>
        </w:trPr>
        <w:tc>
          <w:tcPr>
            <w:tcW w:w="1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Inventory finance</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4"/>
        </w:trPr>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30,934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24.5%</w:t>
            </w:r>
          </w:p>
        </w:tc>
      </w:tr>
      <w:tr>
        <w:trPr>
          <w:trHeight w:val="216"/>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 store sales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16,556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13.1%</w:t>
            </w:r>
          </w:p>
        </w:tc>
      </w:tr>
      <w:tr>
        <w:trPr>
          <w:trHeight w:val="198"/>
        </w:trPr>
        <w:tc>
          <w:tcPr>
            <w:tcW w:w="1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Workforce housing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4"/>
        </w:trPr>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30,642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3,519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98"/>
        </w:trPr>
        <w:tc>
          <w:tcPr>
            <w:tcW w:w="18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product sales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5,824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product sales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55,176</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28,787</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130,486</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91,464</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72.4%</w:t>
            </w:r>
          </w:p>
        </w:tc>
      </w:tr>
      <w:tr>
        <w:trPr>
          <w:trHeight w:val="20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portfolio interest: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r>
      <w:tr>
        <w:trPr>
          <w:trHeight w:val="198"/>
        </w:trPr>
        <w:tc>
          <w:tcPr>
            <w:tcW w:w="1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 - consumer</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4"/>
        </w:trPr>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installment notes</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17,488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13.8%</w:t>
            </w:r>
          </w:p>
        </w:tc>
      </w:tr>
      <w:tr>
        <w:trPr>
          <w:trHeight w:val="216"/>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 MHP notes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12,661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10.0%</w:t>
            </w:r>
          </w:p>
        </w:tc>
      </w:tr>
      <w:tr>
        <w:trPr>
          <w:trHeight w:val="198"/>
        </w:trPr>
        <w:tc>
          <w:tcPr>
            <w:tcW w:w="1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 - dealer</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4"/>
        </w:trPr>
        <w:tc>
          <w:tcPr>
            <w:tcW w:w="1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notes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2,282</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78"/>
        </w:trPr>
        <w:tc>
          <w:tcPr>
            <w:tcW w:w="18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loan portfolio</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34"/>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11,333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10,892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32,431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25.7%</w:t>
            </w:r>
          </w:p>
        </w:tc>
      </w:tr>
      <w:tr>
        <w:trPr>
          <w:trHeight w:val="210"/>
        </w:trPr>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2,415</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69,705 100.0%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40,478 100.0%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170,420 100.0%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126,310 100.0%</w:t>
            </w:r>
          </w:p>
        </w:tc>
      </w:tr>
      <w:tr>
        <w:trPr>
          <w:trHeight w:val="20"/>
        </w:trPr>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040" w:right="259" w:hanging="315"/>
        <w:spacing w:after="0" w:line="261"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2026, Workforce housing is presented as a separate product sales category. Prior-year amounts related to Workforce housing were reclassified from Direct Sales, Commercial Sales, and Inventory Finance Sales to the Workforce housing line to conform to the current-year presentation. This reclassification affects presentation only and does not change Total Product Sales or Total Net Revenue.</w:t>
      </w:r>
    </w:p>
    <w:p>
      <w:pPr>
        <w:spacing w:after="0" w:line="13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 sales revenue from ancillary products and services including parts, freight and other services</w:t>
      </w:r>
    </w:p>
    <w:p>
      <w:pPr>
        <w:spacing w:after="0" w:line="180" w:lineRule="exact"/>
        <w:rPr>
          <w:rFonts w:ascii="Times New Roman" w:cs="Times New Roman" w:eastAsia="Times New Roman" w:hAnsi="Times New Roman"/>
          <w:sz w:val="18"/>
          <w:szCs w:val="18"/>
          <w:color w:val="auto"/>
        </w:rPr>
      </w:pPr>
    </w:p>
    <w:p>
      <w:pPr>
        <w:ind w:left="240" w:hanging="190"/>
        <w:spacing w:after="0"/>
        <w:tabs>
          <w:tab w:leader="none" w:pos="2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CONSUMER LOANS RECEIVABLE</w:t>
      </w:r>
    </w:p>
    <w:p>
      <w:pPr>
        <w:spacing w:after="0" w:line="20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Consumer loans receivable result from financing transactions entered into with retail consumers of manufactured homes sold through independent retailers and company-owned retail locations. Consumer loans receivable generally consists of the sales price and any additional financing fees, less the buyer’s down payment. Interest income is recognized monthly per the terms of the financing agreement. The average contractual interest rate per loan was approximately 13.1% as of September 30, 2026 and December 31, 2025. Consumer loans receivable have maturities that range from 3 to 30 years.</w:t>
      </w:r>
    </w:p>
    <w:p>
      <w:pPr>
        <w:spacing w:after="0" w:line="147"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loan applications in an underwriting process which considers credit history, among other things, to evaluate credit risk of the consumer and determines interest rates on approved loans based on consumer credit score, payment ability and down payment amount.</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uses payment history to monitor the credit quality of the consumer loans on an ongoing basis.</w:t>
      </w:r>
    </w:p>
    <w:p>
      <w:pPr>
        <w:spacing w:after="0" w:line="198"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The Company may also receive escrow payments for property taxes and insurance included in its consumer loan collections. The liabilities associated with these escrow collections totaled $15.5 million and $13.1 million as of September 30, 2026 and December 31, 2025, respectively, and are included in escrow liability in the accompanying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Allowance for Loan Losses—Consumer Loans Receivable</w:t>
      </w:r>
    </w:p>
    <w:p>
      <w:pPr>
        <w:spacing w:after="0" w:line="187"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3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comprised of two components: the general reserve and specific reserves. The Company’s calculation of the general reserve considers the historical loan default rates and collateral recovery rates for the last three years and any qualitative factors both internal and external to the Company. Specific reserves are determined based on analysis of identified loans more than 90 days past due.</w:t>
      </w:r>
    </w:p>
    <w:p>
      <w:pPr>
        <w:spacing w:after="0" w:line="13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Company’s policy is to place a loan on nonaccrual status when there is a clear indication that the borrower’s cash flow may not be sufficient to meet payments as they become due, which generally is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4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Impaired loans are those loans for which it is probable that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include: (1) the length of time the unit remained unsold after construction; (2) the amount of time the house was occupied; (3) the cooperation level of the borrowers (for example, loans requiring legal action or extensive field collection efforts may have a reduced value); (4) the physical location of the home; (5) the length of time the borrower has lived in the house without making payments; (6) the size of the home and market conditions; and (7) the experience and expertise of the particular dealer assisting in collection efforts.</w:t>
      </w:r>
    </w:p>
    <w:p>
      <w:pPr>
        <w:spacing w:after="0" w:line="16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Collateral for repossessed loans is acquired through foreclosure or similar proceedings and is recorded at the estimated fair value of the home, less the costs to sell. At repossession, the collateral is recorded at the same amount as the principal balance of the loan. The fair value of the collateral is then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from the consumer loan portfolio totaled $11.2 million and $8.4 million as of September 30, 2026 and December 31, 2025, respectively, and are included in other assets in the accompanying balance sheets.</w:t>
      </w:r>
    </w:p>
    <w:p>
      <w:pPr>
        <w:spacing w:after="0" w:line="151"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Consumer loans receivable, net of allowance for loan losses and deferred financing fees, consists of the following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82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820" w:type="dxa"/>
            <w:vAlign w:val="bottom"/>
            <w:vMerge w:val="continue"/>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gridSpan w:val="2"/>
            <w:vMerge w:val="continue"/>
          </w:tcPr>
          <w:p>
            <w:pPr>
              <w:spacing w:after="0"/>
              <w:rPr>
                <w:sz w:val="12"/>
                <w:szCs w:val="12"/>
                <w:color w:val="auto"/>
              </w:rPr>
            </w:pPr>
          </w:p>
        </w:tc>
        <w:tc>
          <w:tcPr>
            <w:tcW w:w="186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loans receivable</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Consumer loans receivable, net</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205,131</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jc w:val="right"/>
              <w:ind w:right="1095"/>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0" w:type="dxa"/>
            <w:vAlign w:val="bottom"/>
            <w:gridSpan w:val="5"/>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40" w:type="dxa"/>
            <w:vAlign w:val="bottom"/>
            <w:gridSpan w:val="4"/>
          </w:tcPr>
          <w:p>
            <w:pPr>
              <w:jc w:val="right"/>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   September 30,</w:t>
            </w:r>
          </w:p>
        </w:tc>
        <w:tc>
          <w:tcPr>
            <w:tcW w:w="120" w:type="dxa"/>
            <w:vAlign w:val="bottom"/>
          </w:tcPr>
          <w:p>
            <w:pPr>
              <w:spacing w:after="0"/>
              <w:rPr>
                <w:sz w:val="12"/>
                <w:szCs w:val="12"/>
                <w:color w:val="auto"/>
              </w:rPr>
            </w:pPr>
          </w:p>
        </w:tc>
        <w:tc>
          <w:tcPr>
            <w:tcW w:w="1400" w:type="dxa"/>
            <w:vAlign w:val="bottom"/>
            <w:gridSpan w:val="5"/>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$ 2,651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$ 1,203</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$ 2,408</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offs) recoveries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0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4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$ 2,646</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$ 1,719</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$ 2,646</w:t>
            </w:r>
          </w:p>
        </w:tc>
        <w:tc>
          <w:tcPr>
            <w:tcW w:w="16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detailed aging of consumer loans receivable that are past due is as follows (in thousands):</w:t>
      </w:r>
    </w:p>
    <w:p>
      <w:pPr>
        <w:spacing w:after="0" w:line="179"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0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 receivable</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w:t>
            </w:r>
            <w:r>
              <w:rPr>
                <w:rFonts w:ascii="Times New Roman" w:cs="Times New Roman" w:eastAsia="Times New Roman" w:hAnsi="Times New Roman"/>
                <w:sz w:val="18"/>
                <w:szCs w:val="18"/>
                <w:u w:val="single" w:color="auto"/>
                <w:color w:val="auto"/>
                <w:w w:val="98"/>
              </w:rPr>
              <w:t>0</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Past due consumer loans:</w:t>
            </w:r>
          </w:p>
        </w:tc>
        <w:tc>
          <w:tcPr>
            <w:tcW w:w="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27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31</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 days past due</w:t>
            </w:r>
          </w:p>
        </w:tc>
        <w:tc>
          <w:tcPr>
            <w:tcW w:w="7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61</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91</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 days past due</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Greater than 120 days past due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evaluate the credit quality of our consumer loan portfolio based on the aging status of the loan and by payment activity. Loan delinquency reporting generally is based on borrower payment activity relative to the contractual terms of the loan. The following table disaggregates the outstanding principal balance of consumer loans receivable by credit quality indicator based on delinquency status and fiscal year of origination and is presented as of September 30, 2026 (in thousands):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Year of Origination</w:t>
            </w: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7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2"/>
                <w:szCs w:val="12"/>
                <w:color w:val="auto"/>
              </w:rPr>
            </w:pPr>
          </w:p>
        </w:tc>
        <w:tc>
          <w:tcPr>
            <w:tcW w:w="8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&lt; 30 days past due</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$ 26,375</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$ 43,338</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$ 27,832</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$ 23,359</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$ 17,955</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$ 66,152</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$ 205,011</w:t>
            </w: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30-90 days past due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90 days past due</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$ 26,551</w:t>
            </w: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$ 44,387</w:t>
            </w: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$ 28,375</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$ 24,001</w:t>
            </w: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$ 18,786</w:t>
            </w: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$ 67,863</w:t>
            </w: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$ 209,963</w:t>
            </w:r>
          </w:p>
        </w:tc>
        <w:tc>
          <w:tcPr>
            <w:tcW w:w="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NOTES RECEIVABLE FROM MOBILE HOME PARKS</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notes receivable from mobile home parks (“MHP Notes”) relate to manufactured homes sold to mobile home parks and financed through notes receivable. The MHP Notes have varying maturity dates and require monthly principal and interest payments. The interest rate on the MHP Notes can be fixed or variable, and the interest rates range from 4.9% to 17.5%. The average interest rate per loan was approximately 8.5% as of September 30, 2026 and 8.1% as of December 31, 2025, with maturities that range from 1 to 10 years. The collateral underlying the MHP Notes are individual manufactured homes which can be repossessed and resold. The MHP Notes are generally personally guaranteed by borrowers.</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had concentrations of MHP Notes with three independent third parties and their respective affiliates that equated to 23.4%, 9.9%, and 8.2% of the principal balance outstanding, all of which were secured by the manufactured homes. As of December 31, 2025, the Company had concentrations of MHP Notes with three independent third-parties and their respective affiliates that equated to 24.7%, 9.6%, and 7.4% of the principal balance outstanding, all of which were secured by the manufactured homes.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composed of specific and general reserve amounts. As of September 30, 2026 and December 31, 2025, the MHP Notes balance is presented net of unamortized finance fees of $1.0 million and $1.1 million, respectively. The finance fees are amortized over the life of the MHP Notes. As of September 30, 2026, there were past due balances of $0.6 million on MHP Notes. As of December 31, 2025, there were past due balances of $0.6 million on the MHP Notes.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Settlement Agreement</w:t>
      </w:r>
    </w:p>
    <w:p>
      <w:pPr>
        <w:spacing w:after="0" w:line="20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2024, the Company and various borrowers and guarantors (the “Makers”) entered into a Settlement Agreement and Release (the “Agreement”) to resolve disputes related to previously existing promissory notes with an aggregate principal balance of approximately $55.0 million, of which approximately $37.0 million had been accelerated following default. As consideration under the Agreement, the Makers conveyed to the Company clear title to the Forest Hollow Mobile Home Community in Beaumont, Texas and the Cleveland Mobile Home Community in Richland, Mississippi, together with related personal property and intangible assets, and the parties executed a new $48.6 million promissory note (the “New Note”) bearing a fixed interest rate of 7.9%, requiring monthly interest-only payments for twenty-four months and maturing in July 2026. The New Note is secured by a first-priority interest in more than 1,000 manufactured homes and two mobile-home parks located in Louisiana and is personally guaranteed by the individual borrowers.</w:t>
      </w:r>
    </w:p>
    <w:p>
      <w:pPr>
        <w:spacing w:after="0" w:line="80" w:lineRule="exact"/>
        <w:rPr>
          <w:sz w:val="20"/>
          <w:szCs w:val="20"/>
          <w:color w:val="auto"/>
        </w:rPr>
      </w:pPr>
    </w:p>
    <w:p>
      <w:pPr>
        <w:ind w:left="60" w:right="59" w:firstLine="693"/>
        <w:spacing w:after="0" w:line="253" w:lineRule="auto"/>
        <w:rPr>
          <w:sz w:val="20"/>
          <w:szCs w:val="20"/>
          <w:color w:val="auto"/>
        </w:rPr>
      </w:pPr>
      <w:r>
        <w:rPr>
          <w:rFonts w:ascii="Times New Roman" w:cs="Times New Roman" w:eastAsia="Times New Roman" w:hAnsi="Times New Roman"/>
          <w:sz w:val="18"/>
          <w:szCs w:val="18"/>
          <w:color w:val="auto"/>
        </w:rPr>
        <w:t>The New Note matured in July 2026 and was not repaid in full at maturity. Effective July 3, 2026, the Company and the borrowers executed an Amended and Restated Promissory Note (the “Amended Note”), under which the borrowers made a $2.0 million principal payment, reducing the outstanding principal balance to $46.6 million, pledged an additional manufactured housing community in Mississippi as collateral, and reaffirmed their personal guaranties. The Amended Note bears interest at a fixed rate of 7.9% through April 3, 2028 and at the prime rate plus 3.0% thereafter, abates interest from July 3, 2026 through October 3, 2026, requires interest-only payments through April 3, 2028, followed by monthly principal and interest payments calculated on a 120-month amortization schedule, with the remaining unpaid principal balance due as a balloon payment at maturity on April 3, 2031. The Company accounted for the Amended Note as a modification of the existing loan under ASC 310-20, and no gain or loss was recognized. As of September 30, 2026, the Company evaluated the recoverability of the Amended Note, which represents approximately 23% of MHP Notes, based on an analysis of the estimated net realizable value of the underlying collateral, the payment status of the borrowers, and other relevant credit quality indicators, and determined that an allowance for expected credit losses was not necessary. The Amended Note was not past due at September 30, 2026.</w:t>
      </w:r>
    </w:p>
    <w:p>
      <w:pPr>
        <w:spacing w:after="0" w:line="18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Notes receivable from mobile home parks, net of allowance for loan losses and deferred financing fees, consisted of the following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198,659</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6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7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(in thousands):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4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right"/>
              <w:ind w:right="41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right"/>
              <w:ind w:right="41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1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We evaluate the credit quality of our MHP portfolio based on the aging status of the loan and by payment activity. Loan delinquency reporting is generally based upon borrower payment activity relative to the contractual terms of the loan. The following table disaggregates the outstanding principal balance of MHP receivable by credit quality indicator based on delinquency status and fiscal year of origination and is presented as of September 30, 2026 (in thousands):</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2"/>
                <w:szCs w:val="12"/>
                <w:color w:val="auto"/>
              </w:rPr>
            </w:pPr>
          </w:p>
        </w:tc>
        <w:tc>
          <w:tcPr>
            <w:tcW w:w="8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&lt; 30 days past due</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$ 91,458</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$ 54,367</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$ 15,754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$ 15,644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$ 193,557</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30-90 days past due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90 days past due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$ 93,616</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$ 57,369</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$ 16,753</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$ 16,077</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$ 201,245</w:t>
            </w: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OTHER NOTES RECEIVABLE</w:t>
      </w:r>
    </w:p>
    <w:p>
      <w:pPr>
        <w:spacing w:after="0" w:line="18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Other notes receivable relate to notes issued to mobile home park owners and dealers and are not directly tied to the sale of manufactured homes. These other notes have varying maturity dates and generally require monthly principal and interest payments. They are collateralized by mortgages on real estate, manufactured homes that we have financed for which the borrower uses as offices, as well as vehicles. These notes typically are personally guaranteed by the borrowers. The interest rates on the other notes generally are fixed and range from 5.0% to 17.5%. The Company reserves for estimated losses on the other notes based on current economic conditions that may affect the borrower’s ability to pay, the borrower’s financial strength, and historical loss experience.</w:t>
      </w:r>
    </w:p>
    <w:p>
      <w:pPr>
        <w:spacing w:after="0" w:line="14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had concentrations of other notes receivable with three independent third-parties and their respective affiliates that equated to 25.3%, 17.3%, and 15.4% of the principal balance outstanding, all of which were secured by the manufactured homes. As of December 31, 2025, the Company had concentrations of other notes receivable with three independent third-parties and their respective affiliates that equated to 54.9%, 10.6%, and 9.2% of the principal balance outstanding, all of which were secured by the manufactured homes.</w:t>
      </w:r>
    </w:p>
    <w:p>
      <w:pPr>
        <w:spacing w:after="0" w:line="15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there were past due balances of $0.3 million on other notes. As of December 31, 2025, there were past due balances of $0.2 million on other notes.</w:t>
      </w:r>
    </w:p>
    <w:p>
      <w:pPr>
        <w:spacing w:after="0" w:line="12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2026, there were no charge offs recorded for other notes. For the three months and nine months ended September 30, 2025, there were $0.3 million in charge offs recorded for other notes. Allowance for loan loss for the other notes was $0.2 million as of September 30, 2026 and December 31, 2025. As of September 30, 2026 and December 31, 2025, the impaired balance of other notes was $0.1 million. Collateral for repossessed loans is acquired through foreclosure or similar proceedings and is recorded at the estimated fair value of the home, less the costs to sell.</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Other notes receivable, net of allowance for loan losses and deferred financing fees, consisted of the following (in thousands):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80" w:type="dxa"/>
            <w:vAlign w:val="bottom"/>
            <w:gridSpan w:val="4"/>
          </w:tcPr>
          <w:p>
            <w:pPr>
              <w:ind w:left="10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7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70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0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(reversal of) loan losses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 offs) recoveries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0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evaluate the credit quality of our other notes receivable portfolio based on the aging status of the loan and by payment activity. Loan delinquency reporting generally is based on borrower payment activity relative to the contractual terms of the loan. The following table disaggregates the outstanding principal balance of other notes receivable by credit quality indicator based on delinquency status and fiscal year of origination and is presented as of September 30, 2026 (in thousands):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09"/>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&lt; 30 days past due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30-90 days past due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90 days past due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DEALER FINANCED RECEIVABLES</w:t>
      </w:r>
    </w:p>
    <w:p>
      <w:pPr>
        <w:spacing w:after="0" w:line="20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Dealer financed receivables are receivables for loans that we make to independent retailers, or dealers, for the purchase of manufactured homes so that dealers can then market them for sale to consumers. The loans are part of our inventory finance program. In late 2022 and early 2023, the Company transitioned many of its dealers from a traditional consignment arrangement to an inventory finance arrangement. The terms of the financing typically include a three year term, a monthly interest payment, an annual curtailment payment and require the retailer to pay the principal amount of the loan to the Company upon the earlier of the sale of the home by the retailer to its customer or the end of the term.</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Dealer financed notes receivable, net of allowance for loan losses, consisted of the following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28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18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2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7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70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0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allowance for loan losses reflects management’s estimate of losses inherent in the dealer loans that may be uncollectible based on review and evaluation of the dealer loan portfolio as of the date of the balance sheet. An allowance for loan losses is determined after considering, among other things, the loan characteristics, the financial condition of the dealer and the value and liquidity of collateral.</w:t>
      </w:r>
    </w:p>
    <w:p>
      <w:pPr>
        <w:spacing w:after="0" w:line="153"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evaluate the credit quality of our dealer financed receivables based on the length of time the Company’s collateral has remained unsold by the dealer in dealer inventory. This table reflects the age of the loan receivable due as of September 30, 2026 (in thousands):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 of Portfolio</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 on lot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 years on lot</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 years on lot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 3 years on lot</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 INVENTORIES, NET</w:t>
            </w: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0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2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w w:val="99"/>
              </w:rPr>
              <w:t>Inventories, net consisted of the following (in thousands):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6"/>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5"/>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12,595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net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26,764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39,611</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39,853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Finished goods includes an allowance of $529 and $559 as of September 30, 2026 and December 31, 2025,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9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28,423</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73,320</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(12,823)</w:t>
            </w: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60,497</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Depreciation expense was $0.5 million and $0.4 million for the three months ended September 30, 2026 and 2025, respectively, and includes depreciation expense for leased manufactured homes. Depreciation expense also includes $0.4 million and $0.2 million as a component of cost of product sales for the three months ended September 30, 2026 and 2025, respectively. Depreciation expense was $1.3 million and $1.2 million for the nine months ended September 30, 2026 and 2025, respectively, and includes depreciation expense for leased manufactured homes. Depreciation expense also includes $0.9 million and $0.5 million as a component of cost of product sales for the nine months ended September 30, 2026 and 2025, respectively. Land includes foreclosed property of $5.0 million and $6.6 million as of September 30, 2026 and December 31, 2025, respectively, which was collateral for MHP and Other notes.</w:t>
      </w: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OTHER ASSETS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4240" w:type="dxa"/>
            <w:vAlign w:val="bottom"/>
          </w:tcPr>
          <w:p>
            <w:pPr>
              <w:spacing w:after="0"/>
              <w:rPr>
                <w:sz w:val="21"/>
                <w:szCs w:val="21"/>
                <w:color w:val="auto"/>
              </w:rPr>
            </w:pPr>
          </w:p>
        </w:tc>
        <w:tc>
          <w:tcPr>
            <w:tcW w:w="3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As of September 30,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As of December 31,</w:t>
            </w:r>
          </w:p>
        </w:tc>
      </w:tr>
      <w:tr>
        <w:trPr>
          <w:trHeight w:val="199"/>
        </w:trPr>
        <w:tc>
          <w:tcPr>
            <w:tcW w:w="424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Repossessed homes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Corpus AmeriCasa</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Product return asset</w:t>
            </w:r>
          </w:p>
        </w:tc>
        <w:tc>
          <w:tcPr>
            <w:tcW w:w="1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r>
      <w:tr>
        <w:trPr>
          <w:trHeight w:val="20"/>
        </w:trPr>
        <w:tc>
          <w:tcPr>
            <w:tcW w:w="4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Repossessed homes, net of allowances, as of September 30, 2026 include $11.2 million for homes repossessed from the consumer loan portfolio, $0.6 million for homes repossessed from the MHP loan portfolio, and $2.6 million for homes repossessed from dealers. Repossessed homes, net of allowances, as of December 31, 2025 include $8.4 million for homes repossessed from the consumer loan portfolio, $1.8 million for homes repossessed from the MHP loan portfolio, and $2.4 million for homes repossessed from dealers.</w:t>
      </w:r>
    </w:p>
    <w:p>
      <w:pPr>
        <w:spacing w:after="0" w:line="183"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Company also held a 28.75% equity interest in Corpus AmeriCasa, an entity affiliated with AmeriCasa, which was included in other assets at approximately $0.6 million as of December 31, 2025. As of June 30, 2026, the Company determined that this investment was not recoverable and wrote down its entire carrying value to zero as a non-operating expense.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ACCRUED LIABILITIES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Portfolio taxes and title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Dealer rebates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Unclaimed Property</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25,063</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LINES OF CREDIT</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has a Credit Agreement (the “Revolver”), by and among the Company as borrower, the financial institutions from time to time party thereto, as lenders, and Prosperity Bank as administrative agent. The Revolver provides for a four-year senior secured revolving credit facility with an initial commitment of $50.0 million and an additional $25.0 million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$0.3 million, which were capitalized as unamortized debt issuance costs and included within prepaids and other current assets in the accompanying balance sheets and are amortized to interest expense over the life of the Revolver. The Revolver matures July 28, 2027.</w:t>
      </w:r>
    </w:p>
    <w:p>
      <w:pPr>
        <w:spacing w:after="0" w:line="19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2026 and 2025, interest expense under the Revolver was $0 and $2 thousand respectively. For the nine months ended September 30, 2026 and 2025, interest expense under the Revolver was $11 thousand and $3 thousand, respectively. The outstanding balance of the Revolver as of September 30, 2026 and December 31, 2025 was $0. The interest rate in effect as of September 30, 2026 and December 31, 2025 for the Revolver was 6.13% and 6.69%, respectively. The amount of available credit under the Revolver was $50 million as of September 30, 2026 and December 31, 2025, respectively. The Revolver requires the Company to comply with certain financial and non-financial covenants. As of September 30, 2026, the Company was in compliance with all financial covenants, including that it maintains a maximum leverage ratio of no more than 1.00 to 1.00 and a minimum fixed charge coverage ratio of no less than 1.75 to 1.00. At December 31, 2025, the Company also had $1.2 million outstanding under a line of credit assumed in the AmeriCasa acquisition, which was repaid in January 2026.</w:t>
      </w: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02"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 expense for the three months ended September 30, 2026 and 2025 was $4.0 million and $1.6 million, respectively. The Company's effective tax rate for the three month periods ended September 30, 2026 and September 30, 2025 was 16.6% and 15.7%, respectively. The primary drivers of the variance from the federal statutory tax rate for the three month period ended September 30, 2026 were the Section 45L new energy efficient home credit and the discrete treatment of the discount on transferable tax credits. The primary drivers of the variance from the</w:t>
      </w:r>
    </w:p>
    <w:p>
      <w:pPr>
        <w:sectPr>
          <w:pgSz w:w="11900" w:h="16838" w:orient="portrait"/>
          <w:cols w:equalWidth="0" w:num="1">
            <w:col w:w="9019"/>
          </w:cols>
          <w:pgMar w:left="1440" w:top="513" w:right="1440"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federal statutory tax rate for the three-month period ended September 30, 2025 were the Section 45L new energy efficient home credit and the discrete treatment of the discount on transferable credits, which were partially offset by state income taxes.</w:t>
      </w:r>
    </w:p>
    <w:p>
      <w:pPr>
        <w:spacing w:after="0" w:line="1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provision for income tax expense for the nine months ended September 30, 2026 and 2025 was $9.1 million and $7.1 million, respectively. The Company's effective tax rate for the nine month period ended September 30, 2026 and September 30, 2025 was 14.3% and 17.5%, respectively. The primary drivers of the variance from the federal statutory tax rate for the nine month period ended September 30, 2026 were discrete activity related to the release of uncertain tax benefits, Section 45L new energy efficient home credit, and the discrete treatment of the discount on transferable tax credits. The primary drivers of the variance from the federal statutory tax rate for the nine month period ended September 30, 2025 were the Section 45L new energy efficient home credit and the discrete treatment of the discount on transferable credits, which were partially offset by state income taxes. The Section 45L new energy efficient home credit does not apply to homes sold after June 30, 2026, which is expected to increase the Company's effective tax rate in future periods.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September 30, 2026 and December 31, 2025, the Company accrued a $0.2 million and $0.8 million liability for incurred but not reported claims, respectively. These accrued amounts are included in accrued liabilities on the accompanying balance sheet.</w:t>
      </w:r>
    </w:p>
    <w:p>
      <w:pPr>
        <w:spacing w:after="0" w:line="16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Company believes that risk of loss is mitigated due to the resale value of the repurchased homes and the fact that the agreements are spread over many retailers. The maximum amount for which the Company was liable under such agreements approximated $0 million and $0.8 million at September 30, 2026 and December 31, 2025 respectively without reduction for the resale value of the homes. The Company considers its obligations on current contracts to be immaterial and accordingly has not recorded any reserve for repurchase commitment as of September 30, 2026 and December 31, 2025.</w:t>
      </w:r>
    </w:p>
    <w:p>
      <w:pPr>
        <w:spacing w:after="0" w:line="148" w:lineRule="exact"/>
        <w:rPr>
          <w:sz w:val="20"/>
          <w:szCs w:val="20"/>
          <w:color w:val="auto"/>
        </w:rPr>
      </w:pPr>
    </w:p>
    <w:p>
      <w:pPr>
        <w:jc w:val="both"/>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Under agreements with a workforce housing customer, the Company has agreed to grant the customer options to require the Company to repurchase units delivered under those agreements between the fourth and sixth anniversaries of delivery, at 33% or 25% of the original unit price. If the options were exercised for all units covered by the agreements in the first exercise window, the Company's maximum repurchase obligation would be approximately $22.8 million, before the resale value of the repurchased units. At September 30, 2026, the Company recorded a refund liability of $2.2 million for expected exercises. See Note 2.</w:t>
      </w: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facilities under operating leases that typically have 10 year terms. These leases usually offer the Company a right of first refusal that affords the Company the option to purchase the leased premises under certain terms in the event the landlord attempts to sell the leased premises to a third party. Rent expense for the three months ended September 30, 2026 and 2025 was $0.2 million and $0.1 million respectively. Rent expense for the nine months ended September 30, 2026 and 2025 was $0.5 million and $0.4 million respectively. The Company also subleases properties to third parties, ranging from 3-year to 11-year terms with various renewal options. Rental income from the subleased properties for the three and nine months ended September 30, 2026 and 2025 was immaterial.</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is party to certain legal proceedings that arise in the ordinary course of business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such claims. The Company has included legal reserves of $1.0 million as of September 30, 2026 and December 31, 2025, in accrued liabilities on the accompanying balance sheets. Although litigation is inherently uncertain, based on past experience and the information currently available, management does not believe that the currently pending and threatened ordinary course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AmeriCasa Litigation</w:t>
      </w:r>
    </w:p>
    <w:p>
      <w:pPr>
        <w:spacing w:after="0" w:line="18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On March 13, 2026, the Company filed an Original Petition in the District Court of Tarrant County, Texas against AmeriCasa Solutions, LLC and its affiliates (the "Seller Entities") and certain individuals related to the Company's November 2025 acquisition of substantially all of the assets of the Seller Entities. The Company's claims relate principally to alleged misrepresentations and omissions made in connection with the acquisition and to the alleged post-closing misappropriation of receipts attributable to the acquired assets. The defendants have asserted counterclaims against the Company seeking damages of $1.0 million or more, which the Company believes are without merit. A description of the proceeding is included in Part II, Item 1, Legal Proceedings, of this Quarterly Report on Form 10-Q.</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litigation is not material to the Company's financial position, liquidity, or results of operations. The Company has not accrued a loss contingency with respect to this matter. During the three months ended September 30, 2026, based on information obtained about facts and circumstances that existed at the acquisition date, the Company determined that the acquired trademark and non-compete agreement had no fair value at that date. The Company recorded a measurement-period adjustment under ASC 805, Business Combinations, that removed the $4.0 million recorded for these assets and increased goodwill by $3.1 million, net of a related deferred tax asset of $0.9 million. This determination is based on the historical sales performance of the acquired business and does not depend on the outcome of the litigation. An adverse outcome in the litigation, or further developments concerning the underlying facts, could result in an adjustment to the amounts recorded in connection with the acquisition, in a future period. For information regarding receivables and payables between the Company and the Seller Entities arising from post-closing operations of the acquired business, see Note 16 — Related Party Transactions.</w:t>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its investments and derivative instruments in accordance with the provisions of “ASC 820-10”, Fair Value Measurement, which among other things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Fair Value Measurement, are as follows:</w:t>
      </w:r>
    </w:p>
    <w:p>
      <w:pPr>
        <w:spacing w:after="0" w:line="160" w:lineRule="exact"/>
        <w:rPr>
          <w:sz w:val="20"/>
          <w:szCs w:val="20"/>
          <w:color w:val="auto"/>
        </w:rPr>
      </w:pPr>
    </w:p>
    <w:p>
      <w:pPr>
        <w:ind w:left="1520" w:right="219" w:hanging="841"/>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auto"/>
        </w:rPr>
        <w:t>Level I</w:t>
      </w:r>
      <w:r>
        <w:rPr>
          <w:sz w:val="20"/>
          <w:szCs w:val="20"/>
          <w:color w:val="auto"/>
        </w:rPr>
        <w:tab/>
      </w:r>
      <w:r>
        <w:rPr>
          <w:rFonts w:ascii="Times New Roman" w:cs="Times New Roman" w:eastAsia="Times New Roman" w:hAnsi="Times New Roman"/>
          <w:sz w:val="18"/>
          <w:szCs w:val="18"/>
          <w:color w:val="auto"/>
        </w:rPr>
        <w:t>Quoted prices are available in active markets for identical assets or liabilities that the reporting entity has the ability to access at the measurement date.</w:t>
      </w:r>
    </w:p>
    <w:p>
      <w:pPr>
        <w:spacing w:after="0" w:line="121" w:lineRule="exact"/>
        <w:rPr>
          <w:sz w:val="20"/>
          <w:szCs w:val="20"/>
          <w:color w:val="auto"/>
        </w:rPr>
      </w:pPr>
    </w:p>
    <w:p>
      <w:pPr>
        <w:ind w:left="1540" w:right="379" w:hanging="841"/>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Level II</w:t>
        <w:tab/>
        <w:t>Significant observable inputs other than quoted prices in active markets for which inputs to the valuation methodology include: (1) Quoted prices for similar assets or liabilities in active markets;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1540" w:right="199" w:firstLine="1"/>
        <w:spacing w:after="0" w:line="258" w:lineRule="auto"/>
        <w:tabs>
          <w:tab w:leader="none" w:pos="1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143" w:lineRule="exact"/>
        <w:rPr>
          <w:sz w:val="20"/>
          <w:szCs w:val="20"/>
          <w:color w:val="auto"/>
        </w:rPr>
      </w:pPr>
    </w:p>
    <w:p>
      <w:pPr>
        <w:ind w:left="1540" w:right="539" w:hanging="841"/>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Level III</w:t>
        <w:tab/>
        <w:t>Significant unobservable inputs that reflect an entity’s own assumptions that market participants would use in pricing the assets or liabilities.</w:t>
      </w:r>
    </w:p>
    <w:p>
      <w:pPr>
        <w:spacing w:after="0" w:line="135"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asset or liability fair value measurement level within the fair value hierarchy is based on the lowest level of any input that is significant to the fair value measurement.</w:t>
      </w:r>
    </w:p>
    <w:p>
      <w:pPr>
        <w:spacing w:after="0" w:line="121"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accounts receivable, consumer loans, MHP Notes, other notes, accounts payable, and lines of credit. The carrying amounts of cash, accounts receivable, and accounts payable approximate their respective fair values because of the short-term maturities or expected settlement dates of these instruments. This is considered a Level I valuation technique. The following table shows the estimated fair market value and book value of our consumer loan portfolio, MHP Notes and other notes, net of allowances, loan discount fees and deferred financing fees (in thousands):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3"/>
                <w:szCs w:val="13"/>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60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loan portfolio, fair value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185,233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185,985</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 portfolio, book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198,814</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MHP Notes, fair value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182,298</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MHP Notes, book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MHP Notes, book value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other notes, fair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other notes, book value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r>
    </w:tbl>
    <w:p>
      <w:pPr>
        <w:spacing w:after="0" w:line="19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Part of the MHP Notes, part of the other notes receivable, and our line of credit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notes receivable with fixed rates based on the discounted value of the remaining principal and interest cash flows. This is considered a Level III valuation technique.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20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200" w:type="dxa"/>
            <w:vAlign w:val="bottom"/>
            <w:gridSpan w:val="4"/>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tcBorders>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(in 000's)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33,616</w:t>
            </w: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198"/>
        </w:trPr>
        <w:tc>
          <w:tcPr>
            <w:tcW w:w="30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Basic weighted-average common</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23,781,960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23,868,727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23,790,864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24,016,152</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563,975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559,373</w:t>
            </w:r>
          </w:p>
        </w:tc>
      </w:tr>
      <w:tr>
        <w:trPr>
          <w:trHeight w:val="178"/>
        </w:trPr>
        <w:tc>
          <w:tcPr>
            <w:tcW w:w="30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Diluted weighted-average common</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23,784,322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24,433,224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23,791,957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24,576,028</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00" w:lineRule="exact"/>
        <w:rPr>
          <w:sz w:val="20"/>
          <w:szCs w:val="20"/>
          <w:color w:val="auto"/>
        </w:rPr>
      </w:pPr>
    </w:p>
    <w:p>
      <w:pPr>
        <w:spacing w:after="0" w:line="214"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On February 6, 2026, the Board of Directors authorized a new stock repurchase program (the "Repurchase Program") under which the Company may repurchase up to $10.0 million of its outstanding common stock from time to time through February 28, 2029. Repurchases may be made in the open market or through privately negotiated transactions, with the timing, manner, price and volume of any repurchases determined by the Company's Chief Executive Officer, in their sole discretion, based on market conditions, the Company's cash reserves and cash flow, and the relative attractiveness of alternative uses of capital for operations, growth and share repurchases.</w:t>
      </w:r>
    </w:p>
    <w:p>
      <w:pPr>
        <w:spacing w:after="0" w:line="18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30,740 shares of its common stock under the Repurchase Program at an aggregate cost of approximately $0.7 million, or an average price of $21.66 per share, of which none were made in the three months ended September 30, 2026, leaving approximately $9.3 million available for future repurchases under the Repurchase Program.</w:t>
      </w:r>
    </w:p>
    <w:p>
      <w:pPr>
        <w:spacing w:after="0" w:line="20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Open market repurchases under the Repurchase Program are intended to be made in compliance with the non-exclusive safe harbor conditions of Rule 10b-18 under the Securities Exchange Act of 1934, as amended. The Repurchase Program does not obligate the Company to acquire any particular amount of common stock, has no expiration date prior to February 28, 2029, and may be suspended, modified or discontinued at any time without prior notice. Shares repurchased under the program will be held as treasury shares. The Company has determined that repurchases under the Repurchase Program are permitted under the terms of its existing bank credit facilities and other indebtedness.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8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Bell Mobile Homes (“Bell”), a retailer owned by one of the Company’s significant stockholders, purchases manufactured homes from the Company. Accounts receivable balances due from Bell were $0.4 million and $0.6 million as of September 30, 2026 and December 31, 2025, respectively. Home sales to Bell were $0.4 million and $1.2 million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and 2025, respectively. Home sales to Bell were $2.1 million and $2.7 million for the nine months ended September 30, 2026 and 2025, respectively</w:t>
      </w:r>
    </w:p>
    <w:p>
      <w:pPr>
        <w:spacing w:after="0" w:line="12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Shipley Bros., Ltd. and Crazy Red’s Mobile Homes (together, “Shipley”), retailers owned by one of the Company’s significant shareholders, purchase manufactured homes from the Company. Accounts receivable balances due from Shipley were $0.1 million and $0.1 million as of September 30, 2026 and December 31, 2025, respectively. Home sales to Shipley were $0.4 million and $0.3 million for the three months ended September 30, 2026 and 2025, respectively. Home sales to Shipley were $0.9 million and $1.5 million for the nine months ended September 30, 2026 and 2025, respectively.</w:t>
      </w:r>
    </w:p>
    <w:p>
      <w:pPr>
        <w:spacing w:after="0" w:line="187"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AmeriCasa Solutions, LLC and its affiliates ("AmeriCasa") are the seller entities from which the Company acquired substantially all of the assets of AmeriCasa's business in November 2025 pursuant to the Asset and Membership Interest Purchase Agreement dated October 30, 2025, as amended. As of September 30, 2026, the Company had recorded approximately $1.0 million in accounts receivable from AmeriCasa, included in accounts receivable, net, and approximately $0.8 million payable to AmeriCasa, included in accrued liabilities, on the accompanying balance sheet. These amounts do not include any amounts held in escrow or subject to purchase-price holdbacks under the Asset and Membership Interest Purchase Agreement. Realization of the recorded receivable and the ultimate amount of any payable to AmeriCasa are subject to the matters described in Note 13 — Commitments and Contingencies and Part II, Item 1 — Legal Proceedings of this Quarterly Report.</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also held a 28.75% equity interest in Corpus AmeriCasa, an entity affiliated with AmeriCasa, which was included in other assets at approximately $0.6 million as of December 31, 2025. As of June 30, 2026, the Company determined that this investment was not recoverable and wrote down its entire carrying value to zero. See Note 9 — Other Assets.</w:t>
      </w: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these financial statements were issued. There are no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59" w:firstLine="713"/>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financial statements and accompanying notes and the information contained in other sections of this Form 10-Q. It contains forward 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 looking statements as a result of various factors, including those discussed in this Form 10-Q and our Annual Report on Form 10-K for the year ended December 31,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2026, total net revenue was $69.7 million, an increase of 72.2% over the same period in 2025, and net income was $20.1 million, or $0.85 per diluted share, compared to net income of $8.6 million, or $0.35 per diluted share, in the prior-year quarter. Overall net income increased $11.5 million for the quarter, up 132.8%. The increase was driven primarily by a 91.7% increase of $26.4 million in product sales over the same period in 2025, reflecting the impact of deliveries under workforce housing orders, which contributed $30.6 million of product sales during the quarter, partially offset by a decrease in inventory finance sales of $3.2 million. For the nine months ended September 30, 2026, total net revenue was $170.4 million and net income was $54.5 million, or $2.29 per diluted share. We ended the quarter with $30.8 million in cash, $5.3 million in short-term investments, and no borrowings outstanding under our $50.0 million revolving credit facility.</w:t>
      </w:r>
    </w:p>
    <w:p>
      <w:pPr>
        <w:spacing w:after="0" w:line="12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build, sell and finance manufactured homes and “Tiny Houses” that are distributed through a network of independent retailers and company-owned stores and are sold directly to manufactured housing communities. We are one of the largest producers of manufactured homes in the United States. With current operations focused primarily in the southern United States, we offer our customers an array of quality homes ranging in size from approximately 395 to 2,667 square feet consisting of 1 to 5 bedrooms, with 1 to 3½ bathrooms. Our homes range in price, at retail, from approximately $47,000 to $200,000. For the three months ended September 30, 2026 and 2025, we sold 635 (consisting of 687 floors) and 420 units (consisting of 686 floors), respectively. For the nine months ended September 30, 2026 and 2025, we sold 1,665 (consisting of 1,825 floors) and 1,334 units (consisting of 1,811 floors), respectively.</w:t>
      </w:r>
    </w:p>
    <w:p>
      <w:pPr>
        <w:spacing w:after="0" w:line="11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believe our Company is one of the most vertically integrated in the manufactured housing industry, allowing us to offer a complete solution to our customers. We manufacture custom-made homes using quality materials, distribute those homes through our expansive network of independent retailers and company-owned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up to, on average, approximately 70 home sections, or 60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features such as fireplaces, central air conditioning and state-of-the-art kitchens. While substantially all of the homes we sell are constructed at our three manufacturing facilities, we also purchase a limited number of homes at wholesale from third-party manufacturers for resale authorized to build proprietary company models. The Company sold 30 purchased homes for a total of $1.5 million for the three months ended September 30, 2026. The Company sold 176 purchased homes for a total of $8.2 million for the nine months ended September 30, 2026.</w:t>
      </w:r>
    </w:p>
    <w:p>
      <w:pPr>
        <w:spacing w:after="0" w:line="13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homes are marketed under our premier “Legacy” brand name and currently are sold primarily across 15 states through a large network of independent retail locations, 14 company-owned retail locations and through direct sales to owners of manufactured home communities. Our 14 company-owned retail locations consist of 13 Heritage Housing stores, which exclusively sell our homes, and one location that operates under the AmeriCasa name.</w:t>
      </w:r>
    </w:p>
    <w:p>
      <w:pPr>
        <w:spacing w:after="0" w:line="11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approximately 71% of our manufactured homes were sold in Texas, followed by 4% in Georgia, 3% per state in Oklahoma and Ohio, and 2% per state in Illinois, North Carolina, Florida, Kansas, New Mexico, and Missouri. The remaining 7% sold are in twelve other states.</w:t>
      </w:r>
    </w:p>
    <w:p>
      <w:pPr>
        <w:spacing w:after="0" w:line="9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offer three types of financing solutions to our customers. We provide inventory financing for our independent retailers who purchase homes from us and then sell them to consumers. We provide consumer financing for our products</w:t>
      </w:r>
    </w:p>
    <w:p>
      <w:pPr>
        <w:sectPr>
          <w:pgSz w:w="11900" w:h="16838" w:orient="portrait"/>
          <w:cols w:equalWidth="0" w:num="1">
            <w:col w:w="9019"/>
          </w:cols>
          <w:pgMar w:left="1440" w:top="513" w:right="1440"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which are sold to end-users through both independent and company-owned retail locations. We also provide financing solutions to manufactured housing community owners that buy our products for use in their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Transition</w:t>
      </w:r>
    </w:p>
    <w:p>
      <w:pPr>
        <w:spacing w:after="0" w:line="202"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On July 17, 2026, Curtis D. Hodgson notified the Company of his decision to retire from his positions as Executive Chairman and as a member of the Board of Directors, effective July 21. On August 13, 2026, the Board of Directors appointed Kenneth E. Shipley, a co-founder of the Company and a member of the Board, as Chairman of the Board and Chief Executive Officer, effective immediately.</w:t>
      </w:r>
    </w:p>
    <w:p>
      <w:pPr>
        <w:spacing w:after="0" w:line="180" w:lineRule="exact"/>
        <w:rPr>
          <w:sz w:val="20"/>
          <w:szCs w:val="20"/>
          <w:color w:val="auto"/>
        </w:rPr>
      </w:pPr>
    </w:p>
    <w:p>
      <w:pPr>
        <w:jc w:val="both"/>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Prior to Mr. Hodgson’s retirement, Mr. Hodgson and Mr. Shipley together served as the Company’s co-chief operating decision makers. Following his retirement, Mr. Shipley serves as the Company’s sole chief operating decision maker. This change did not affect the Company’s single reportable segment or the manner in which the Company reviews financial and operating performance and allocates resources.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depend on various opportunities, challenges, trends and other factors, including the following:</w:t>
      </w:r>
    </w:p>
    <w:p>
      <w:pPr>
        <w:spacing w:after="0" w:line="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During the third quarter of 2026, U.S. inflation remained above the Federal Reserve's long-term target but moderated late in the quarter. After rising to a three-year high of 4.2% in May 2026 — driven in significant part by a sharp increase in energy prices following geopolitical events in the Middle East — the annual rate of inflation eased to 3.7% in September 2026 as energy prices declined, with core inflation (excluding food and energy) at 2.6%. Our ability to maintain gross margins can be adversely impacted by sudden increases in specific costs, such as raw materials, transportation, and labor. In September 2026, the Federal Reserve raised its benchmark interest rate by 25 basis points to a target range of 3.75% to 4.00%, its first increase since 2023, and average 30-year mortgage rates rose above 7% by the end of the quarter. Although chattel financing rates for manufactured homes generally move independently of mortgage rates, sustained elevated borrowing costs can affect the ability of home buyers to obtain affordable financing. We continue to explore opportunities to minimize the impact of inflation and elevated borrowing costs on our future profitability.</w:t>
      </w:r>
    </w:p>
    <w:p>
      <w:pPr>
        <w:spacing w:after="0" w:line="11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financial performance depends on how well we can fulfill orders from dealers and customers for our manufactured homes. Our Georgia facility has room to grow, and with additional investment we can expand capacity to produce more homes. Given the strength of our balance sheet and our sustained profitability, we believe we are well positioned to fund that growth; our most significant near-term constraint is securing and retaining enough trained labor to meet demand — a challenge that would intensify if we are successful in converting a meaningful portion of our current workforce housing opportunities. To address this, management is implementing new recruiting and retention programs intended to expand and stabilize our skilled workforce. Sustained growth also requires accurate forecasting across several dimensions: the volume of business we pursue and accept, our product mix, production scheduling, and the management of inventory, equipment, and staffing levels. We continue to evaluate both organic expansion and acquisition opportunities to add capacity in regions where demand is strongest.</w:t>
      </w:r>
    </w:p>
    <w:p>
      <w:pPr>
        <w:spacing w:after="0" w:line="1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2026, the Company entered into two agreements with a single customer to manufacture and deliver workforce housing units in Texas. The Company expects to deliver substantially all remaining units under these agreements by the end of the first quarter of 2027, which will complete its deliveries under these agreements. The timing of deliveries is determined by customer delivery requests, and unapplied deposit balances are included in customer deposits.</w:t>
      </w:r>
    </w:p>
    <w:p>
      <w:pPr>
        <w:spacing w:after="0" w:line="153" w:lineRule="exact"/>
        <w:rPr>
          <w:sz w:val="20"/>
          <w:szCs w:val="20"/>
          <w:color w:val="auto"/>
        </w:rPr>
      </w:pPr>
    </w:p>
    <w:p>
      <w:pPr>
        <w:jc w:val="both"/>
        <w:ind w:left="60" w:right="59"/>
        <w:spacing w:after="0" w:line="297" w:lineRule="auto"/>
        <w:rPr>
          <w:sz w:val="20"/>
          <w:szCs w:val="20"/>
          <w:color w:val="auto"/>
        </w:rPr>
      </w:pPr>
      <w:r>
        <w:rPr>
          <w:rFonts w:ascii="Times New Roman" w:cs="Times New Roman" w:eastAsia="Times New Roman" w:hAnsi="Times New Roman"/>
          <w:sz w:val="18"/>
          <w:szCs w:val="18"/>
          <w:color w:val="auto"/>
        </w:rPr>
        <w:t>Workforce housing is receiving significant attention across our market areas and given the number of projects currently underway or planned in those areas, we believe there is a meaningful opportunity for additional orders of this type. The Company's ability to fulfill these orders, and any future orders, on schedule depends on production capacity, the availability of trained labor, and raw material availability.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During the third quarter of 2026, the Company continued to incur elevated input costs attributable in part to tariffs on imported goods, including goods imported from China. Certain materials and components used in our homes, including electrical fixtures, hardware, appliances, and other finished products, are sourced directly from China or through domestic suppliers affected by these tariffs. Approximately 9.0% of the Company’s material costs, or $2.7 thousand per home produced, include raw materials purchased internationally, and tariffs on these materials increased the average material cost per home by an additional $0.7 thousand during the nine months ended September 30, 2026. To mitigate these effects, the Company implemented price increases averaging approximately 3.8% over the nine months and continues to pursue supplier diversification and increased domestic sourcing where practical.</w:t>
      </w:r>
    </w:p>
    <w:p>
      <w:pPr>
        <w:spacing w:after="0" w:line="111"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have acquired several properties in our market area for the purpose of developing manufactured housing communities and subdivisions. As of September 30, 2026, these properties include the following (in thousands):</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2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Description</w:t>
            </w:r>
          </w:p>
        </w:tc>
        <w:tc>
          <w:tcPr>
            <w:tcW w:w="2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of Acquisition</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Land</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Improvements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Bastrop County, Texas</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368 Acres</w:t>
            </w:r>
          </w:p>
        </w:tc>
        <w:tc>
          <w:tcPr>
            <w:tcW w:w="2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39,394</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Bexar County, Texas</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​​​69 Acres</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​​​​November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tcPr>
          <w:p>
            <w:pPr>
              <w:spacing w:after="0"/>
              <w:rPr>
                <w:sz w:val="18"/>
                <w:szCs w:val="18"/>
                <w:color w:val="auto"/>
              </w:rPr>
            </w:pP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1,084</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Horseshoe Bay, Texas</w:t>
            </w: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38.5 Acres</w:t>
            </w:r>
          </w:p>
        </w:tc>
        <w:tc>
          <w:tcPr>
            <w:tcW w:w="2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Various 2018-2019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Johnson County, Texas</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91.5 Acres</w:t>
            </w:r>
          </w:p>
        </w:tc>
        <w:tc>
          <w:tcPr>
            <w:tcW w:w="2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July 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Venus, Texas</w:t>
            </w: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50 Acres</w:t>
            </w:r>
          </w:p>
        </w:tc>
        <w:tc>
          <w:tcPr>
            <w:tcW w:w="2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August 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Wise County, Texas</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81.5 Acres</w:t>
            </w:r>
          </w:p>
        </w:tc>
        <w:tc>
          <w:tcPr>
            <w:tcW w:w="2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Bexar County, Texas</w:t>
            </w: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233 Acres</w:t>
            </w:r>
          </w:p>
        </w:tc>
        <w:tc>
          <w:tcPr>
            <w:tcW w:w="2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February 2021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Bonham, Texas</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124.71 Acres</w:t>
            </w:r>
          </w:p>
        </w:tc>
        <w:tc>
          <w:tcPr>
            <w:tcW w:w="2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December 2024 &amp; Sept 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Balch Springs, Texas (1)</w:t>
            </w: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7.47 Acres</w:t>
            </w:r>
          </w:p>
        </w:tc>
        <w:tc>
          <w:tcPr>
            <w:tcW w:w="2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2024 &amp; July 2025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Austin, Texas (Travis County)</w:t>
            </w:r>
          </w:p>
        </w:tc>
        <w:tc>
          <w:tcPr>
            <w:tcW w:w="12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1.52 Acres</w:t>
            </w:r>
          </w:p>
        </w:tc>
        <w:tc>
          <w:tcPr>
            <w:tcW w:w="2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June 2025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09"/>
        </w:trPr>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52,128</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Decrease in total land is due to a partial land sale.</w:t>
      </w:r>
    </w:p>
    <w:p>
      <w:pPr>
        <w:spacing w:after="0" w:line="18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also may provide financing solutions to certain manufactured housing community-owner customers in a manner that includes developing new sites for products in or near urban locations where there is a shortage of sites to place our products. These solutions are structured to give us an attractive return on investment when coupled with the gross margin we expect to make on products specifically targeted for sale to these new manufactured housing communities.</w:t>
      </w:r>
    </w:p>
    <w:p>
      <w:pPr>
        <w:spacing w:after="0" w:line="11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largest development, in Bastrop County, Texas, is expected to begin lot and home sales in 2027. At Horseshoe Bay, the Company has listed certain lots with a real estate broker and operates a model home on site to support direct and wholesale sales.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information set forth in the financial statements and the accompanying notes appearing elsewhere in this Form 10-Q.</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2026 and 2025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 change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82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8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55,176</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28,787</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other sales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215.7 %</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 for loan loss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(expense)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148.9 %</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Product sales primarily consist of direct sales, commercial sales, inventory finance sales, retail store sales and workforce housing sales. Product sales increased $26.4 million, or 91.7%, during the three months ended September 30, 2026 as compared to the same period in 2025. This increase was driven primarily by workforce housing sales, together with higher retail store and other product sales, partially offset by lower inventory finance, direct and commercial sales.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revenue attributable to our factory-built housing consisted of the following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4"/>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units sold</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per unit sold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2026, our total product sales increased by 91.7% as compared to the same period in 2025. The increase reflected both an increase in unit volume of 51.2% (from 420 units in Q3 2025 to 635 units in Q3 2026) and an increase in net revenue per unit to $86.9 thousand from $68.5 thousand in Q3 2025, the latter driven by a shift in product mix, as workforce housing units are larger, higher-specification and more complex to build than our traditional homes. The most significant driver was workforce housing sales, which contributed $30.6 million of product sales in the quarter compared to $2.3 million in the prior-year period. Other product sales increased $1.8 million, or 96.2%, and retail store sales increased $1.1 million, or 17.7%. These increases were partially offset by inventory finance sales, which decreased $3.2 million, or 51.6%, direct sales, which decreased $0.9 million, or 42.1%, and commercial sales,</w:t>
      </w:r>
    </w:p>
    <w:p>
      <w:pPr>
        <w:sectPr>
          <w:pgSz w:w="11900" w:h="16838" w:orient="portrait"/>
          <w:cols w:equalWidth="0" w:num="1">
            <w:col w:w="9019"/>
          </w:cols>
          <w:pgMar w:left="1440" w:top="513" w:right="1440"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which decreased $0.6 million, or 6.3%, each during the three months ended September 30, 2026 as compared to the same period in 2025.</w:t>
      </w:r>
    </w:p>
    <w:p>
      <w:pPr>
        <w:spacing w:after="0" w:line="8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decrease in inventory finance sales reflects weaker dealer demand and fewer new dealers joining our inventory finance program. Retail store sales increased as our Heritage Housing stores discounted 2026 and earlier model-year inventory to make room for 2027 models, which began shipping to dealers in July 2026.</w:t>
      </w:r>
    </w:p>
    <w:p>
      <w:pPr>
        <w:spacing w:after="0" w:line="10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Consumer, MHP and dealer loans interest income increased $0.4 million, or 4.0%, during the three months ended September 30, 2026 as compared to the same period in 2025, with the increase driven primarily by consumer loan portfolio interest.</w:t>
      </w:r>
    </w:p>
    <w:p>
      <w:pPr>
        <w:spacing w:after="0" w:line="10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Other revenue primarily consists of consignment fees, commercial lease rents, land sales, portfolio service revenue, park rental income, storage fees, and other miscellaneous income, which increased $2.4 million, or 300.0%, during the three months ended September 30, 2026, as compared to the same period in 2025. This increase was primarily due to the gain on the sale of a mobile home park the Company had acquired as collateral in settlement of notes receivable.</w:t>
      </w:r>
    </w:p>
    <w:p>
      <w:pPr>
        <w:spacing w:after="0" w:line="9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cost of product sales increased $11.9 million, or 51.7%, during the three months ended September 30, 2026, as compared to the same period in 2025, primarily due to the volume increase in units sold. Gross margin on product sales improved to 36.9% for the three months ended September 30, 2026, compared to 20.2% for the same period in 2025. The improvement reflected a shift in product mix, including workforce housing units, and price increases implemented during 2026. Gross margin for the third quarter of 2025 was also reduced by tariffs and higher raw material costs.</w:t>
      </w:r>
    </w:p>
    <w:p>
      <w:pPr>
        <w:spacing w:after="0" w:line="11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Inventories remained essentially stable, decreasing slightly by $0.2 million to $39.6 million as of September 30, 2026, driven primarily by a decrease in finished goods inventory offset by a slight increase in work in process inventory.</w:t>
      </w:r>
    </w:p>
    <w:p>
      <w:pPr>
        <w:spacing w:after="0" w:line="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$1.3 million, or 20.3%, during the three months ended September 30, 2026 as compared to the same period in 2025. The increase was driven primarily by a $0.6 million increase in service and warranty costs, a $0.5 million increase in professional and consulting fees, a $0.1 million increase in Heritage Housing payroll, a $0.3 million increase in legal fees, and a combined $0.2 million increase in corporate general payroll and healthcare benefits expense, partially offset by a $0.2 million decrease in SG&amp;A overhead allocation and $0.2 million decrease in advertising and shows expense.</w:t>
      </w:r>
    </w:p>
    <w:p>
      <w:pPr>
        <w:spacing w:after="0" w:line="10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increased $0.2 million, or 30.7%, during the three months ended September 30, 2026 as compared to the same period in 2025, primarily due to an increase of non-operating interest income of $0.1 million and a decrease of non-operating expense of $0.1 million.</w:t>
      </w:r>
    </w:p>
    <w:p>
      <w:pPr>
        <w:spacing w:after="0" w:line="10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2026, the Company began presenting provision for loan loss as a separate line item, previously included in selling, general and administrative expenses. Provision for loan loss was $2.1 million and $1.0 million for the three months ended September 30, 2026 and 2025, respectively.</w:t>
      </w:r>
    </w:p>
    <w:p>
      <w:pPr>
        <w:spacing w:after="0" w:line="10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increased $2.4 million during the three months ended September 30, 2026 as compared to the same period in 2025. The effective tax rate for the three months ended September 30, 2026 was 16.6%, compared to 15.7% for the same period in 2025, and differs from the federal statutory rate of 21% primarily due to the Section 45L new energy efficient home credit and the discrete treatment of the discount on transferable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2026 and 2025 (in thousands)</w:t>
      </w: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84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130,486</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91,464</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140.5 %</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other sales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77.7 %</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loan loss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186.4 %</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63,611</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40,761</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ind w:left="60" w:right="59" w:firstLine="738"/>
        <w:spacing w:after="0" w:line="266" w:lineRule="auto"/>
        <w:rPr>
          <w:sz w:val="20"/>
          <w:szCs w:val="20"/>
          <w:color w:val="auto"/>
        </w:rPr>
      </w:pPr>
      <w:r>
        <w:rPr>
          <w:rFonts w:ascii="Times New Roman" w:cs="Times New Roman" w:eastAsia="Times New Roman" w:hAnsi="Times New Roman"/>
          <w:sz w:val="18"/>
          <w:szCs w:val="18"/>
          <w:color w:val="auto"/>
        </w:rPr>
        <w:t>Product sales increased $39.0 million, or 42.7%, during the nine months ended September 30, 2026 as compared to the same period in 2025. This increase was driven primarily by workforce housing sales and by higher commercial and retail store sales, partially offset by lower inventory finance sales</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revenue attributable to our factory-built housing consisted of the following during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4"/>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38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91,464</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units sold</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per unit sold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bl>
    <w:p>
      <w:pPr>
        <w:spacing w:after="0" w:line="36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2026, product sales increased $39.0 million, or 42.7%, reflecting a 24.8% increase in units sold and a 14.3% increase in net revenue per unit, the latter driven by a shift in mix toward higher-value units, including units delivered under the workforce housing orders. Workforce housing sales were $57.9 million for the nine months, compared to $3.5 million in the prior-year period. Commercial sales increased $0.9 million, or 3.3%, retail store sales increased $3.2 million, or 19.5%, and other product sales increased $2.9 million, or 49.2%. These increases were partially offset by inventory finance sales, which decreased $20.9 million, or 67.5%, and direct sales, which decreased $1.5 million, or 25.4%, each during the nine months ended September 30, 2026 as compared to the same period in 2025.</w:t>
      </w:r>
    </w:p>
    <w:p>
      <w:pPr>
        <w:sectPr>
          <w:pgSz w:w="11900" w:h="16838" w:orient="portrait"/>
          <w:cols w:equalWidth="0" w:num="1">
            <w:col w:w="9019"/>
          </w:cols>
          <w:pgMar w:left="1440" w:top="513" w:right="1440"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Consumer, MHP and dealer loans interest income increased $1.7 million, or 5.2%, during the nine months ended September 30, 2026 as compared to the same period in 2025, with the increase driven primarily by consumer loan portfolio interest, while MHP and dealer interest were essentially flat.</w:t>
      </w:r>
    </w:p>
    <w:p>
      <w:pPr>
        <w:spacing w:after="0" w:line="9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Other revenue increased $3.4 million, or 140.5%, during the nine months ended September 30, 2026 as compared to the same period in 2025. This increase was primarily due to the gain on the sale of a mobile home park the Company had acquired as collateral in settlement of notes receivable, as well as an additional $1.0 million land sale during the period.</w:t>
      </w:r>
    </w:p>
    <w:p>
      <w:pPr>
        <w:spacing w:after="0" w:line="11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cost of product sales increased $17.2 million, or 26.0%, during the nine months ended September 30, 2026 as compared to the same period in 2025, primarily as a result of the increase in units sold. The cost of other sales were $3.1 million and $1.7 million during the nine months ended September 30, 2026 and 2025, respectively.</w:t>
      </w:r>
    </w:p>
    <w:p>
      <w:pPr>
        <w:spacing w:after="0" w:line="10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Inventories, net decreased $0.2 million to $39.6 million as of September 30, 2026, driven primarily by a decrease in finished goods inventory due to the shipment of finished goods.</w:t>
      </w:r>
    </w:p>
    <w:p>
      <w:pPr>
        <w:spacing w:after="0" w:line="8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$1.0 million, or 5.8%, during the nine months ended September 30, 2026 as compared to the same period in 2025. Increases in Heritage Housing payroll $0.7 million, professional and consulting fees $1.0 million, service and warranty costs $0.4 million, and depreciation and amortization $0.1 million were substantially offset by decreases in payroll-related healthcare costs $0.2 million, corporate and general payroll $0.4 million, payroll incentive compensation $0.6 million.</w:t>
      </w:r>
    </w:p>
    <w:p>
      <w:pPr>
        <w:spacing w:after="0" w:line="11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decreased $1.3 million, or 49.7%, during the nine months ended September 30, 2026 as compared to the same period in 2025, primarily due to lower miscellaneous and lower non-operating interest income.</w:t>
      </w:r>
    </w:p>
    <w:p>
      <w:pPr>
        <w:spacing w:after="0" w:line="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Provision for loan loss were $3.0 million and $2.6 million for the nine months ended September 30, 2026 and 2025, respectively.</w:t>
      </w:r>
    </w:p>
    <w:p>
      <w:pPr>
        <w:spacing w:after="0" w:line="81"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increased $1.9 million during the nine months ended September 30, 2026 as compared to the same period in 2025. The effective tax rate for the nine months ended September 30, 2026 was 14.3%, compared to 17.5% for the same period in 2025, and differs from the federal statutory rate of 21% primarily due to the discrete activity related to the release of uncertain tax benefits, Section 45L new energy efficient home credit, and the discrete treatment of the discount on transferable tax credits. The Section 45L new energy efficient home credit does not apply to homes sold after June 30, 2026, which is expected to increase the Company's effective tax rate in future periods.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that cash flow from operations and cash at September 30, 2026, and availability on our lines of credit will be sufficient to fund our operations and provide for growth for the next 12 to 18 months and into the foreseeable future. See Lines of Credit, below, for additional information.</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maintain cash balances in bank accounts that may, at times, exceed federally insured limits. We have not incurred any losses from such accounts, and management considers the risk of loss to be minimal. As of September 30, 2026, we had approximately $36.1 million in cash, compared to $8.5 million as of December 31, 2025. We consider all cash and highly liquid investments with an original maturity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5"/>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4"/>
          </w:tcPr>
          <w:p>
            <w:pPr>
              <w:jc w:val="center"/>
              <w:ind w:left="45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20" w:type="dxa"/>
            <w:vAlign w:val="bottom"/>
            <w:vMerge w:val="restart"/>
          </w:tcPr>
          <w:p>
            <w:pPr>
              <w:ind w:left="59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620" w:type="dxa"/>
            <w:vAlign w:val="bottom"/>
            <w:gridSpan w:val="2"/>
          </w:tcPr>
          <w:p>
            <w:pPr>
              <w:jc w:val="center"/>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35,337</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(11,320)</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(1,656)</w:t>
            </w:r>
          </w:p>
        </w:tc>
        <w:tc>
          <w:tcPr>
            <w:tcW w:w="6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Comparison of Cash Flow Activities from September 30, 2025 to September 30, 2026</w:t>
      </w:r>
    </w:p>
    <w:p>
      <w:pPr>
        <w:spacing w:after="0" w:line="20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was $35.3 million during the nine months ended September 30, 2026, compared to net cash of $18.2 million provided by operating activities during the nine months ended September 30, 2025, an increase of approximately $17.1 million. This change was primarily a result of cash provided from net income of $54.5 million as well as increases in non-cash adjustments of $4.5 million. Non-cash adjustments included increases to operating cash from depreciation and amortization expense, the provision for accounts and notes receivable, the write-off of the investment in Corpus AmeriCasa, amortization of operating lease right of use assets, and deferred income taxes, offset by decreases to operating cash from amortization of deferred revenue, gains on the sale of property, the provision for inventories, and share based compensation expense. Changes in operating assets and liabilities reduced net cash provided by operations by $23.7 million, primarily as a result of increases in accounts receivable, interest receivable net, the consumer loan portfolio, the notes receivable MHP portfolio, prepaid expenses, and other assets, along with decreases in accounts payable and accrued liabilities, and the dealer incentive liability. This decrease in cash provided by operations was partially offset by an increase in customer deposits, a decrease in the dealer inventory loan portfolio, a decrease in income tax refund receivable, an increase in customer escrow liability, an increase in product refund liability, and a slight decrease in inventories. The increase in accounts receivable primarily reflects invoices to our workforce housing customer, which pays within 35 days of invoice.</w:t>
      </w:r>
    </w:p>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$11.3 million for the nine months ended September 30, 2026 compared to $0.7 million net cash provided by investing activities for the nine months ended September 30, 2025. Net cash used in investing activities for the nine months ended September 30, 2026 was primarily attributable to $10.2 million used in development of property and purchases of machinery and equipment, purchase of short-term certified deposits of $5.3 million, as well as $1.1 million related to the issuance and modification of notes receivable. This was offset by increases to net cash from investing activities of $1.3 million from the sale of property, $3.7 million from notes receivable collections, and $0.2 million from purchased loan collections.</w:t>
      </w:r>
    </w:p>
    <w:p>
      <w:pPr>
        <w:spacing w:after="0" w:line="10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$1.7 million for the nine months ended September 30, 2026 compared to $6.5 million net cash used in financing activities for the nine months ended September 30, 2025. Net cash used in financing activities for the nine months ended September 30, 2026 was primarily attributable to $0.7 million of stock repurchases and net payments of $1.0 million on lines of credit.</w:t>
      </w:r>
    </w:p>
    <w:p>
      <w:pPr>
        <w:spacing w:after="0" w:line="11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February 6, 2026, our Board of Directors authorized a new stock repurchase program under which the Company may repurchase up to $10.0 million of its outstanding common stock, par value $0.001 per share, from time to time through February 28, 2029. Repurchases may be made in the open market or through privately negotiated transactions, with the timing, manner, price and volume of any repurchases determined by the Chief Executive Officer, in their sole discretion, based on market conditions, the Company's cash reserves and cash flow, and the relative attractiveness of alternative uses of capital for operations, growth and share repurchases. Open market repurchases under the program are intended to be made in compliance with the non-exclusive safe harbor conditions of Rule 10b-18 under the Securities Exchange Act of 1934, as amended. Shares repurchased under the program will be held as treasury shares. The program does not obligate the Company to acquire any particular amount of common stock, has no expiration date prior to February 28, 2029, and may be suspended, modified or discontinued at any time without prior notice. The Company has determined that repurchases under the program are permitted under the terms of its existing bank credit facilities and other</w:t>
      </w:r>
    </w:p>
    <w:p>
      <w:pPr>
        <w:sectPr>
          <w:pgSz w:w="11900" w:h="16838" w:orient="portrait"/>
          <w:cols w:equalWidth="0" w:num="1">
            <w:col w:w="9019"/>
          </w:cols>
          <w:pgMar w:left="1440" w:top="513"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indebtedness. During the nine months ended September 30, 2026, the Company repurchased 30,740 shares of common stock for $0.7 million under this program. The Company made no repurchases in the three months ended September 30, 2026. As of September 30, 2026, the Company had a remaining authorization of approximately $9.3 million under this program.</w:t>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Lines of Credit</w:t>
      </w:r>
    </w:p>
    <w:p>
      <w:pPr>
        <w:spacing w:after="0" w:line="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July 28, 2023, the Company entered into a Credit Agreement (the “Revolver”), by and among the Company as borrower, the financial institutions from time to time party thereto, as lenders, and Prosperity Bank as administrative agent. The Revolver provides for a four-year senior secured revolving credit facility with an initial commitment of $50 million and an additional $25 million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in Prepaid Expenses and Other Current Assets in the accompanying balance sheets and are amortized to interest expense over the life of the Revolver. The Revolver matures July 28, 2027. The Company intends to renew the Revolver before maturity and, given its strong positive operating cash flow, significant cash and equivalents, and absence of outstanding borrowings, does not currently expect to seek an increase in commitment.</w:t>
      </w:r>
    </w:p>
    <w:p>
      <w:pPr>
        <w:spacing w:after="0" w:line="11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2026 and 2025, interest expense under the Revolver was $0 and $2 thousand, respectively. The outstanding balance of the Revolver as of September 30, 2026 and December 31, 2025 was $0 and $0, respectively. The interest rate in effect as of September 30, 2026 and December 31, 2025 for the Revolver was 6.13% and 6.69%, respectively. The amount of available credit under the Revolver was $50 million and $50 million as of September 30, 2026 and December 31, 2025, respectively. The Revolver requires the Company to comply with certain financial and non-financial covenants. As of September 30, 2026, the Company was in compliance with all financial covenants, including that it maintain a maximum leverage ratio of no more than 1.00 to 1.00 and a minimum fixed charge coverage ratio of no less than 1.75 to 1.00.</w:t>
      </w: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is a summary of contractual cash obligations as of September 30, 2026:</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r>
      <w:tr>
        <w:trPr>
          <w:trHeight w:val="29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2026</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​​​2027 - 2028  ​​​2029 - 2030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​​​​After 2030</w:t>
            </w:r>
          </w:p>
        </w:tc>
      </w:tr>
      <w:tr>
        <w:trPr>
          <w:trHeight w:val="209"/>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Lines of credit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60" w:right="159" w:firstLine="713"/>
        <w:spacing w:after="0" w:line="253" w:lineRule="auto"/>
        <w:rPr>
          <w:sz w:val="20"/>
          <w:szCs w:val="20"/>
          <w:color w:val="auto"/>
        </w:rPr>
      </w:pPr>
      <w:r>
        <w:rPr>
          <w:rFonts w:ascii="Times New Roman" w:cs="Times New Roman" w:eastAsia="Times New Roman" w:hAnsi="Times New Roman"/>
          <w:sz w:val="18"/>
          <w:szCs w:val="18"/>
          <w:color w:val="auto"/>
        </w:rPr>
        <w:t>We did not have any off-balance sheet arrangements that are reasonably likely to have a current or future effect on our financial condition, net sales, results of operations, liquidity or capital expenditures. However, we do have repurchase agreements with financial institutions providing inventory financing for independent retailers of our products. Under these agreements, we have agreed to repurchase homes at declining prices over the term of the agreement. Our obligation under these repurchase agreements ceases upon the purchase of the home by the retail customer. The maximum amount of our contingent obligations under such repurchase agreements was approximately $0 and $0.8 million as of September 30, 2026 and December 31, 2025, respectively, without reduction for the resale value of the homes. We may be required to honor contingent repurchase obligations in the future and may incur additional expenses as a consequence of these repurchase agreements. We consider our obligations on current contracts to be immaterial and accordingly we have not recorded any reserve for repurchase commitment as of September 30, 2026.</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Critical accounting estimates are those that we believe are both significant and require us to make difficult, subjective, or complex judgments, often because we need to estimate the effect of inherently uncertain matters. Our critical accounting estimates are identified and described in our Annual Report on Form 10-K for the year ended December 31, 2025. We discuss below the estimate areas in which there were material developments during the period covered by this report.</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Loan Losses on Consumer, MHP, Dealer, and Other Notes Receivable</w:t>
      </w:r>
    </w:p>
    <w:p>
      <w:pPr>
        <w:spacing w:after="0" w:line="21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allowance for loan losses on our consumer loan, manufactured housing community (MHP) note, dealer financed receivable, and other note receivable portfolios reflects management's estimate of losses inherent in those portfolios as of the balance sheet date. The allowance is composed of two components: a general reserve, calculated using the trailing three-year historical loss rate adjusted for an estimated loss discovery period and qualitative factors (including delinquency trends, borrower financial condition, collateral values and liquidity, and macroeconomic conditions); and specific reserves on individually identified impaired loans. The consumer loan portfolio is the largest and most judgment-intensive of these portfolios, with a balance of approximately $205.1 million as of September 30, 2026 compared to $202.2 million as of June 30, 2026, $199.3 million as of March 31, 2026 and $198.8 million as of December 31, 2025.</w:t>
      </w:r>
    </w:p>
    <w:p>
      <w:pPr>
        <w:spacing w:after="0" w:line="11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total allowance for loan loss was $6.6 million as of September 30, 2026 compared to $5.8 million as of June 30, 2026, $6.7 million as of March 31, 2026, and $5.8 million as of December 31, 2025. Changes in delinquency, borrower condition, collateral values, or the qualitative factors described above could result in changes to the allowance that would be recognized in earnings in the period of change. We did not change our allowance methodology during the period.</w:t>
      </w:r>
    </w:p>
    <w:p>
      <w:pPr>
        <w:spacing w:after="0" w:line="11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During the third quarter of 2026, the Company modified a note receivable from a mobile home park borrower. In connection with the modification, the borrower made a $2.0 million principal payment, reducing the outstanding balance to $46.6 million, which represents approximately 23% of MHP Notes. The modification also extended maturity to April 2031, abated interest from July 3, 2026 through October 3, 2026, and added a mobile home community as additional collateral. The Company did not recognize interest income on this note during the abatement period, during which the borrower may prepay the note without penalty. Based on the estimated value of the collateral and the borrower’s payment status, the Company determined that no allowance was required at September 30, 2026.</w:t>
      </w:r>
    </w:p>
    <w:p>
      <w:pPr>
        <w:spacing w:after="0" w:line="12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Within our dealer financed receivables, $2.5 million relates to homes that have been on dealers’ lots for more than three years. We are working with dealers to sell older inventory through pricing and lending incentives and, where appropriate, repossessing homes for resale through our Heritage Housing stores or other dealers.</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Refund Liability for Workforce Housing Repurchase Options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agreements with a workforce housing customer, the Company has agreed to grant the customer options to require the Company to repurchase delivered units between the fourth and sixth anniversaries of delivery, at 33% or 25% of the original unit price. The Company accounts for the options as a right of return and records a refund liability for expected exercises, with an offsetting asset for its right to recover the units. Estimating the liability requires significant judgment, principally the probability of exercise in each window; the expected fair value of the units at the exercise dates; and the discount rate. At September 30, 2026, the refund liability and the related asset were each $2.2 million. Because the expected value of returned units exceeds the repurchase prices, changes in the exercise probabilities would change the amounts recorded and the related reductions of product sales and cost of product sales, but would not be expected to affect net income unless the fair value of the units declined substantially. If the options were exercised for all units covered by the agreements in the first exercise window, the Company's maximum repurchase obligation would be approximately $22.8 million, before the resale value of the repurchased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 Nature of Operations, Recent Accounting Pronouncements to our September 30, 2026 Financial Statements, included in Part I, Item 1, Financial Statements (Unaudited), of this Quarterly Report.</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4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the evaluation of our disclosure controls and procedures as of September 30, 2026, our Chief Executive Officer and Chief Financial Officer have concluded that our disclosure controls and procedures were not effective as of such date due to material weaknesses in internal control over financial reporting.</w:t>
      </w:r>
    </w:p>
    <w:p>
      <w:pPr>
        <w:spacing w:after="0" w:line="160" w:lineRule="exact"/>
        <w:rPr>
          <w:sz w:val="20"/>
          <w:szCs w:val="20"/>
          <w:color w:val="auto"/>
        </w:rPr>
      </w:pPr>
    </w:p>
    <w:p>
      <w:pPr>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In light of the conclusion that our disclosure controls and procedures were not effective as of September 30, 2026, we have applied procedures and processes as necessary to ensure the reliability of our financial reporting in regard to this quarterly report. Accordingly, the Company believes, based on its knowledge, that: (i) this quarterly report does not contain any untrue statement of a material fact or omit to state a material fact necessary to make the statements made, in light of the circumstances under which they were made, not misleading with respect to the period covered by this report; and (ii) the financial statements, and other financial information included in this quarterly report, fairly present in all material respects our financial condition, results of operations and cash flows as of and for the periods presented in this quarterly report.</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filed with the SEC for the year ended December 31, 2025, we identified material weaknesses in our internal control over financial reporting during the preparation of our financial statements.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material weaknesses in financial reporting as of September 30, 2026 are summarized as follows:</w:t>
      </w:r>
    </w:p>
    <w:p>
      <w:pPr>
        <w:spacing w:after="0" w:line="185" w:lineRule="exact"/>
        <w:rPr>
          <w:sz w:val="20"/>
          <w:szCs w:val="20"/>
          <w:color w:val="auto"/>
        </w:rPr>
      </w:pPr>
    </w:p>
    <w:p>
      <w:pPr>
        <w:ind w:left="1380" w:right="119" w:hanging="331"/>
        <w:spacing w:after="0" w:line="266"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have not sufficiently designed, implemented, monitored or tested control activities, and we have not adequately maintained documentation or performed reviews and approvals of certain of these control activities;</w:t>
      </w:r>
    </w:p>
    <w:p>
      <w:pPr>
        <w:spacing w:after="0" w:line="135" w:lineRule="exact"/>
        <w:rPr>
          <w:rFonts w:ascii="Times New Roman" w:cs="Times New Roman" w:eastAsia="Times New Roman" w:hAnsi="Times New Roman"/>
          <w:sz w:val="18"/>
          <w:szCs w:val="18"/>
          <w:color w:val="auto"/>
        </w:rPr>
      </w:pPr>
    </w:p>
    <w:p>
      <w:pPr>
        <w:ind w:left="1380" w:right="21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do not have sufficient qualified accounting personnel to support the preparation of financial statements that comply with U.S. GAAP and SEC reporting requirements; and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right="819" w:hanging="331"/>
        <w:spacing w:after="0" w:line="312" w:lineRule="auto"/>
        <w:tabs>
          <w:tab w:leader="none" w:pos="1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determined that we have not sufficiently designed, implemented or maintained information technology general controls over in-scope business processes and financial reporting systems.</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189" w:lineRule="exact"/>
        <w:rPr>
          <w:sz w:val="20"/>
          <w:szCs w:val="20"/>
          <w:color w:val="auto"/>
        </w:rPr>
      </w:pPr>
    </w:p>
    <w:p>
      <w:pPr>
        <w:ind w:left="60" w:right="479"/>
        <w:spacing w:after="0" w:line="312" w:lineRule="auto"/>
        <w:rPr>
          <w:sz w:val="20"/>
          <w:szCs w:val="20"/>
          <w:color w:val="auto"/>
        </w:rPr>
      </w:pPr>
      <w:r>
        <w:rPr>
          <w:rFonts w:ascii="Times New Roman" w:cs="Times New Roman" w:eastAsia="Times New Roman" w:hAnsi="Times New Roman"/>
          <w:sz w:val="17"/>
          <w:szCs w:val="17"/>
          <w:color w:val="auto"/>
        </w:rPr>
        <w:t>Management, with oversight from the Audit Committee, is executing a plan to remediate the material weaknesses described above. During 2026, we have undertaken the following efforts to begin addressing the material weaknesses:</w:t>
      </w:r>
    </w:p>
    <w:p>
      <w:pPr>
        <w:spacing w:after="0" w:line="11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Qualified accounting personnel. We have substantially expanded our accounting and finance organization. Since December 31, 2025, we have added substantial accounting and finance resources, including staff accountants and financial analysts, and in September 2026 we hired a SOX Compliance Director, a certified public accountant with experience in SOX 404 compliance and system implementations, who reports directly to our Chief Financial Officer. We also appointed a SOX Compliance Manager from within the accounting team. We have implemented a training program for accounting and finance personnel that covers internal control requirements and the evidence our auditors expect.</w:t>
      </w:r>
    </w:p>
    <w:p>
      <w:pPr>
        <w:spacing w:after="0" w:line="14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Control activities and monitoring. We have inventoried the control deficiencies underlying this material weakness and are tracking remediation of each deficiency, including the redesign and documentation of key controls over financial close and reporting, revenue, loans receivable, inventory, and property, plant and equipment. We have strengthened documentation and evidence of review for significant accounting judgments, including written accounting position memoranda for significant transactions, and have adopted written policies in areas such as outside counsel billing and non-employee director compensation.</w:t>
      </w:r>
    </w:p>
    <w:p>
      <w:pPr>
        <w:spacing w:after="0" w:line="147"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Information technology general controls. On September 1, 2026, we completed the migration of our enterprise resource planning system from Microsoft Dynamics GP to Microsoft Dynamics 365 Business Central. In connection with the implementation, we are designing and documenting information technology general controls over user access, change management, and system operations for the new system and the other systems relevant to financial reporting.</w:t>
      </w:r>
    </w:p>
    <w:p>
      <w:pPr>
        <w:spacing w:after="0" w:line="15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the applicable controls have been designed and implemented and have operated effectively for a sufficient period of time, and management has concluded, through testing, that the controls are operating effectively. We are committed to completing the remediation as promptly as practicable, but we cannot provide assurance as to when the remediation will be complete or that the measures we are taking will be sufficient to remediate the material weaknesses or prevent future material weaknesses.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2026 that have materially affected, or are reasonably likely to materially affect, our internal control over financial reporting. The remediation efforts described above are ongoing, and the related controls have not yet been tested or determined to be operating effectively.</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errors, mistakes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On March 13, 2026, Legacy Housing Corporation (the "Company") filed an Original Petition in the District Court of Tarrant County, Texas, captioned Legacy Housing Corporation v. AmeriCasa Solutions, LLC, et al. (Cause No. 342-375661-26). The defendants are AmeriCasa Solutions, LLC, AmeriCasa Dream Homes, Inc. (f/k/a Mobile Housing of Texas, Inc.), First Home Financial, LLC (f/k/a MHOT Financial, LLC), MHOT Insurance Agency LLC, AmeriCasa Communities LLC, AmeriCasa Asset Management, LLC, and Newton Visioncorp2, LLC (collectively, the "Seller Entities"); Norman Newton, the former principal of the Seller Entities, who served as the Company's Chief Revenue Officer following the closing and resigned from that position effective February 11, 2026; and Gregg T. Reyes. The action arises out of the Company's November 17, 2025 acquisition of substantially all of the assets of the Seller Entities pursuant to an Asset and Membership Interest Purchase Agreement dated October 30, 2025, as amended (the "APA").</w:t>
      </w:r>
    </w:p>
    <w:p>
      <w:pPr>
        <w:spacing w:after="0" w:line="161"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On April 7, 2026, the Company filed an Amended Petition and Application for Temporary Restraining Order, Temporary Injunction, and Permanent Injunction (the "Amended Petition"). The Amended Petition added AmeriCasa IP Holdings, LLC as a defendant and seeks, among other things, an order requiring certain of the defendants to account for and segregate specified categories of funds attributable to the acquired assets, including escrow balances, consumer loan payments received on or after November 1, 2025, sales proceeds from inventory at the Houston dealership, insurance commissions, and operational credits.</w:t>
      </w:r>
    </w:p>
    <w:p>
      <w:pPr>
        <w:spacing w:after="0" w:line="14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Amended Petition asserts claims for fraudulent inducement and fraud, fraud by omission, statutory fraud in a real estate and stock transaction, breach of contract (under both the APA and Mr. Newton's employment agreement with the Company), conversion, money had and received, tortious interference with employment relationships, and declaratory judgment. The Company's claims relate principally to alleged misrepresentations and omissions made in connection with the APA regarding the historical performance and financial condition of the acquired assets and to the alleged post-closing misappropriation of receipts attributable to the acquired assets. The Company seeks monetary damages in excess of $1.0 million, exemplary damages, attorneys' fees, pre- and post-judgment interest, declaratory and injunctive relief, and, in the alternative, specific performance.</w:t>
      </w:r>
    </w:p>
    <w:p>
      <w:pPr>
        <w:spacing w:after="0" w:line="151"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On April 10, 2026, the District Court declined to issue the temporary restraining order requested by the Company, citing the availability of an adequate remedy at law. The Company's application for temporary and permanent injunctive relief, along with its claims for damages and other relief, remains pending.</w:t>
      </w:r>
    </w:p>
    <w:p>
      <w:pPr>
        <w:spacing w:after="0" w:line="149" w:lineRule="exact"/>
        <w:rPr>
          <w:sz w:val="20"/>
          <w:szCs w:val="20"/>
          <w:color w:val="auto"/>
        </w:rPr>
      </w:pPr>
    </w:p>
    <w:p>
      <w:pPr>
        <w:ind w:left="60" w:right="139" w:firstLine="324"/>
        <w:spacing w:after="0" w:line="274" w:lineRule="auto"/>
        <w:rPr>
          <w:sz w:val="20"/>
          <w:szCs w:val="20"/>
          <w:color w:val="auto"/>
        </w:rPr>
      </w:pPr>
      <w:r>
        <w:rPr>
          <w:rFonts w:ascii="Times New Roman" w:cs="Times New Roman" w:eastAsia="Times New Roman" w:hAnsi="Times New Roman"/>
          <w:sz w:val="17"/>
          <w:szCs w:val="17"/>
          <w:color w:val="auto"/>
        </w:rPr>
        <w:t>On April 16, 2026, the seller defendants removed the matter to the Texas Business Court, Eighth Division (Cause No. 26-BC08B-0013). On April 20, 2026, the seller defendants filed an answer asserting affirmative defenses and counterclaims against the Company. The counterclaims allege breach of contract (including alleged underpayment of the purchase price under the APA and alleged failure to honor assumed contracts), unjust enrichment, constructive termination of Mr. Newton's employment, and fraud, and seek monetary damages stated as $1.0 million or more, exemplary damages, and attorneys' fees. The Company believes the counterclaims are without merit and intends to defend against them.</w:t>
      </w:r>
    </w:p>
    <w:p>
      <w:pPr>
        <w:spacing w:after="0" w:line="132"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During the third quarter, both parties began the discovery phase of the proceeding. Both parties have served written discovery requests on each other, and the parties are preparing to take depositions and have issued, or expect to issue, subpoenas to third-party witnesses.</w:t>
      </w:r>
    </w:p>
    <w:p>
      <w:pPr>
        <w:spacing w:after="0" w:line="13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its claims are meritorious and intends to pursue them. The litigation is in its early stages, and the Company is unable at this time to predict the outcome or to reasonably estimate the amount or range of any potential loss or recovery. An adverse outcome in the litigation, or further developments concerning the underlying facts, could result in an adjustment to the amounts recorded in connection with the acquisition, in a future period. For additional information, see Note 13 — Commitments and Contingencies, and Note 16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the information required by this item.</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w:t>
      </w:r>
      <w:r>
        <w:rPr>
          <w:rFonts w:ascii="Times New Roman" w:cs="Times New Roman" w:eastAsia="Times New Roman" w:hAnsi="Times New Roman"/>
          <w:sz w:val="18"/>
          <w:szCs w:val="18"/>
          <w:b w:val="1"/>
          <w:bCs w:val="1"/>
          <w:color w:val="auto"/>
        </w:rPr>
        <w:t>e</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8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 officers or directors adopted, modified, or terminated trading plans intended to satisfy the affirmative defense conditions of Rule 10b5-1(c) under the Securities Exchange Act of 1934, as amended.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52"/>
        </w:trPr>
        <w:tc>
          <w:tcPr>
            <w:tcW w:w="12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860" w:type="dxa"/>
            <w:vAlign w:val="bottom"/>
            <w:gridSpan w:val="2"/>
          </w:tcPr>
          <w:p>
            <w:pPr>
              <w:spacing w:after="0"/>
              <w:rPr>
                <w:sz w:val="24"/>
                <w:szCs w:val="24"/>
                <w:color w:val="auto"/>
              </w:rPr>
            </w:pPr>
          </w:p>
        </w:tc>
        <w:tc>
          <w:tcPr>
            <w:tcW w:w="694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3.3</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Bylaws of Legacy Housing Corporation (formerly Legacy Housing Merger Sub, Inc.). (1)</w:t>
              </w:r>
            </w:hyperlink>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3.4</w:t>
            </w:r>
          </w:p>
        </w:tc>
        <w:tc>
          <w:tcPr>
            <w:tcW w:w="280" w:type="dxa"/>
            <w:vAlign w:val="bottom"/>
          </w:tcPr>
          <w:p>
            <w:pPr>
              <w:spacing w:after="0"/>
              <w:rPr>
                <w:sz w:val="24"/>
                <w:szCs w:val="24"/>
                <w:color w:val="auto"/>
              </w:rPr>
            </w:pPr>
          </w:p>
        </w:tc>
        <w:tc>
          <w:tcPr>
            <w:tcW w:w="64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Amendment No. 1 to the Bylaws of Legacy Housing Corporation. (1)</w:t>
              </w:r>
            </w:hyperlink>
          </w:p>
        </w:tc>
        <w:tc>
          <w:tcPr>
            <w:tcW w:w="200" w:type="dxa"/>
            <w:vAlign w:val="bottom"/>
            <w:gridSpan w:val="2"/>
          </w:tcPr>
          <w:p>
            <w:pPr>
              <w:spacing w:after="0"/>
              <w:rPr>
                <w:sz w:val="24"/>
                <w:szCs w:val="24"/>
                <w:color w:val="auto"/>
              </w:rPr>
            </w:pPr>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3.5</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Amendment No. 2 to the Bylaws of Legacy Housing Corporation. (1)</w:t>
              </w:r>
            </w:hyperlink>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3.6</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Amendment No. 3 to the Bylaws of Legacy Housing Corporation. (1)</w:t>
              </w:r>
            </w:hyperlink>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3.7</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Formation of Legacy Housing Corporation (formerly Legacy Housing Merger</w:t>
              </w:r>
            </w:hyperlink>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Sub, Inc.), a Texas for-profit corporation. (3)</w:t>
              </w:r>
            </w:hyperlink>
          </w:p>
        </w:tc>
        <w:tc>
          <w:tcPr>
            <w:tcW w:w="40" w:type="dxa"/>
            <w:vAlign w:val="bottom"/>
          </w:tcPr>
          <w:p>
            <w:pPr>
              <w:spacing w:after="0"/>
              <w:rPr>
                <w:sz w:val="17"/>
                <w:szCs w:val="17"/>
                <w:color w:val="auto"/>
              </w:rPr>
            </w:pPr>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9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3.8</w:t>
            </w:r>
          </w:p>
        </w:tc>
        <w:tc>
          <w:tcPr>
            <w:tcW w:w="280" w:type="dxa"/>
            <w:vAlign w:val="bottom"/>
          </w:tcPr>
          <w:p>
            <w:pPr>
              <w:spacing w:after="0"/>
              <w:rPr>
                <w:sz w:val="24"/>
                <w:szCs w:val="24"/>
                <w:color w:val="auto"/>
              </w:rPr>
            </w:pPr>
          </w:p>
        </w:tc>
        <w:tc>
          <w:tcPr>
            <w:tcW w:w="6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Certificate of Merger of Legacy Housing Corporation with and into Legacy Housing Merger</w:t>
              </w:r>
            </w:hyperlink>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9">
              <w:r>
                <w:rPr>
                  <w:rFonts w:ascii="Times New Roman" w:cs="Times New Roman" w:eastAsia="Times New Roman" w:hAnsi="Times New Roman"/>
                  <w:sz w:val="18"/>
                  <w:szCs w:val="18"/>
                  <w:color w:val="0000EE"/>
                  <w:w w:val="97"/>
                </w:rPr>
                <w:t>Sub, Inc. (3)</w:t>
              </w:r>
            </w:hyperlink>
          </w:p>
        </w:tc>
        <w:tc>
          <w:tcPr>
            <w:tcW w:w="5760" w:type="dxa"/>
            <w:vAlign w:val="bottom"/>
            <w:gridSpan w:val="11"/>
          </w:tcPr>
          <w:p>
            <w:pPr>
              <w:spacing w:after="0"/>
              <w:rPr>
                <w:sz w:val="17"/>
                <w:szCs w:val="17"/>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4.1</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Specimen Common Stock Certificate. (4)</w:t>
              </w:r>
            </w:hyperlink>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4.2</w:t>
            </w:r>
          </w:p>
        </w:tc>
        <w:tc>
          <w:tcPr>
            <w:tcW w:w="280" w:type="dxa"/>
            <w:vAlign w:val="bottom"/>
          </w:tcPr>
          <w:p>
            <w:pPr>
              <w:spacing w:after="0"/>
              <w:rPr>
                <w:sz w:val="24"/>
                <w:szCs w:val="24"/>
                <w:color w:val="auto"/>
              </w:rPr>
            </w:pPr>
          </w:p>
        </w:tc>
        <w:tc>
          <w:tcPr>
            <w:tcW w:w="3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Description of Securities of the Registrant. (2)</w:t>
              </w:r>
            </w:hyperlink>
          </w:p>
        </w:tc>
        <w:tc>
          <w:tcPr>
            <w:tcW w:w="3320" w:type="dxa"/>
            <w:vAlign w:val="bottom"/>
            <w:gridSpan w:val="8"/>
          </w:tcPr>
          <w:p>
            <w:pPr>
              <w:spacing w:after="0"/>
              <w:rPr>
                <w:sz w:val="24"/>
                <w:szCs w:val="24"/>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31.1 *</w:t>
            </w:r>
          </w:p>
        </w:tc>
        <w:tc>
          <w:tcPr>
            <w:tcW w:w="280" w:type="dxa"/>
            <w:vAlign w:val="bottom"/>
          </w:tcPr>
          <w:p>
            <w:pPr>
              <w:spacing w:after="0"/>
              <w:rPr>
                <w:sz w:val="24"/>
                <w:szCs w:val="24"/>
                <w:color w:val="auto"/>
              </w:rPr>
            </w:pPr>
          </w:p>
        </w:tc>
        <w:tc>
          <w:tcPr>
            <w:tcW w:w="5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Rule 13a-14(a) / 15d-14(a) Certification of Principal Executive Officer.</w:t>
            </w:r>
          </w:p>
        </w:tc>
        <w:tc>
          <w:tcPr>
            <w:tcW w:w="1520" w:type="dxa"/>
            <w:vAlign w:val="bottom"/>
            <w:gridSpan w:val="3"/>
          </w:tcPr>
          <w:p>
            <w:pPr>
              <w:spacing w:after="0"/>
              <w:rPr>
                <w:sz w:val="24"/>
                <w:szCs w:val="24"/>
                <w:color w:val="auto"/>
              </w:rPr>
            </w:pPr>
          </w:p>
        </w:tc>
      </w:tr>
      <w:tr>
        <w:trPr>
          <w:trHeight w:val="39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31.2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Rule 13a-14(a) / 15d-14(a) Certification of Principal Financial Officer.</w:t>
            </w: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32.1 **</w:t>
            </w:r>
          </w:p>
        </w:tc>
        <w:tc>
          <w:tcPr>
            <w:tcW w:w="280" w:type="dxa"/>
            <w:vAlign w:val="bottom"/>
          </w:tcPr>
          <w:p>
            <w:pPr>
              <w:spacing w:after="0"/>
              <w:rPr>
                <w:sz w:val="24"/>
                <w:szCs w:val="24"/>
                <w:color w:val="auto"/>
              </w:rPr>
            </w:pPr>
          </w:p>
        </w:tc>
        <w:tc>
          <w:tcPr>
            <w:tcW w:w="50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Section 1350 Certification of Principal Executive Officer.</w:t>
            </w:r>
          </w:p>
        </w:tc>
        <w:tc>
          <w:tcPr>
            <w:tcW w:w="1580" w:type="dxa"/>
            <w:vAlign w:val="bottom"/>
            <w:gridSpan w:val="4"/>
          </w:tcPr>
          <w:p>
            <w:pPr>
              <w:spacing w:after="0"/>
              <w:rPr>
                <w:sz w:val="24"/>
                <w:szCs w:val="24"/>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32.2 **</w:t>
            </w:r>
          </w:p>
        </w:tc>
        <w:tc>
          <w:tcPr>
            <w:tcW w:w="280" w:type="dxa"/>
            <w:vAlign w:val="bottom"/>
          </w:tcPr>
          <w:p>
            <w:pPr>
              <w:spacing w:after="0"/>
              <w:rPr>
                <w:sz w:val="24"/>
                <w:szCs w:val="24"/>
                <w:color w:val="auto"/>
              </w:rPr>
            </w:pPr>
          </w:p>
        </w:tc>
        <w:tc>
          <w:tcPr>
            <w:tcW w:w="41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Section 1350 Certification of Principal Financial Officer.</w:t>
            </w:r>
          </w:p>
        </w:tc>
        <w:tc>
          <w:tcPr>
            <w:tcW w:w="40" w:type="dxa"/>
            <w:vAlign w:val="bottom"/>
            <w:tcBorders>
              <w:top w:val="single" w:sz="8" w:color="0000EE"/>
            </w:tcBorders>
          </w:tcPr>
          <w:p>
            <w:pPr>
              <w:spacing w:after="0"/>
              <w:rPr>
                <w:sz w:val="24"/>
                <w:szCs w:val="24"/>
                <w:color w:val="auto"/>
              </w:rPr>
            </w:pPr>
          </w:p>
        </w:tc>
        <w:tc>
          <w:tcPr>
            <w:tcW w:w="2520" w:type="dxa"/>
            <w:vAlign w:val="bottom"/>
            <w:gridSpan w:val="6"/>
          </w:tcPr>
          <w:p>
            <w:pPr>
              <w:spacing w:after="0"/>
              <w:rPr>
                <w:sz w:val="24"/>
                <w:szCs w:val="24"/>
                <w:color w:val="auto"/>
              </w:rPr>
            </w:pPr>
          </w:p>
        </w:tc>
      </w:tr>
      <w:tr>
        <w:trPr>
          <w:trHeight w:val="43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101.INS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1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101.SCH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1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101.CAL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1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101.DEF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1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101.LAB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1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101.PRE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7" w:lineRule="exact"/>
        <w:rPr>
          <w:sz w:val="20"/>
          <w:szCs w:val="20"/>
          <w:color w:val="auto"/>
        </w:rPr>
      </w:pPr>
    </w:p>
    <w:p>
      <w:pPr>
        <w:jc w:val="both"/>
        <w:ind w:left="60" w:right="6659" w:hanging="10"/>
        <w:spacing w:after="0" w:line="261" w:lineRule="auto"/>
        <w:tabs>
          <w:tab w:leader="none" w:pos="3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 ** Furnished with Form 10-Q.</w:t>
      </w:r>
    </w:p>
    <w:p>
      <w:pPr>
        <w:ind w:left="380" w:right="279"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Incorporated herein by reference to the Company’s Current Report on Form 8-K filed with the SEC on November 3, 2025.</w:t>
      </w:r>
    </w:p>
    <w:p>
      <w:pPr>
        <w:spacing w:after="0" w:line="141" w:lineRule="exact"/>
        <w:rPr>
          <w:sz w:val="20"/>
          <w:szCs w:val="20"/>
          <w:color w:val="auto"/>
        </w:rPr>
      </w:pPr>
    </w:p>
    <w:p>
      <w:pPr>
        <w:ind w:left="380" w:right="39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Company’s Annual Report on Form 10-K for the year ended December 31, 2025 filed with the SEC on March 12, 2026.</w:t>
      </w:r>
    </w:p>
    <w:p>
      <w:pPr>
        <w:spacing w:after="0" w:line="121" w:lineRule="exact"/>
        <w:rPr>
          <w:rFonts w:ascii="Times New Roman" w:cs="Times New Roman" w:eastAsia="Times New Roman" w:hAnsi="Times New Roman"/>
          <w:sz w:val="18"/>
          <w:szCs w:val="18"/>
          <w:color w:val="auto"/>
        </w:rPr>
      </w:pPr>
    </w:p>
    <w:p>
      <w:pPr>
        <w:ind w:left="380" w:right="21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Company’s Quarterly Report Form 10-Q for the quarter ended September 30, 2025 filed with the SEC on November 7, 2025.</w:t>
      </w:r>
    </w:p>
    <w:p>
      <w:pPr>
        <w:spacing w:after="0" w:line="134" w:lineRule="exact"/>
        <w:rPr>
          <w:rFonts w:ascii="Times New Roman" w:cs="Times New Roman" w:eastAsia="Times New Roman" w:hAnsi="Times New Roman"/>
          <w:sz w:val="18"/>
          <w:szCs w:val="18"/>
          <w:color w:val="auto"/>
        </w:rPr>
      </w:pPr>
    </w:p>
    <w:p>
      <w:pPr>
        <w:ind w:left="380" w:right="73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Company’s Registration Statement on Form S-1 filed with the SEC on November 9, 2018</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tc>
      </w:tr>
      <w:tr>
        <w:trPr>
          <w:trHeight w:val="86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KENNETH E. SHIPLEY</w:t>
            </w:r>
          </w:p>
        </w:tc>
      </w:tr>
      <w:tr>
        <w:trPr>
          <w:trHeight w:val="191"/>
        </w:trPr>
        <w:tc>
          <w:tcPr>
            <w:tcW w:w="3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Kenneth E. Shipley</w:t>
            </w:r>
          </w:p>
        </w:tc>
      </w:tr>
      <w:tr>
        <w:trPr>
          <w:trHeight w:val="216"/>
        </w:trPr>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JON A. LANGBERT</w:t>
            </w:r>
          </w:p>
        </w:tc>
      </w:tr>
      <w:tr>
        <w:trPr>
          <w:trHeight w:val="191"/>
        </w:trPr>
        <w:tc>
          <w:tcPr>
            <w:tcW w:w="3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Jon A. Langbert</w:t>
            </w:r>
          </w:p>
        </w:tc>
      </w:tr>
      <w:tr>
        <w:trPr>
          <w:trHeight w:val="216"/>
        </w:trPr>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Kenneth E. Shipley, certify that:</w:t>
      </w:r>
    </w:p>
    <w:p>
      <w:pPr>
        <w:spacing w:after="0" w:line="225" w:lineRule="exact"/>
        <w:rPr>
          <w:sz w:val="20"/>
          <w:szCs w:val="20"/>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60" w:right="240" w:firstLine="655"/>
        <w:spacing w:after="0" w:line="266" w:lineRule="auto"/>
        <w:tabs>
          <w:tab w:leader="none" w:pos="11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60" w:right="60" w:firstLine="655"/>
        <w:spacing w:after="0" w:line="266" w:lineRule="auto"/>
        <w:tabs>
          <w:tab w:leader="none" w:pos="12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60" w:right="80" w:firstLine="655"/>
        <w:spacing w:after="0" w:line="266" w:lineRule="auto"/>
        <w:tabs>
          <w:tab w:leader="none" w:pos="11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60" w:right="20" w:firstLine="655"/>
        <w:spacing w:after="0" w:line="266" w:lineRule="auto"/>
        <w:tabs>
          <w:tab w:leader="none" w:pos="12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60" w:right="320" w:firstLine="655"/>
        <w:spacing w:after="0" w:line="266" w:lineRule="auto"/>
        <w:tabs>
          <w:tab w:leader="none" w:pos="11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60" w:right="360" w:firstLine="655"/>
        <w:spacing w:after="0" w:line="282" w:lineRule="auto"/>
        <w:tabs>
          <w:tab w:leader="none" w:pos="12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Shipley</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08"/>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Jon A. Langbert, certify that:</w:t>
      </w:r>
    </w:p>
    <w:p>
      <w:pPr>
        <w:spacing w:after="0" w:line="225" w:lineRule="exact"/>
        <w:rPr>
          <w:sz w:val="20"/>
          <w:szCs w:val="20"/>
          <w:color w:val="auto"/>
        </w:rPr>
      </w:pPr>
    </w:p>
    <w:p>
      <w:pPr>
        <w:ind w:left="840" w:hanging="18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60" w:right="240" w:firstLine="655"/>
        <w:spacing w:after="0" w:line="266" w:lineRule="auto"/>
        <w:tabs>
          <w:tab w:leader="none" w:pos="11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60" w:right="60" w:firstLine="655"/>
        <w:spacing w:after="0" w:line="266" w:lineRule="auto"/>
        <w:tabs>
          <w:tab w:leader="none" w:pos="12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60" w:right="80" w:firstLine="655"/>
        <w:spacing w:after="0" w:line="266" w:lineRule="auto"/>
        <w:tabs>
          <w:tab w:leader="none" w:pos="11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60" w:right="20" w:firstLine="655"/>
        <w:spacing w:after="0" w:line="266" w:lineRule="auto"/>
        <w:tabs>
          <w:tab w:leader="none" w:pos="12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60" w:right="320" w:firstLine="655"/>
        <w:spacing w:after="0" w:line="266" w:lineRule="auto"/>
        <w:tabs>
          <w:tab w:leader="none" w:pos="11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60" w:right="360" w:firstLine="655"/>
        <w:spacing w:after="0" w:line="282" w:lineRule="auto"/>
        <w:tabs>
          <w:tab w:leader="none" w:pos="12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A. Langbert</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Jon A. Langbert</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10-Q for the quarter ended September 30, 2026, as filed with the Securities and Exchange Commission on the date hereof (the “Report”), I, Kenneth E. Shipley, Chief Executive Officer of the Company, certify, pursuant to 18 U.S.C. §1350, as adopted pursuant to Section 906 of the Sarbanes-Oxley Act of 2002, that to my knowledge:</w:t>
      </w:r>
    </w:p>
    <w:p>
      <w:pPr>
        <w:spacing w:after="0" w:line="180" w:lineRule="exact"/>
        <w:rPr>
          <w:sz w:val="20"/>
          <w:szCs w:val="20"/>
          <w:color w:val="auto"/>
        </w:rPr>
      </w:pPr>
    </w:p>
    <w:p>
      <w:pPr>
        <w:ind w:left="1300" w:right="260" w:hanging="644"/>
        <w:spacing w:after="0" w:line="282" w:lineRule="auto"/>
        <w:tabs>
          <w:tab w:leader="none" w:pos="12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E. Shipley</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10-Q for the quarter ended September 30, 2026, as filed with the Securities and Exchange Commission on the date hereof (the “Report”), I, Jon A. Langbert, Chief Financial Officer of the Company, certify, pursuant to 18 U.S.C. §1350, as adopted pursuant to Section 906 of the Sarbanes-Oxley Act of 2002, that to my knowledge:</w:t>
      </w:r>
    </w:p>
    <w:p>
      <w:pPr>
        <w:spacing w:after="0" w:line="180" w:lineRule="exact"/>
        <w:rPr>
          <w:sz w:val="20"/>
          <w:szCs w:val="20"/>
          <w:color w:val="auto"/>
        </w:rPr>
      </w:pPr>
    </w:p>
    <w:p>
      <w:pPr>
        <w:ind w:left="1300" w:right="260" w:hanging="644"/>
        <w:spacing w:after="0" w:line="282" w:lineRule="auto"/>
        <w:tabs>
          <w:tab w:leader="none" w:pos="1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A. Langbert</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Jon A. Langbert</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1"/>
    </w:lvl>
    <w:lvl w:ilvl="1">
      <w:lvlJc w:val="left"/>
      <w:lvlText w:val="(%2)"/>
      <w:numFmt w:val="decimal"/>
      <w:start w:val="1"/>
    </w:lvl>
  </w:abstractNum>
  <w:abstractNum w:abstractNumId="5">
    <w:nsid w:val="216231B"/>
    <w:multiLevelType w:val="hybridMultilevel"/>
    <w:lvl w:ilvl="0">
      <w:lvlJc w:val="left"/>
      <w:lvlText w:val="%1."/>
      <w:numFmt w:val="decimal"/>
      <w:start w:val="3"/>
    </w:lvl>
    <w:lvl w:ilvl="1">
      <w:lvlJc w:val="left"/>
      <w:lvlText w:val="%2"/>
      <w:numFmt w:val="decimal"/>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54" Type="http://schemas.openxmlformats.org/officeDocument/2006/relationships/hyperlink" Target="https://www.sec.gov/Archives/edgar/data/1436208/000110465925105634/tm2530011d1_ex3-1.htm" TargetMode="External"/><Relationship Id="rId55" Type="http://schemas.openxmlformats.org/officeDocument/2006/relationships/hyperlink" Target="https://www.sec.gov/Archives/edgar/data/1436208/000110465925105634/tm2530011d1_ex3-2.htm" TargetMode="External"/><Relationship Id="rId56" Type="http://schemas.openxmlformats.org/officeDocument/2006/relationships/hyperlink" Target="https://www.sec.gov/Archives/edgar/data/1436208/000110465925105634/tm2530011d1_ex3-3.htm" TargetMode="External"/><Relationship Id="rId57" Type="http://schemas.openxmlformats.org/officeDocument/2006/relationships/hyperlink" Target="https://www.sec.gov/Archives/edgar/data/1436208/000110465925105634/tm2530011d1_ex3-4.htm" TargetMode="External"/><Relationship Id="rId58" Type="http://schemas.openxmlformats.org/officeDocument/2006/relationships/hyperlink" Target="https://www.sec.gov/Archives/edgar/data/1436208/000110465925108551/legh-20250930xex3d3.htm" TargetMode="External"/><Relationship Id="rId59" Type="http://schemas.openxmlformats.org/officeDocument/2006/relationships/hyperlink" Target="https://www.sec.gov/Archives/edgar/data/1436208/000110465925108551/legh-20250930xex3d4.htm" TargetMode="External"/><Relationship Id="rId60" Type="http://schemas.openxmlformats.org/officeDocument/2006/relationships/hyperlink" Target="https://www.sec.gov/Archives/edgar/data/1436208/000104746918007147/a2236789zex-4_1.htm" TargetMode="External"/><Relationship Id="rId61" Type="http://schemas.openxmlformats.org/officeDocument/2006/relationships/hyperlink" Target="https://www.sec.gov/Archives/edgar/data/1436208/000155837025002822/legh-20241231x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2026-11-04T15:25:40Z</dcterms:created>
  <dcterms:modified xsi:type="dcterms:W3CDTF">2026-11-04T15:25:40Z</dcterms:modified>
</cp:coreProperties>
</file>